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drawings/drawing1.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A20" w:rsidRPr="00B57DAB" w:rsidRDefault="00AC2A20" w:rsidP="000B13C7">
      <w:pPr>
        <w:tabs>
          <w:tab w:val="left" w:pos="0"/>
        </w:tabs>
        <w:jc w:val="center"/>
        <w:rPr>
          <w:rFonts w:ascii="GHEA Grapalat" w:hAnsi="GHEA Grapalat"/>
          <w:b/>
        </w:rPr>
      </w:pPr>
      <w:r w:rsidRPr="00B57DAB">
        <w:rPr>
          <w:rFonts w:ascii="GHEA Grapalat" w:hAnsi="GHEA Grapalat"/>
          <w:b/>
        </w:rPr>
        <w:t>ՀԱՅԱՍՏԱՆԻ ՀԱՆՐԱՊԵՏՈՒԹՅԱՆ 2022 ԹՎԱԿԱՆԻ ԱՌԱՋԻՆ ԵՌԱՄՍՅԱԿԻ ՊԵՏԱԿԱՆ ԲՅՈՒՋԵԻ ԿԱՏԱՐՄԱՆ ՎԵՐԼՈՒԾՈՒԹՅՈՒՆ</w:t>
      </w:r>
    </w:p>
    <w:p w:rsidR="006E47C6" w:rsidRDefault="006E47C6" w:rsidP="00E37514">
      <w:pPr>
        <w:pStyle w:val="TOC1"/>
      </w:pPr>
    </w:p>
    <w:p w:rsidR="00CB4B50" w:rsidRPr="00CB4B50" w:rsidRDefault="00CB4B50" w:rsidP="00CB4B50"/>
    <w:p w:rsidR="00C8194D" w:rsidRPr="00475F7E" w:rsidRDefault="00C8194D" w:rsidP="00575CD7">
      <w:pPr>
        <w:pStyle w:val="TOC1"/>
        <w:jc w:val="center"/>
        <w:rPr>
          <w:sz w:val="22"/>
          <w:szCs w:val="22"/>
        </w:rPr>
      </w:pPr>
      <w:r w:rsidRPr="00475F7E">
        <w:rPr>
          <w:sz w:val="22"/>
          <w:szCs w:val="22"/>
        </w:rPr>
        <w:t>ԲՈՎԱՆԴԱԿՈՒԹՅՈՒՆ</w:t>
      </w:r>
    </w:p>
    <w:p w:rsidR="003728C6" w:rsidRPr="00475F7E" w:rsidRDefault="003728C6" w:rsidP="003728C6">
      <w:pPr>
        <w:tabs>
          <w:tab w:val="left" w:pos="0"/>
        </w:tabs>
        <w:rPr>
          <w:rFonts w:ascii="GHEA Grapalat" w:hAnsi="GHEA Grapalat"/>
          <w:b/>
          <w:sz w:val="22"/>
          <w:szCs w:val="22"/>
        </w:rPr>
      </w:pPr>
      <w:bookmarkStart w:id="0" w:name="_Toc71283303"/>
      <w:bookmarkStart w:id="1" w:name="_Toc71283304"/>
    </w:p>
    <w:sdt>
      <w:sdtPr>
        <w:rPr>
          <w:rStyle w:val="Hyperlink"/>
          <w:rFonts w:ascii="Arial Armenian" w:hAnsi="Arial Armenian" w:cs="Times New Roman"/>
          <w:b w:val="0"/>
          <w:bCs w:val="0"/>
          <w:caps w:val="0"/>
          <w:noProof w:val="0"/>
          <w:sz w:val="22"/>
          <w:szCs w:val="22"/>
          <w:lang w:val="hy-AM"/>
        </w:rPr>
        <w:id w:val="-1015307837"/>
        <w:docPartObj>
          <w:docPartGallery w:val="Table of Contents"/>
          <w:docPartUnique/>
        </w:docPartObj>
      </w:sdtPr>
      <w:sdtEndPr>
        <w:rPr>
          <w:rStyle w:val="DefaultParagraphFont"/>
          <w:color w:val="auto"/>
          <w:u w:val="none"/>
          <w:lang w:val="en-US"/>
        </w:rPr>
      </w:sdtEndPr>
      <w:sdtContent>
        <w:p w:rsidR="002122E1" w:rsidRPr="002122E1" w:rsidRDefault="00E37514">
          <w:pPr>
            <w:pStyle w:val="TOC1"/>
            <w:rPr>
              <w:rFonts w:eastAsiaTheme="minorEastAsia" w:cstheme="minorBidi"/>
              <w:b w:val="0"/>
              <w:bCs w:val="0"/>
              <w:caps w:val="0"/>
              <w:color w:val="auto"/>
              <w:sz w:val="22"/>
              <w:szCs w:val="22"/>
            </w:rPr>
          </w:pPr>
          <w:r w:rsidRPr="002122E1">
            <w:rPr>
              <w:sz w:val="22"/>
              <w:szCs w:val="22"/>
            </w:rPr>
            <w:fldChar w:fldCharType="begin"/>
          </w:r>
          <w:r w:rsidRPr="002122E1">
            <w:rPr>
              <w:sz w:val="22"/>
              <w:szCs w:val="22"/>
            </w:rPr>
            <w:instrText xml:space="preserve"> TOC \o "1-3" \h \z \u </w:instrText>
          </w:r>
          <w:r w:rsidRPr="002122E1">
            <w:rPr>
              <w:sz w:val="22"/>
              <w:szCs w:val="22"/>
            </w:rPr>
            <w:fldChar w:fldCharType="separate"/>
          </w:r>
          <w:hyperlink w:anchor="_Toc102759880" w:history="1">
            <w:r w:rsidR="002122E1" w:rsidRPr="002122E1">
              <w:rPr>
                <w:rStyle w:val="Hyperlink"/>
                <w:sz w:val="22"/>
                <w:szCs w:val="22"/>
                <w:lang w:val="hy-AM"/>
              </w:rPr>
              <w:t>ՀԱՅԱՍՏԱՆԻ ՀԱՆՐԱՊԵՏՈՒԹՅԱՆ 202</w:t>
            </w:r>
            <w:r w:rsidR="002122E1" w:rsidRPr="002122E1">
              <w:rPr>
                <w:rStyle w:val="Hyperlink"/>
                <w:sz w:val="22"/>
                <w:szCs w:val="22"/>
              </w:rPr>
              <w:t>2</w:t>
            </w:r>
            <w:r w:rsidR="002122E1" w:rsidRPr="002122E1">
              <w:rPr>
                <w:rStyle w:val="Hyperlink"/>
                <w:sz w:val="22"/>
                <w:szCs w:val="22"/>
                <w:lang w:val="hy-AM"/>
              </w:rPr>
              <w:t xml:space="preserve"> ԹՎԱԿԱՆԻ</w:t>
            </w:r>
            <w:r w:rsidR="002122E1" w:rsidRPr="002122E1">
              <w:rPr>
                <w:rStyle w:val="Hyperlink"/>
                <w:sz w:val="22"/>
                <w:szCs w:val="22"/>
              </w:rPr>
              <w:t xml:space="preserve"> ԱՌԱՋԻՆ ԵՌԱՄՍՅԱԿԻ</w:t>
            </w:r>
            <w:r w:rsidR="002122E1" w:rsidRPr="002122E1">
              <w:rPr>
                <w:rStyle w:val="Hyperlink"/>
                <w:sz w:val="22"/>
                <w:szCs w:val="22"/>
                <w:lang w:val="hy-AM"/>
              </w:rPr>
              <w:t xml:space="preserve"> </w:t>
            </w:r>
            <w:r w:rsidR="002122E1">
              <w:rPr>
                <w:rStyle w:val="Hyperlink"/>
                <w:sz w:val="22"/>
                <w:szCs w:val="22"/>
              </w:rPr>
              <w:t xml:space="preserve">             </w:t>
            </w:r>
            <w:r w:rsidR="002122E1" w:rsidRPr="002122E1">
              <w:rPr>
                <w:rStyle w:val="Hyperlink"/>
                <w:sz w:val="22"/>
                <w:szCs w:val="22"/>
                <w:lang w:val="hy-AM"/>
              </w:rPr>
              <w:t>ՊԵՏԱԿԱՆ ԲՅՈՒՋԵԻ ԿԱՏԱՐՄԱՆ ԱՄՓՈՓԱԳԻՐ</w:t>
            </w:r>
            <w:r w:rsidR="002122E1" w:rsidRPr="002122E1">
              <w:rPr>
                <w:webHidden/>
                <w:sz w:val="22"/>
                <w:szCs w:val="22"/>
              </w:rPr>
              <w:tab/>
            </w:r>
            <w:r w:rsidR="002122E1" w:rsidRPr="002122E1">
              <w:rPr>
                <w:webHidden/>
                <w:sz w:val="22"/>
                <w:szCs w:val="22"/>
              </w:rPr>
              <w:fldChar w:fldCharType="begin"/>
            </w:r>
            <w:r w:rsidR="002122E1" w:rsidRPr="002122E1">
              <w:rPr>
                <w:webHidden/>
                <w:sz w:val="22"/>
                <w:szCs w:val="22"/>
              </w:rPr>
              <w:instrText xml:space="preserve"> PAGEREF _Toc102759880 \h </w:instrText>
            </w:r>
            <w:r w:rsidR="002122E1" w:rsidRPr="002122E1">
              <w:rPr>
                <w:webHidden/>
                <w:sz w:val="22"/>
                <w:szCs w:val="22"/>
              </w:rPr>
            </w:r>
            <w:r w:rsidR="002122E1" w:rsidRPr="002122E1">
              <w:rPr>
                <w:webHidden/>
                <w:sz w:val="22"/>
                <w:szCs w:val="22"/>
              </w:rPr>
              <w:fldChar w:fldCharType="separate"/>
            </w:r>
            <w:r w:rsidR="002122E1" w:rsidRPr="002122E1">
              <w:rPr>
                <w:webHidden/>
                <w:sz w:val="22"/>
                <w:szCs w:val="22"/>
              </w:rPr>
              <w:t>3</w:t>
            </w:r>
            <w:r w:rsidR="002122E1" w:rsidRPr="002122E1">
              <w:rPr>
                <w:webHidden/>
                <w:sz w:val="22"/>
                <w:szCs w:val="22"/>
              </w:rPr>
              <w:fldChar w:fldCharType="end"/>
            </w:r>
          </w:hyperlink>
        </w:p>
        <w:p w:rsidR="002122E1" w:rsidRDefault="002122E1">
          <w:pPr>
            <w:pStyle w:val="TOC1"/>
            <w:rPr>
              <w:rStyle w:val="Hyperlink"/>
              <w:sz w:val="22"/>
              <w:szCs w:val="22"/>
            </w:rPr>
          </w:pPr>
        </w:p>
        <w:p w:rsidR="002122E1" w:rsidRPr="002122E1" w:rsidRDefault="00310BD3">
          <w:pPr>
            <w:pStyle w:val="TOC1"/>
            <w:rPr>
              <w:rFonts w:eastAsiaTheme="minorEastAsia" w:cstheme="minorBidi"/>
              <w:b w:val="0"/>
              <w:bCs w:val="0"/>
              <w:caps w:val="0"/>
              <w:color w:val="auto"/>
              <w:sz w:val="22"/>
              <w:szCs w:val="22"/>
            </w:rPr>
          </w:pPr>
          <w:hyperlink w:anchor="_Toc102759881" w:history="1">
            <w:r w:rsidR="002122E1" w:rsidRPr="002122E1">
              <w:rPr>
                <w:rStyle w:val="Hyperlink"/>
                <w:sz w:val="22"/>
                <w:szCs w:val="22"/>
                <w:lang w:val="hy-AM"/>
              </w:rPr>
              <w:t>ՀԱՅԱՍՏԱՆԻ ՀԱՆՐԱՊԵՏՈՒԹՅԱՆ ՄԱԿՐՈՏՆՏԵՍԱԿԱՆ ԵՎ ՀԱՐԿԱԲՅՈՒՋԵՏԱՅԻՆ ԶԱՐԳԱՑՈՒՄՆԵՐԸ 2022 ԹՎԱԿԱՆԻ ԱՌԱՋԻՆ ԵՌԱՄՍՅԱԿՈՒՄ</w:t>
            </w:r>
            <w:r w:rsidR="002122E1" w:rsidRPr="002122E1">
              <w:rPr>
                <w:webHidden/>
                <w:sz w:val="22"/>
                <w:szCs w:val="22"/>
              </w:rPr>
              <w:tab/>
            </w:r>
            <w:r w:rsidR="002122E1" w:rsidRPr="002122E1">
              <w:rPr>
                <w:webHidden/>
                <w:sz w:val="22"/>
                <w:szCs w:val="22"/>
              </w:rPr>
              <w:fldChar w:fldCharType="begin"/>
            </w:r>
            <w:r w:rsidR="002122E1" w:rsidRPr="002122E1">
              <w:rPr>
                <w:webHidden/>
                <w:sz w:val="22"/>
                <w:szCs w:val="22"/>
              </w:rPr>
              <w:instrText xml:space="preserve"> PAGEREF _Toc102759881 \h </w:instrText>
            </w:r>
            <w:r w:rsidR="002122E1" w:rsidRPr="002122E1">
              <w:rPr>
                <w:webHidden/>
                <w:sz w:val="22"/>
                <w:szCs w:val="22"/>
              </w:rPr>
            </w:r>
            <w:r w:rsidR="002122E1" w:rsidRPr="002122E1">
              <w:rPr>
                <w:webHidden/>
                <w:sz w:val="22"/>
                <w:szCs w:val="22"/>
              </w:rPr>
              <w:fldChar w:fldCharType="separate"/>
            </w:r>
            <w:r w:rsidR="002122E1" w:rsidRPr="002122E1">
              <w:rPr>
                <w:webHidden/>
                <w:sz w:val="22"/>
                <w:szCs w:val="22"/>
              </w:rPr>
              <w:t>8</w:t>
            </w:r>
            <w:r w:rsidR="002122E1" w:rsidRPr="002122E1">
              <w:rPr>
                <w:webHidden/>
                <w:sz w:val="22"/>
                <w:szCs w:val="22"/>
              </w:rPr>
              <w:fldChar w:fldCharType="end"/>
            </w:r>
          </w:hyperlink>
        </w:p>
        <w:p w:rsidR="002122E1" w:rsidRDefault="002122E1" w:rsidP="002122E1">
          <w:pPr>
            <w:pStyle w:val="TOC2"/>
            <w:spacing w:line="240" w:lineRule="auto"/>
            <w:rPr>
              <w:rStyle w:val="Hyperlink"/>
              <w:sz w:val="22"/>
              <w:szCs w:val="22"/>
              <w:lang w:val="en-US"/>
            </w:rPr>
          </w:pPr>
        </w:p>
        <w:p w:rsidR="002122E1" w:rsidRPr="002122E1" w:rsidRDefault="00310BD3">
          <w:pPr>
            <w:pStyle w:val="TOC2"/>
            <w:rPr>
              <w:rFonts w:eastAsiaTheme="minorEastAsia" w:cstheme="minorBidi"/>
              <w:bCs w:val="0"/>
              <w:sz w:val="22"/>
              <w:szCs w:val="22"/>
              <w:lang w:val="en-US"/>
            </w:rPr>
          </w:pPr>
          <w:hyperlink w:anchor="_Toc102759882" w:history="1">
            <w:r w:rsidR="002122E1" w:rsidRPr="002122E1">
              <w:rPr>
                <w:rStyle w:val="Hyperlink"/>
                <w:sz w:val="22"/>
                <w:szCs w:val="22"/>
                <w:lang w:val="de-AT"/>
              </w:rPr>
              <w:t>ՄԱԿՐՈՏՆՏԵՍԱԿԱՆ ԶԱՐԳԱՑՈՒՄՆԵՐ</w:t>
            </w:r>
            <w:r w:rsidR="002122E1" w:rsidRPr="002122E1">
              <w:rPr>
                <w:webHidden/>
                <w:sz w:val="22"/>
                <w:szCs w:val="22"/>
              </w:rPr>
              <w:tab/>
            </w:r>
            <w:r w:rsidR="002122E1" w:rsidRPr="002122E1">
              <w:rPr>
                <w:webHidden/>
                <w:sz w:val="22"/>
                <w:szCs w:val="22"/>
              </w:rPr>
              <w:fldChar w:fldCharType="begin"/>
            </w:r>
            <w:r w:rsidR="002122E1" w:rsidRPr="002122E1">
              <w:rPr>
                <w:webHidden/>
                <w:sz w:val="22"/>
                <w:szCs w:val="22"/>
              </w:rPr>
              <w:instrText xml:space="preserve"> PAGEREF _Toc102759882 \h </w:instrText>
            </w:r>
            <w:r w:rsidR="002122E1" w:rsidRPr="002122E1">
              <w:rPr>
                <w:webHidden/>
                <w:sz w:val="22"/>
                <w:szCs w:val="22"/>
              </w:rPr>
            </w:r>
            <w:r w:rsidR="002122E1" w:rsidRPr="002122E1">
              <w:rPr>
                <w:webHidden/>
                <w:sz w:val="22"/>
                <w:szCs w:val="22"/>
              </w:rPr>
              <w:fldChar w:fldCharType="separate"/>
            </w:r>
            <w:r w:rsidR="002122E1" w:rsidRPr="002122E1">
              <w:rPr>
                <w:webHidden/>
                <w:sz w:val="22"/>
                <w:szCs w:val="22"/>
              </w:rPr>
              <w:t>8</w:t>
            </w:r>
            <w:r w:rsidR="002122E1" w:rsidRPr="002122E1">
              <w:rPr>
                <w:webHidden/>
                <w:sz w:val="22"/>
                <w:szCs w:val="22"/>
              </w:rPr>
              <w:fldChar w:fldCharType="end"/>
            </w:r>
          </w:hyperlink>
        </w:p>
        <w:p w:rsidR="002122E1" w:rsidRPr="002122E1" w:rsidRDefault="00310BD3">
          <w:pPr>
            <w:pStyle w:val="TOC2"/>
            <w:rPr>
              <w:rFonts w:eastAsiaTheme="minorEastAsia" w:cstheme="minorBidi"/>
              <w:bCs w:val="0"/>
              <w:sz w:val="22"/>
              <w:szCs w:val="22"/>
              <w:lang w:val="en-US"/>
            </w:rPr>
          </w:pPr>
          <w:hyperlink w:anchor="_Toc102759883" w:history="1">
            <w:r w:rsidR="002122E1" w:rsidRPr="002122E1">
              <w:rPr>
                <w:rStyle w:val="Hyperlink"/>
                <w:sz w:val="22"/>
                <w:szCs w:val="22"/>
                <w:lang w:val="de-AT"/>
              </w:rPr>
              <w:t>Արտաքին միջավայրի զարգացումներ</w:t>
            </w:r>
            <w:r w:rsidR="002122E1" w:rsidRPr="002122E1">
              <w:rPr>
                <w:webHidden/>
                <w:sz w:val="22"/>
                <w:szCs w:val="22"/>
              </w:rPr>
              <w:tab/>
            </w:r>
            <w:r w:rsidR="002122E1" w:rsidRPr="002122E1">
              <w:rPr>
                <w:webHidden/>
                <w:sz w:val="22"/>
                <w:szCs w:val="22"/>
              </w:rPr>
              <w:fldChar w:fldCharType="begin"/>
            </w:r>
            <w:r w:rsidR="002122E1" w:rsidRPr="002122E1">
              <w:rPr>
                <w:webHidden/>
                <w:sz w:val="22"/>
                <w:szCs w:val="22"/>
              </w:rPr>
              <w:instrText xml:space="preserve"> PAGEREF _Toc102759883 \h </w:instrText>
            </w:r>
            <w:r w:rsidR="002122E1" w:rsidRPr="002122E1">
              <w:rPr>
                <w:webHidden/>
                <w:sz w:val="22"/>
                <w:szCs w:val="22"/>
              </w:rPr>
            </w:r>
            <w:r w:rsidR="002122E1" w:rsidRPr="002122E1">
              <w:rPr>
                <w:webHidden/>
                <w:sz w:val="22"/>
                <w:szCs w:val="22"/>
              </w:rPr>
              <w:fldChar w:fldCharType="separate"/>
            </w:r>
            <w:r w:rsidR="002122E1" w:rsidRPr="002122E1">
              <w:rPr>
                <w:webHidden/>
                <w:sz w:val="22"/>
                <w:szCs w:val="22"/>
              </w:rPr>
              <w:t>8</w:t>
            </w:r>
            <w:r w:rsidR="002122E1" w:rsidRPr="002122E1">
              <w:rPr>
                <w:webHidden/>
                <w:sz w:val="22"/>
                <w:szCs w:val="22"/>
              </w:rPr>
              <w:fldChar w:fldCharType="end"/>
            </w:r>
          </w:hyperlink>
        </w:p>
        <w:p w:rsidR="002122E1" w:rsidRPr="002122E1" w:rsidRDefault="00310BD3">
          <w:pPr>
            <w:pStyle w:val="TOC2"/>
            <w:rPr>
              <w:rFonts w:eastAsiaTheme="minorEastAsia" w:cstheme="minorBidi"/>
              <w:bCs w:val="0"/>
              <w:sz w:val="22"/>
              <w:szCs w:val="22"/>
              <w:lang w:val="en-US"/>
            </w:rPr>
          </w:pPr>
          <w:hyperlink w:anchor="_Toc102759884" w:history="1">
            <w:r w:rsidR="002122E1" w:rsidRPr="002122E1">
              <w:rPr>
                <w:rStyle w:val="Hyperlink"/>
                <w:sz w:val="22"/>
                <w:szCs w:val="22"/>
                <w:lang w:val="de-AT"/>
              </w:rPr>
              <w:t>ՀՀ մակրոտնտեսական զարգացումներ</w:t>
            </w:r>
            <w:r w:rsidR="002122E1" w:rsidRPr="002122E1">
              <w:rPr>
                <w:webHidden/>
                <w:sz w:val="22"/>
                <w:szCs w:val="22"/>
              </w:rPr>
              <w:tab/>
            </w:r>
            <w:r w:rsidR="002122E1" w:rsidRPr="002122E1">
              <w:rPr>
                <w:webHidden/>
                <w:sz w:val="22"/>
                <w:szCs w:val="22"/>
              </w:rPr>
              <w:fldChar w:fldCharType="begin"/>
            </w:r>
            <w:r w:rsidR="002122E1" w:rsidRPr="002122E1">
              <w:rPr>
                <w:webHidden/>
                <w:sz w:val="22"/>
                <w:szCs w:val="22"/>
              </w:rPr>
              <w:instrText xml:space="preserve"> PAGEREF _Toc102759884 \h </w:instrText>
            </w:r>
            <w:r w:rsidR="002122E1" w:rsidRPr="002122E1">
              <w:rPr>
                <w:webHidden/>
                <w:sz w:val="22"/>
                <w:szCs w:val="22"/>
              </w:rPr>
            </w:r>
            <w:r w:rsidR="002122E1" w:rsidRPr="002122E1">
              <w:rPr>
                <w:webHidden/>
                <w:sz w:val="22"/>
                <w:szCs w:val="22"/>
              </w:rPr>
              <w:fldChar w:fldCharType="separate"/>
            </w:r>
            <w:r w:rsidR="002122E1" w:rsidRPr="002122E1">
              <w:rPr>
                <w:webHidden/>
                <w:sz w:val="22"/>
                <w:szCs w:val="22"/>
              </w:rPr>
              <w:t>9</w:t>
            </w:r>
            <w:r w:rsidR="002122E1" w:rsidRPr="002122E1">
              <w:rPr>
                <w:webHidden/>
                <w:sz w:val="22"/>
                <w:szCs w:val="22"/>
              </w:rPr>
              <w:fldChar w:fldCharType="end"/>
            </w:r>
          </w:hyperlink>
        </w:p>
        <w:p w:rsidR="002122E1" w:rsidRPr="002122E1" w:rsidRDefault="00310BD3">
          <w:pPr>
            <w:pStyle w:val="TOC2"/>
            <w:rPr>
              <w:rFonts w:eastAsiaTheme="minorEastAsia" w:cstheme="minorBidi"/>
              <w:bCs w:val="0"/>
              <w:sz w:val="22"/>
              <w:szCs w:val="22"/>
              <w:lang w:val="en-US"/>
            </w:rPr>
          </w:pPr>
          <w:hyperlink w:anchor="_Toc102759885" w:history="1">
            <w:r w:rsidR="002122E1" w:rsidRPr="002122E1">
              <w:rPr>
                <w:rStyle w:val="Hyperlink"/>
                <w:sz w:val="22"/>
                <w:szCs w:val="22"/>
                <w:lang w:val="de-AT"/>
              </w:rPr>
              <w:t>ՀԱՐԿԱԲՅՈՒՋԵՏԱՅԻՆ ՔԱՂԱՔԱԿԱՆՈՒԹՅԱՆ ՀԻՄՆԱԿԱՆ ԶԱՐԳԱՑՈՒՄՆԵՐԸ</w:t>
            </w:r>
            <w:r w:rsidR="002122E1" w:rsidRPr="002122E1">
              <w:rPr>
                <w:webHidden/>
                <w:sz w:val="22"/>
                <w:szCs w:val="22"/>
              </w:rPr>
              <w:tab/>
            </w:r>
            <w:r w:rsidR="002122E1" w:rsidRPr="002122E1">
              <w:rPr>
                <w:webHidden/>
                <w:sz w:val="22"/>
                <w:szCs w:val="22"/>
              </w:rPr>
              <w:fldChar w:fldCharType="begin"/>
            </w:r>
            <w:r w:rsidR="002122E1" w:rsidRPr="002122E1">
              <w:rPr>
                <w:webHidden/>
                <w:sz w:val="22"/>
                <w:szCs w:val="22"/>
              </w:rPr>
              <w:instrText xml:space="preserve"> PAGEREF _Toc102759885 \h </w:instrText>
            </w:r>
            <w:r w:rsidR="002122E1" w:rsidRPr="002122E1">
              <w:rPr>
                <w:webHidden/>
                <w:sz w:val="22"/>
                <w:szCs w:val="22"/>
              </w:rPr>
            </w:r>
            <w:r w:rsidR="002122E1" w:rsidRPr="002122E1">
              <w:rPr>
                <w:webHidden/>
                <w:sz w:val="22"/>
                <w:szCs w:val="22"/>
              </w:rPr>
              <w:fldChar w:fldCharType="separate"/>
            </w:r>
            <w:r w:rsidR="002122E1" w:rsidRPr="002122E1">
              <w:rPr>
                <w:webHidden/>
                <w:sz w:val="22"/>
                <w:szCs w:val="22"/>
              </w:rPr>
              <w:t>24</w:t>
            </w:r>
            <w:r w:rsidR="002122E1" w:rsidRPr="002122E1">
              <w:rPr>
                <w:webHidden/>
                <w:sz w:val="22"/>
                <w:szCs w:val="22"/>
              </w:rPr>
              <w:fldChar w:fldCharType="end"/>
            </w:r>
          </w:hyperlink>
        </w:p>
        <w:p w:rsidR="002122E1" w:rsidRPr="002122E1" w:rsidRDefault="00310BD3">
          <w:pPr>
            <w:pStyle w:val="TOC2"/>
            <w:rPr>
              <w:rFonts w:eastAsiaTheme="minorEastAsia" w:cstheme="minorBidi"/>
              <w:bCs w:val="0"/>
              <w:sz w:val="22"/>
              <w:szCs w:val="22"/>
              <w:lang w:val="en-US"/>
            </w:rPr>
          </w:pPr>
          <w:hyperlink w:anchor="_Toc102759886" w:history="1">
            <w:r w:rsidR="002122E1" w:rsidRPr="002122E1">
              <w:rPr>
                <w:rStyle w:val="Hyperlink"/>
                <w:sz w:val="22"/>
                <w:szCs w:val="22"/>
                <w:lang w:val="de-AT"/>
              </w:rPr>
              <w:t>Հավելված: Տնտեսության ճյուղերի և ենթաճյուղերի, արտահանման և ներմուծման ապրանքախմբերի հիմնական ցուցանիշների աղյուսակներ</w:t>
            </w:r>
            <w:r w:rsidR="002122E1" w:rsidRPr="002122E1">
              <w:rPr>
                <w:webHidden/>
                <w:sz w:val="22"/>
                <w:szCs w:val="22"/>
              </w:rPr>
              <w:tab/>
            </w:r>
            <w:r w:rsidR="002122E1" w:rsidRPr="002122E1">
              <w:rPr>
                <w:webHidden/>
                <w:sz w:val="22"/>
                <w:szCs w:val="22"/>
              </w:rPr>
              <w:fldChar w:fldCharType="begin"/>
            </w:r>
            <w:r w:rsidR="002122E1" w:rsidRPr="002122E1">
              <w:rPr>
                <w:webHidden/>
                <w:sz w:val="22"/>
                <w:szCs w:val="22"/>
              </w:rPr>
              <w:instrText xml:space="preserve"> PAGEREF _Toc102759886 \h </w:instrText>
            </w:r>
            <w:r w:rsidR="002122E1" w:rsidRPr="002122E1">
              <w:rPr>
                <w:webHidden/>
                <w:sz w:val="22"/>
                <w:szCs w:val="22"/>
              </w:rPr>
            </w:r>
            <w:r w:rsidR="002122E1" w:rsidRPr="002122E1">
              <w:rPr>
                <w:webHidden/>
                <w:sz w:val="22"/>
                <w:szCs w:val="22"/>
              </w:rPr>
              <w:fldChar w:fldCharType="separate"/>
            </w:r>
            <w:r w:rsidR="002122E1" w:rsidRPr="002122E1">
              <w:rPr>
                <w:webHidden/>
                <w:sz w:val="22"/>
                <w:szCs w:val="22"/>
              </w:rPr>
              <w:t>28</w:t>
            </w:r>
            <w:r w:rsidR="002122E1" w:rsidRPr="002122E1">
              <w:rPr>
                <w:webHidden/>
                <w:sz w:val="22"/>
                <w:szCs w:val="22"/>
              </w:rPr>
              <w:fldChar w:fldCharType="end"/>
            </w:r>
          </w:hyperlink>
        </w:p>
        <w:p w:rsidR="002122E1" w:rsidRDefault="002122E1">
          <w:pPr>
            <w:pStyle w:val="TOC1"/>
            <w:rPr>
              <w:rStyle w:val="Hyperlink"/>
              <w:sz w:val="22"/>
              <w:szCs w:val="22"/>
            </w:rPr>
          </w:pPr>
        </w:p>
        <w:p w:rsidR="002122E1" w:rsidRPr="002122E1" w:rsidRDefault="00310BD3">
          <w:pPr>
            <w:pStyle w:val="TOC1"/>
            <w:rPr>
              <w:rFonts w:eastAsiaTheme="minorEastAsia" w:cstheme="minorBidi"/>
              <w:b w:val="0"/>
              <w:bCs w:val="0"/>
              <w:caps w:val="0"/>
              <w:color w:val="auto"/>
              <w:sz w:val="22"/>
              <w:szCs w:val="22"/>
            </w:rPr>
          </w:pPr>
          <w:hyperlink w:anchor="_Toc102759887" w:history="1">
            <w:r w:rsidR="002122E1" w:rsidRPr="002122E1">
              <w:rPr>
                <w:rStyle w:val="Hyperlink"/>
                <w:sz w:val="22"/>
                <w:szCs w:val="22"/>
                <w:lang w:val="hy-AM"/>
              </w:rPr>
              <w:t>ՀՀ ՊԵՏԱԿԱՆ ԲՅՈՒՋԵԻ 2022 ԹՎԱԿԱՆԻ ԱՌԱՋԻՆ ԵՌԱՄՍՅԱԿԻ ՑՈՒՑԱՆԻՇՆԵՐԸ</w:t>
            </w:r>
            <w:r w:rsidR="002122E1" w:rsidRPr="002122E1">
              <w:rPr>
                <w:webHidden/>
                <w:sz w:val="22"/>
                <w:szCs w:val="22"/>
              </w:rPr>
              <w:tab/>
            </w:r>
            <w:r w:rsidR="002122E1" w:rsidRPr="002122E1">
              <w:rPr>
                <w:webHidden/>
                <w:sz w:val="22"/>
                <w:szCs w:val="22"/>
              </w:rPr>
              <w:fldChar w:fldCharType="begin"/>
            </w:r>
            <w:r w:rsidR="002122E1" w:rsidRPr="002122E1">
              <w:rPr>
                <w:webHidden/>
                <w:sz w:val="22"/>
                <w:szCs w:val="22"/>
              </w:rPr>
              <w:instrText xml:space="preserve"> PAGEREF _Toc102759887 \h </w:instrText>
            </w:r>
            <w:r w:rsidR="002122E1" w:rsidRPr="002122E1">
              <w:rPr>
                <w:webHidden/>
                <w:sz w:val="22"/>
                <w:szCs w:val="22"/>
              </w:rPr>
            </w:r>
            <w:r w:rsidR="002122E1" w:rsidRPr="002122E1">
              <w:rPr>
                <w:webHidden/>
                <w:sz w:val="22"/>
                <w:szCs w:val="22"/>
              </w:rPr>
              <w:fldChar w:fldCharType="separate"/>
            </w:r>
            <w:r w:rsidR="002122E1" w:rsidRPr="002122E1">
              <w:rPr>
                <w:webHidden/>
                <w:sz w:val="22"/>
                <w:szCs w:val="22"/>
              </w:rPr>
              <w:t>31</w:t>
            </w:r>
            <w:r w:rsidR="002122E1" w:rsidRPr="002122E1">
              <w:rPr>
                <w:webHidden/>
                <w:sz w:val="22"/>
                <w:szCs w:val="22"/>
              </w:rPr>
              <w:fldChar w:fldCharType="end"/>
            </w:r>
          </w:hyperlink>
        </w:p>
        <w:p w:rsidR="002122E1" w:rsidRDefault="002122E1">
          <w:pPr>
            <w:pStyle w:val="TOC1"/>
            <w:rPr>
              <w:rStyle w:val="Hyperlink"/>
              <w:sz w:val="22"/>
              <w:szCs w:val="22"/>
            </w:rPr>
          </w:pPr>
        </w:p>
        <w:p w:rsidR="002122E1" w:rsidRPr="002122E1" w:rsidRDefault="00310BD3">
          <w:pPr>
            <w:pStyle w:val="TOC1"/>
            <w:rPr>
              <w:rFonts w:eastAsiaTheme="minorEastAsia" w:cstheme="minorBidi"/>
              <w:b w:val="0"/>
              <w:bCs w:val="0"/>
              <w:caps w:val="0"/>
              <w:color w:val="auto"/>
              <w:sz w:val="22"/>
              <w:szCs w:val="22"/>
            </w:rPr>
          </w:pPr>
          <w:hyperlink w:anchor="_Toc102759888" w:history="1">
            <w:r w:rsidR="002122E1" w:rsidRPr="002122E1">
              <w:rPr>
                <w:rStyle w:val="Hyperlink"/>
                <w:sz w:val="22"/>
                <w:szCs w:val="22"/>
                <w:lang w:val="hy-AM"/>
              </w:rPr>
              <w:t>ՀՀ ՊԵՏԱԿԱՆ ԲՅՈՒՋԵԻ ԵԿԱՄՈՒՏՆԵՐԸ 2022 ԹՎԱԿԱՆԻ ԱՌԱՋԻՆ ԵՌԱՄՍՅԱԿՈՒՄ</w:t>
            </w:r>
            <w:r w:rsidR="002122E1" w:rsidRPr="002122E1">
              <w:rPr>
                <w:webHidden/>
                <w:sz w:val="22"/>
                <w:szCs w:val="22"/>
              </w:rPr>
              <w:tab/>
            </w:r>
            <w:r w:rsidR="002122E1" w:rsidRPr="002122E1">
              <w:rPr>
                <w:webHidden/>
                <w:sz w:val="22"/>
                <w:szCs w:val="22"/>
              </w:rPr>
              <w:fldChar w:fldCharType="begin"/>
            </w:r>
            <w:r w:rsidR="002122E1" w:rsidRPr="002122E1">
              <w:rPr>
                <w:webHidden/>
                <w:sz w:val="22"/>
                <w:szCs w:val="22"/>
              </w:rPr>
              <w:instrText xml:space="preserve"> PAGEREF _Toc102759888 \h </w:instrText>
            </w:r>
            <w:r w:rsidR="002122E1" w:rsidRPr="002122E1">
              <w:rPr>
                <w:webHidden/>
                <w:sz w:val="22"/>
                <w:szCs w:val="22"/>
              </w:rPr>
            </w:r>
            <w:r w:rsidR="002122E1" w:rsidRPr="002122E1">
              <w:rPr>
                <w:webHidden/>
                <w:sz w:val="22"/>
                <w:szCs w:val="22"/>
              </w:rPr>
              <w:fldChar w:fldCharType="separate"/>
            </w:r>
            <w:r w:rsidR="002122E1" w:rsidRPr="002122E1">
              <w:rPr>
                <w:webHidden/>
                <w:sz w:val="22"/>
                <w:szCs w:val="22"/>
              </w:rPr>
              <w:t>32</w:t>
            </w:r>
            <w:r w:rsidR="002122E1" w:rsidRPr="002122E1">
              <w:rPr>
                <w:webHidden/>
                <w:sz w:val="22"/>
                <w:szCs w:val="22"/>
              </w:rPr>
              <w:fldChar w:fldCharType="end"/>
            </w:r>
          </w:hyperlink>
        </w:p>
        <w:p w:rsidR="002122E1" w:rsidRDefault="002122E1" w:rsidP="002122E1">
          <w:pPr>
            <w:pStyle w:val="TOC2"/>
            <w:spacing w:line="240" w:lineRule="auto"/>
            <w:rPr>
              <w:rStyle w:val="Hyperlink"/>
              <w:sz w:val="22"/>
              <w:szCs w:val="22"/>
              <w:lang w:val="en-US"/>
            </w:rPr>
          </w:pPr>
        </w:p>
        <w:p w:rsidR="002122E1" w:rsidRPr="002122E1" w:rsidRDefault="00310BD3">
          <w:pPr>
            <w:pStyle w:val="TOC2"/>
            <w:rPr>
              <w:rFonts w:eastAsiaTheme="minorEastAsia" w:cstheme="minorBidi"/>
              <w:bCs w:val="0"/>
              <w:sz w:val="22"/>
              <w:szCs w:val="22"/>
              <w:lang w:val="en-US"/>
            </w:rPr>
          </w:pPr>
          <w:hyperlink w:anchor="_Toc102759889" w:history="1">
            <w:r w:rsidR="002122E1" w:rsidRPr="002122E1">
              <w:rPr>
                <w:rStyle w:val="Hyperlink"/>
                <w:sz w:val="22"/>
                <w:szCs w:val="22"/>
                <w:lang w:val="de-AT"/>
              </w:rPr>
              <w:t>Հարկային եկամուտներ և պետական տուրքեր</w:t>
            </w:r>
            <w:r w:rsidR="002122E1" w:rsidRPr="002122E1">
              <w:rPr>
                <w:webHidden/>
                <w:sz w:val="22"/>
                <w:szCs w:val="22"/>
              </w:rPr>
              <w:tab/>
            </w:r>
            <w:r w:rsidR="002122E1" w:rsidRPr="002122E1">
              <w:rPr>
                <w:webHidden/>
                <w:sz w:val="22"/>
                <w:szCs w:val="22"/>
              </w:rPr>
              <w:fldChar w:fldCharType="begin"/>
            </w:r>
            <w:r w:rsidR="002122E1" w:rsidRPr="002122E1">
              <w:rPr>
                <w:webHidden/>
                <w:sz w:val="22"/>
                <w:szCs w:val="22"/>
              </w:rPr>
              <w:instrText xml:space="preserve"> PAGEREF _Toc102759889 \h </w:instrText>
            </w:r>
            <w:r w:rsidR="002122E1" w:rsidRPr="002122E1">
              <w:rPr>
                <w:webHidden/>
                <w:sz w:val="22"/>
                <w:szCs w:val="22"/>
              </w:rPr>
            </w:r>
            <w:r w:rsidR="002122E1" w:rsidRPr="002122E1">
              <w:rPr>
                <w:webHidden/>
                <w:sz w:val="22"/>
                <w:szCs w:val="22"/>
              </w:rPr>
              <w:fldChar w:fldCharType="separate"/>
            </w:r>
            <w:r w:rsidR="002122E1" w:rsidRPr="002122E1">
              <w:rPr>
                <w:webHidden/>
                <w:sz w:val="22"/>
                <w:szCs w:val="22"/>
              </w:rPr>
              <w:t>33</w:t>
            </w:r>
            <w:r w:rsidR="002122E1" w:rsidRPr="002122E1">
              <w:rPr>
                <w:webHidden/>
                <w:sz w:val="22"/>
                <w:szCs w:val="22"/>
              </w:rPr>
              <w:fldChar w:fldCharType="end"/>
            </w:r>
          </w:hyperlink>
        </w:p>
        <w:p w:rsidR="002122E1" w:rsidRPr="002122E1" w:rsidRDefault="00310BD3">
          <w:pPr>
            <w:pStyle w:val="TOC2"/>
            <w:rPr>
              <w:rFonts w:eastAsiaTheme="minorEastAsia" w:cstheme="minorBidi"/>
              <w:bCs w:val="0"/>
              <w:sz w:val="22"/>
              <w:szCs w:val="22"/>
              <w:lang w:val="en-US"/>
            </w:rPr>
          </w:pPr>
          <w:hyperlink w:anchor="_Toc102759890" w:history="1">
            <w:r w:rsidR="002122E1" w:rsidRPr="002122E1">
              <w:rPr>
                <w:rStyle w:val="Hyperlink"/>
                <w:sz w:val="22"/>
                <w:szCs w:val="22"/>
                <w:lang w:val="de-AT"/>
              </w:rPr>
              <w:t>Պաշտոնական դրամաշնորհներ</w:t>
            </w:r>
            <w:r w:rsidR="002122E1" w:rsidRPr="002122E1">
              <w:rPr>
                <w:webHidden/>
                <w:sz w:val="22"/>
                <w:szCs w:val="22"/>
              </w:rPr>
              <w:tab/>
            </w:r>
            <w:r w:rsidR="002122E1" w:rsidRPr="002122E1">
              <w:rPr>
                <w:webHidden/>
                <w:sz w:val="22"/>
                <w:szCs w:val="22"/>
              </w:rPr>
              <w:fldChar w:fldCharType="begin"/>
            </w:r>
            <w:r w:rsidR="002122E1" w:rsidRPr="002122E1">
              <w:rPr>
                <w:webHidden/>
                <w:sz w:val="22"/>
                <w:szCs w:val="22"/>
              </w:rPr>
              <w:instrText xml:space="preserve"> PAGEREF _Toc102759890 \h </w:instrText>
            </w:r>
            <w:r w:rsidR="002122E1" w:rsidRPr="002122E1">
              <w:rPr>
                <w:webHidden/>
                <w:sz w:val="22"/>
                <w:szCs w:val="22"/>
              </w:rPr>
            </w:r>
            <w:r w:rsidR="002122E1" w:rsidRPr="002122E1">
              <w:rPr>
                <w:webHidden/>
                <w:sz w:val="22"/>
                <w:szCs w:val="22"/>
              </w:rPr>
              <w:fldChar w:fldCharType="separate"/>
            </w:r>
            <w:r w:rsidR="002122E1" w:rsidRPr="002122E1">
              <w:rPr>
                <w:webHidden/>
                <w:sz w:val="22"/>
                <w:szCs w:val="22"/>
              </w:rPr>
              <w:t>40</w:t>
            </w:r>
            <w:r w:rsidR="002122E1" w:rsidRPr="002122E1">
              <w:rPr>
                <w:webHidden/>
                <w:sz w:val="22"/>
                <w:szCs w:val="22"/>
              </w:rPr>
              <w:fldChar w:fldCharType="end"/>
            </w:r>
          </w:hyperlink>
        </w:p>
        <w:p w:rsidR="002122E1" w:rsidRPr="002122E1" w:rsidRDefault="00310BD3">
          <w:pPr>
            <w:pStyle w:val="TOC2"/>
            <w:rPr>
              <w:rFonts w:eastAsiaTheme="minorEastAsia" w:cstheme="minorBidi"/>
              <w:bCs w:val="0"/>
              <w:sz w:val="22"/>
              <w:szCs w:val="22"/>
              <w:lang w:val="en-US"/>
            </w:rPr>
          </w:pPr>
          <w:hyperlink w:anchor="_Toc102759891" w:history="1">
            <w:r w:rsidR="002122E1" w:rsidRPr="002122E1">
              <w:rPr>
                <w:rStyle w:val="Hyperlink"/>
                <w:sz w:val="22"/>
                <w:szCs w:val="22"/>
                <w:lang w:val="de-AT"/>
              </w:rPr>
              <w:t>Այլ եկամուտներ</w:t>
            </w:r>
            <w:r w:rsidR="002122E1" w:rsidRPr="002122E1">
              <w:rPr>
                <w:webHidden/>
                <w:sz w:val="22"/>
                <w:szCs w:val="22"/>
              </w:rPr>
              <w:tab/>
            </w:r>
            <w:r w:rsidR="002122E1" w:rsidRPr="002122E1">
              <w:rPr>
                <w:webHidden/>
                <w:sz w:val="22"/>
                <w:szCs w:val="22"/>
              </w:rPr>
              <w:fldChar w:fldCharType="begin"/>
            </w:r>
            <w:r w:rsidR="002122E1" w:rsidRPr="002122E1">
              <w:rPr>
                <w:webHidden/>
                <w:sz w:val="22"/>
                <w:szCs w:val="22"/>
              </w:rPr>
              <w:instrText xml:space="preserve"> PAGEREF _Toc102759891 \h </w:instrText>
            </w:r>
            <w:r w:rsidR="002122E1" w:rsidRPr="002122E1">
              <w:rPr>
                <w:webHidden/>
                <w:sz w:val="22"/>
                <w:szCs w:val="22"/>
              </w:rPr>
            </w:r>
            <w:r w:rsidR="002122E1" w:rsidRPr="002122E1">
              <w:rPr>
                <w:webHidden/>
                <w:sz w:val="22"/>
                <w:szCs w:val="22"/>
              </w:rPr>
              <w:fldChar w:fldCharType="separate"/>
            </w:r>
            <w:r w:rsidR="002122E1" w:rsidRPr="002122E1">
              <w:rPr>
                <w:webHidden/>
                <w:sz w:val="22"/>
                <w:szCs w:val="22"/>
              </w:rPr>
              <w:t>41</w:t>
            </w:r>
            <w:r w:rsidR="002122E1" w:rsidRPr="002122E1">
              <w:rPr>
                <w:webHidden/>
                <w:sz w:val="22"/>
                <w:szCs w:val="22"/>
              </w:rPr>
              <w:fldChar w:fldCharType="end"/>
            </w:r>
          </w:hyperlink>
        </w:p>
        <w:p w:rsidR="002122E1" w:rsidRDefault="002122E1">
          <w:pPr>
            <w:pStyle w:val="TOC1"/>
            <w:rPr>
              <w:rStyle w:val="Hyperlink"/>
              <w:sz w:val="22"/>
              <w:szCs w:val="22"/>
            </w:rPr>
          </w:pPr>
        </w:p>
        <w:p w:rsidR="002122E1" w:rsidRPr="002122E1" w:rsidRDefault="00310BD3" w:rsidP="002122E1">
          <w:pPr>
            <w:pStyle w:val="TOC1"/>
            <w:spacing w:line="276" w:lineRule="auto"/>
            <w:rPr>
              <w:rFonts w:eastAsiaTheme="minorEastAsia" w:cstheme="minorBidi"/>
              <w:b w:val="0"/>
              <w:bCs w:val="0"/>
              <w:caps w:val="0"/>
              <w:color w:val="auto"/>
              <w:sz w:val="22"/>
              <w:szCs w:val="22"/>
            </w:rPr>
          </w:pPr>
          <w:hyperlink w:anchor="_Toc102759892" w:history="1">
            <w:r w:rsidR="002122E1" w:rsidRPr="002122E1">
              <w:rPr>
                <w:rStyle w:val="Hyperlink"/>
                <w:sz w:val="22"/>
                <w:szCs w:val="22"/>
                <w:lang w:val="hy-AM"/>
              </w:rPr>
              <w:t>ՀՀ ՊԵՏԱԿԱՆ ԲՅՈՒՋԵԻ ԾԱԽՍԵՐԸ 2022 ԹՎԱԿԱՆԻ ԱՌԱՋԻՆ ԵՌԱՄՍՅԱԿՈՒՄ</w:t>
            </w:r>
            <w:r w:rsidR="002122E1" w:rsidRPr="002122E1">
              <w:rPr>
                <w:webHidden/>
                <w:sz w:val="22"/>
                <w:szCs w:val="22"/>
              </w:rPr>
              <w:tab/>
            </w:r>
            <w:r w:rsidR="002122E1" w:rsidRPr="002122E1">
              <w:rPr>
                <w:webHidden/>
                <w:sz w:val="22"/>
                <w:szCs w:val="22"/>
              </w:rPr>
              <w:fldChar w:fldCharType="begin"/>
            </w:r>
            <w:r w:rsidR="002122E1" w:rsidRPr="002122E1">
              <w:rPr>
                <w:webHidden/>
                <w:sz w:val="22"/>
                <w:szCs w:val="22"/>
              </w:rPr>
              <w:instrText xml:space="preserve"> PAGEREF _Toc102759892 \h </w:instrText>
            </w:r>
            <w:r w:rsidR="002122E1" w:rsidRPr="002122E1">
              <w:rPr>
                <w:webHidden/>
                <w:sz w:val="22"/>
                <w:szCs w:val="22"/>
              </w:rPr>
            </w:r>
            <w:r w:rsidR="002122E1" w:rsidRPr="002122E1">
              <w:rPr>
                <w:webHidden/>
                <w:sz w:val="22"/>
                <w:szCs w:val="22"/>
              </w:rPr>
              <w:fldChar w:fldCharType="separate"/>
            </w:r>
            <w:r w:rsidR="002122E1" w:rsidRPr="002122E1">
              <w:rPr>
                <w:webHidden/>
                <w:sz w:val="22"/>
                <w:szCs w:val="22"/>
              </w:rPr>
              <w:t>45</w:t>
            </w:r>
            <w:r w:rsidR="002122E1" w:rsidRPr="002122E1">
              <w:rPr>
                <w:webHidden/>
                <w:sz w:val="22"/>
                <w:szCs w:val="22"/>
              </w:rPr>
              <w:fldChar w:fldCharType="end"/>
            </w:r>
          </w:hyperlink>
        </w:p>
        <w:p w:rsidR="002122E1" w:rsidRPr="002122E1" w:rsidRDefault="00310BD3">
          <w:pPr>
            <w:pStyle w:val="TOC2"/>
            <w:rPr>
              <w:rFonts w:eastAsiaTheme="minorEastAsia" w:cstheme="minorBidi"/>
              <w:bCs w:val="0"/>
              <w:sz w:val="22"/>
              <w:szCs w:val="22"/>
              <w:lang w:val="en-US"/>
            </w:rPr>
          </w:pPr>
          <w:hyperlink w:anchor="_Toc102759893" w:history="1">
            <w:r w:rsidR="002122E1" w:rsidRPr="002122E1">
              <w:rPr>
                <w:rStyle w:val="Hyperlink"/>
                <w:sz w:val="22"/>
                <w:szCs w:val="22"/>
                <w:lang w:val="de-AT"/>
              </w:rPr>
              <w:t>ՀՀ պետական բյուջեի ծախսերը ծրագրային դասակարգմամբ</w:t>
            </w:r>
            <w:r w:rsidR="002122E1" w:rsidRPr="002122E1">
              <w:rPr>
                <w:webHidden/>
                <w:sz w:val="22"/>
                <w:szCs w:val="22"/>
              </w:rPr>
              <w:tab/>
            </w:r>
            <w:r w:rsidR="002122E1" w:rsidRPr="002122E1">
              <w:rPr>
                <w:webHidden/>
                <w:sz w:val="22"/>
                <w:szCs w:val="22"/>
              </w:rPr>
              <w:fldChar w:fldCharType="begin"/>
            </w:r>
            <w:r w:rsidR="002122E1" w:rsidRPr="002122E1">
              <w:rPr>
                <w:webHidden/>
                <w:sz w:val="22"/>
                <w:szCs w:val="22"/>
              </w:rPr>
              <w:instrText xml:space="preserve"> PAGEREF _Toc102759893 \h </w:instrText>
            </w:r>
            <w:r w:rsidR="002122E1" w:rsidRPr="002122E1">
              <w:rPr>
                <w:webHidden/>
                <w:sz w:val="22"/>
                <w:szCs w:val="22"/>
              </w:rPr>
            </w:r>
            <w:r w:rsidR="002122E1" w:rsidRPr="002122E1">
              <w:rPr>
                <w:webHidden/>
                <w:sz w:val="22"/>
                <w:szCs w:val="22"/>
              </w:rPr>
              <w:fldChar w:fldCharType="separate"/>
            </w:r>
            <w:r w:rsidR="002122E1" w:rsidRPr="002122E1">
              <w:rPr>
                <w:webHidden/>
                <w:sz w:val="22"/>
                <w:szCs w:val="22"/>
              </w:rPr>
              <w:t>51</w:t>
            </w:r>
            <w:r w:rsidR="002122E1" w:rsidRPr="002122E1">
              <w:rPr>
                <w:webHidden/>
                <w:sz w:val="22"/>
                <w:szCs w:val="22"/>
              </w:rPr>
              <w:fldChar w:fldCharType="end"/>
            </w:r>
          </w:hyperlink>
        </w:p>
        <w:p w:rsidR="002122E1" w:rsidRDefault="002122E1">
          <w:pPr>
            <w:pStyle w:val="TOC1"/>
            <w:rPr>
              <w:rStyle w:val="Hyperlink"/>
              <w:sz w:val="22"/>
              <w:szCs w:val="22"/>
            </w:rPr>
          </w:pPr>
        </w:p>
        <w:p w:rsidR="002122E1" w:rsidRPr="002122E1" w:rsidRDefault="00310BD3">
          <w:pPr>
            <w:pStyle w:val="TOC1"/>
            <w:rPr>
              <w:rFonts w:eastAsiaTheme="minorEastAsia" w:cstheme="minorBidi"/>
              <w:b w:val="0"/>
              <w:bCs w:val="0"/>
              <w:caps w:val="0"/>
              <w:color w:val="auto"/>
              <w:sz w:val="22"/>
              <w:szCs w:val="22"/>
            </w:rPr>
          </w:pPr>
          <w:hyperlink w:anchor="_Toc102759894" w:history="1">
            <w:r w:rsidR="002122E1" w:rsidRPr="002122E1">
              <w:rPr>
                <w:rStyle w:val="Hyperlink"/>
                <w:sz w:val="22"/>
                <w:szCs w:val="22"/>
                <w:lang w:val="hy-AM"/>
              </w:rPr>
              <w:t>ՀՀ</w:t>
            </w:r>
            <w:r w:rsidR="002122E1" w:rsidRPr="002122E1">
              <w:rPr>
                <w:rStyle w:val="Hyperlink"/>
                <w:sz w:val="22"/>
                <w:szCs w:val="22"/>
              </w:rPr>
              <w:t xml:space="preserve"> </w:t>
            </w:r>
            <w:r w:rsidR="002122E1" w:rsidRPr="002122E1">
              <w:rPr>
                <w:rStyle w:val="Hyperlink"/>
                <w:sz w:val="22"/>
                <w:szCs w:val="22"/>
                <w:lang w:val="hy-AM"/>
              </w:rPr>
              <w:t xml:space="preserve">2022 ԹՎԱԿԱՆԻ ԱՌԱՋԻՆ ԵՌԱՄՍՅԱԿԻ ՊԵՏԱԿԱՆ ԲՅՈՒՋԵԻ </w:t>
            </w:r>
            <w:r w:rsidR="002122E1" w:rsidRPr="002122E1">
              <w:rPr>
                <w:rStyle w:val="Hyperlink"/>
                <w:sz w:val="22"/>
                <w:szCs w:val="22"/>
              </w:rPr>
              <w:t>ՀԱՎԵԼ</w:t>
            </w:r>
            <w:r w:rsidR="002122E1" w:rsidRPr="002122E1">
              <w:rPr>
                <w:rStyle w:val="Hyperlink"/>
                <w:sz w:val="22"/>
                <w:szCs w:val="22"/>
                <w:lang w:val="hy-AM"/>
              </w:rPr>
              <w:t>ՈՒՐԴԸ</w:t>
            </w:r>
            <w:r w:rsidR="002122E1" w:rsidRPr="002122E1">
              <w:rPr>
                <w:webHidden/>
                <w:sz w:val="22"/>
                <w:szCs w:val="22"/>
              </w:rPr>
              <w:tab/>
            </w:r>
            <w:r w:rsidR="002122E1" w:rsidRPr="002122E1">
              <w:rPr>
                <w:webHidden/>
                <w:sz w:val="22"/>
                <w:szCs w:val="22"/>
              </w:rPr>
              <w:fldChar w:fldCharType="begin"/>
            </w:r>
            <w:r w:rsidR="002122E1" w:rsidRPr="002122E1">
              <w:rPr>
                <w:webHidden/>
                <w:sz w:val="22"/>
                <w:szCs w:val="22"/>
              </w:rPr>
              <w:instrText xml:space="preserve"> PAGEREF _Toc102759894 \h </w:instrText>
            </w:r>
            <w:r w:rsidR="002122E1" w:rsidRPr="002122E1">
              <w:rPr>
                <w:webHidden/>
                <w:sz w:val="22"/>
                <w:szCs w:val="22"/>
              </w:rPr>
            </w:r>
            <w:r w:rsidR="002122E1" w:rsidRPr="002122E1">
              <w:rPr>
                <w:webHidden/>
                <w:sz w:val="22"/>
                <w:szCs w:val="22"/>
              </w:rPr>
              <w:fldChar w:fldCharType="separate"/>
            </w:r>
            <w:r w:rsidR="002122E1" w:rsidRPr="002122E1">
              <w:rPr>
                <w:webHidden/>
                <w:sz w:val="22"/>
                <w:szCs w:val="22"/>
              </w:rPr>
              <w:t>125</w:t>
            </w:r>
            <w:r w:rsidR="002122E1" w:rsidRPr="002122E1">
              <w:rPr>
                <w:webHidden/>
                <w:sz w:val="22"/>
                <w:szCs w:val="22"/>
              </w:rPr>
              <w:fldChar w:fldCharType="end"/>
            </w:r>
          </w:hyperlink>
        </w:p>
        <w:p w:rsidR="002122E1" w:rsidRDefault="002122E1">
          <w:pPr>
            <w:pStyle w:val="TOC1"/>
            <w:rPr>
              <w:rStyle w:val="Hyperlink"/>
              <w:sz w:val="22"/>
              <w:szCs w:val="22"/>
            </w:rPr>
          </w:pPr>
        </w:p>
        <w:p w:rsidR="002122E1" w:rsidRPr="002122E1" w:rsidRDefault="00310BD3">
          <w:pPr>
            <w:pStyle w:val="TOC1"/>
            <w:rPr>
              <w:rFonts w:eastAsiaTheme="minorEastAsia" w:cstheme="minorBidi"/>
              <w:b w:val="0"/>
              <w:bCs w:val="0"/>
              <w:caps w:val="0"/>
              <w:color w:val="auto"/>
              <w:sz w:val="22"/>
              <w:szCs w:val="22"/>
            </w:rPr>
          </w:pPr>
          <w:hyperlink w:anchor="_Toc102759895" w:history="1">
            <w:r w:rsidR="002122E1" w:rsidRPr="002122E1">
              <w:rPr>
                <w:rStyle w:val="Hyperlink"/>
                <w:sz w:val="22"/>
                <w:szCs w:val="22"/>
                <w:lang w:val="hy-AM"/>
              </w:rPr>
              <w:t>ՀՀ ՊԵՏԱԿԱՆ ՊԱՐՏՔԸ</w:t>
            </w:r>
            <w:r w:rsidR="002122E1" w:rsidRPr="002122E1">
              <w:rPr>
                <w:webHidden/>
                <w:sz w:val="22"/>
                <w:szCs w:val="22"/>
              </w:rPr>
              <w:tab/>
            </w:r>
            <w:r w:rsidR="002122E1" w:rsidRPr="002122E1">
              <w:rPr>
                <w:webHidden/>
                <w:sz w:val="22"/>
                <w:szCs w:val="22"/>
              </w:rPr>
              <w:fldChar w:fldCharType="begin"/>
            </w:r>
            <w:r w:rsidR="002122E1" w:rsidRPr="002122E1">
              <w:rPr>
                <w:webHidden/>
                <w:sz w:val="22"/>
                <w:szCs w:val="22"/>
              </w:rPr>
              <w:instrText xml:space="preserve"> PAGEREF _Toc102759895 \h </w:instrText>
            </w:r>
            <w:r w:rsidR="002122E1" w:rsidRPr="002122E1">
              <w:rPr>
                <w:webHidden/>
                <w:sz w:val="22"/>
                <w:szCs w:val="22"/>
              </w:rPr>
            </w:r>
            <w:r w:rsidR="002122E1" w:rsidRPr="002122E1">
              <w:rPr>
                <w:webHidden/>
                <w:sz w:val="22"/>
                <w:szCs w:val="22"/>
              </w:rPr>
              <w:fldChar w:fldCharType="separate"/>
            </w:r>
            <w:r w:rsidR="002122E1" w:rsidRPr="002122E1">
              <w:rPr>
                <w:webHidden/>
                <w:sz w:val="22"/>
                <w:szCs w:val="22"/>
              </w:rPr>
              <w:t>132</w:t>
            </w:r>
            <w:r w:rsidR="002122E1" w:rsidRPr="002122E1">
              <w:rPr>
                <w:webHidden/>
                <w:sz w:val="22"/>
                <w:szCs w:val="22"/>
              </w:rPr>
              <w:fldChar w:fldCharType="end"/>
            </w:r>
          </w:hyperlink>
        </w:p>
        <w:p w:rsidR="00647147" w:rsidRPr="00E37514" w:rsidRDefault="00E37514" w:rsidP="00E37514">
          <w:pPr>
            <w:sectPr w:rsidR="00647147" w:rsidRPr="00E37514" w:rsidSect="00E37514">
              <w:footerReference w:type="default" r:id="rId9"/>
              <w:pgSz w:w="11907" w:h="16840" w:code="9"/>
              <w:pgMar w:top="1134" w:right="567" w:bottom="567" w:left="1134" w:header="567" w:footer="340" w:gutter="0"/>
              <w:pgNumType w:start="2"/>
              <w:cols w:space="720"/>
            </w:sectPr>
          </w:pPr>
          <w:r w:rsidRPr="002122E1">
            <w:rPr>
              <w:rFonts w:ascii="GHEA Grapalat" w:hAnsi="GHEA Grapalat"/>
              <w:b/>
              <w:bCs/>
              <w:noProof/>
              <w:sz w:val="22"/>
              <w:szCs w:val="22"/>
            </w:rPr>
            <w:fldChar w:fldCharType="end"/>
          </w:r>
        </w:p>
      </w:sdtContent>
    </w:sdt>
    <w:p w:rsidR="00756F85" w:rsidRPr="00B57DAB" w:rsidRDefault="00756F85" w:rsidP="00D95F0B">
      <w:pPr>
        <w:pStyle w:val="Heading1"/>
        <w:overflowPunct/>
        <w:autoSpaceDE/>
        <w:autoSpaceDN/>
        <w:adjustRightInd/>
        <w:spacing w:line="240" w:lineRule="auto"/>
        <w:ind w:firstLine="0"/>
        <w:jc w:val="left"/>
        <w:textAlignment w:val="auto"/>
        <w:rPr>
          <w:rFonts w:ascii="GHEA Grapalat" w:hAnsi="GHEA Grapalat" w:cs="Sylfaen"/>
          <w:noProof/>
          <w:sz w:val="22"/>
          <w:szCs w:val="22"/>
          <w:lang w:val="hy-AM"/>
        </w:rPr>
      </w:pPr>
      <w:bookmarkStart w:id="2" w:name="_Toc100649870"/>
      <w:bookmarkStart w:id="3" w:name="_Toc102759880"/>
      <w:bookmarkStart w:id="4" w:name="_Toc100247626"/>
      <w:bookmarkStart w:id="5" w:name="_Toc87365141"/>
      <w:bookmarkStart w:id="6" w:name="_Toc8210486"/>
      <w:bookmarkStart w:id="7" w:name="_Toc71311890"/>
      <w:bookmarkEnd w:id="0"/>
      <w:bookmarkEnd w:id="1"/>
      <w:r w:rsidRPr="00B57DAB">
        <w:rPr>
          <w:rFonts w:ascii="GHEA Grapalat" w:hAnsi="GHEA Grapalat" w:cs="Sylfaen"/>
          <w:noProof/>
          <w:sz w:val="22"/>
          <w:szCs w:val="22"/>
          <w:lang w:val="hy-AM"/>
        </w:rPr>
        <w:lastRenderedPageBreak/>
        <w:t>ՀԱՅԱՍՏԱՆԻ ՀԱՆՐԱՊԵՏՈՒԹՅԱՆ 202</w:t>
      </w:r>
      <w:r w:rsidR="002122E1">
        <w:rPr>
          <w:rFonts w:ascii="GHEA Grapalat" w:hAnsi="GHEA Grapalat" w:cs="Sylfaen"/>
          <w:noProof/>
          <w:sz w:val="22"/>
          <w:szCs w:val="22"/>
        </w:rPr>
        <w:t>2</w:t>
      </w:r>
      <w:r w:rsidRPr="00B57DAB">
        <w:rPr>
          <w:rFonts w:ascii="GHEA Grapalat" w:hAnsi="GHEA Grapalat" w:cs="Sylfaen"/>
          <w:noProof/>
          <w:sz w:val="22"/>
          <w:szCs w:val="22"/>
          <w:lang w:val="hy-AM"/>
        </w:rPr>
        <w:t xml:space="preserve"> ԹՎԱԿԱՆԻ</w:t>
      </w:r>
      <w:r w:rsidR="002122E1">
        <w:rPr>
          <w:rFonts w:ascii="GHEA Grapalat" w:hAnsi="GHEA Grapalat" w:cs="Sylfaen"/>
          <w:noProof/>
          <w:sz w:val="22"/>
          <w:szCs w:val="22"/>
        </w:rPr>
        <w:t xml:space="preserve"> ԱՌԱՋԻՆ ԵՌԱՄՍՅԱԿԻ</w:t>
      </w:r>
      <w:r w:rsidRPr="00B57DAB">
        <w:rPr>
          <w:rFonts w:ascii="GHEA Grapalat" w:hAnsi="GHEA Grapalat" w:cs="Sylfaen"/>
          <w:noProof/>
          <w:sz w:val="22"/>
          <w:szCs w:val="22"/>
          <w:lang w:val="hy-AM"/>
        </w:rPr>
        <w:t xml:space="preserve"> ՊԵՏԱԿԱՆ ԲՅՈՒՋԵԻ ԿԱՏԱՐՄԱՆ ԱՄՓՈՓԱԳԻՐ</w:t>
      </w:r>
      <w:bookmarkEnd w:id="2"/>
      <w:bookmarkEnd w:id="3"/>
    </w:p>
    <w:p w:rsidR="00756F85" w:rsidRPr="00B57DAB" w:rsidRDefault="00756F85" w:rsidP="00756F85">
      <w:pPr>
        <w:pStyle w:val="ListParagraph"/>
        <w:autoSpaceDE w:val="0"/>
        <w:autoSpaceDN w:val="0"/>
        <w:adjustRightInd w:val="0"/>
        <w:spacing w:line="336" w:lineRule="auto"/>
        <w:ind w:left="284"/>
        <w:contextualSpacing w:val="0"/>
        <w:jc w:val="both"/>
        <w:rPr>
          <w:rFonts w:ascii="GHEA Grapalat" w:hAnsi="GHEA Grapalat" w:cs="GHEA Grapalat"/>
          <w:sz w:val="22"/>
          <w:szCs w:val="22"/>
          <w:lang w:val="hy-AM"/>
        </w:rPr>
      </w:pPr>
    </w:p>
    <w:p w:rsidR="00756F85" w:rsidRPr="00B57DAB" w:rsidRDefault="00756F85" w:rsidP="00756F85">
      <w:pPr>
        <w:spacing w:line="360" w:lineRule="auto"/>
        <w:rPr>
          <w:rFonts w:ascii="GHEA Grapalat" w:eastAsia="GHEA Grapalat" w:hAnsi="GHEA Grapalat"/>
          <w:b/>
          <w:noProof/>
          <w:sz w:val="22"/>
          <w:szCs w:val="22"/>
          <w:lang w:val="hy-AM"/>
        </w:rPr>
      </w:pPr>
      <w:r w:rsidRPr="00B57DAB">
        <w:rPr>
          <w:rFonts w:ascii="GHEA Grapalat" w:eastAsia="GHEA Grapalat" w:hAnsi="GHEA Grapalat"/>
          <w:b/>
          <w:noProof/>
          <w:sz w:val="22"/>
          <w:szCs w:val="22"/>
          <w:lang w:val="hy-AM"/>
        </w:rPr>
        <w:t>ՄԱԿՐՈՏՆՏԵՍԱԿԱՆ ԵՎ ՀԱՐԿԱԲՅՈՒՋԵՏԱՅԻՆ ԱՄՓՈՓԱԳԻՐ</w:t>
      </w:r>
      <w:bookmarkEnd w:id="4"/>
    </w:p>
    <w:p w:rsidR="00D46EE2" w:rsidRPr="00B57DAB" w:rsidRDefault="00D46EE2" w:rsidP="00D46EE2">
      <w:pPr>
        <w:pStyle w:val="ListParagraph"/>
        <w:numPr>
          <w:ilvl w:val="0"/>
          <w:numId w:val="17"/>
        </w:numPr>
        <w:autoSpaceDE w:val="0"/>
        <w:autoSpaceDN w:val="0"/>
        <w:adjustRightInd w:val="0"/>
        <w:spacing w:line="336" w:lineRule="auto"/>
        <w:contextualSpacing w:val="0"/>
        <w:jc w:val="both"/>
        <w:rPr>
          <w:rFonts w:ascii="GHEA Grapalat" w:hAnsi="GHEA Grapalat"/>
          <w:sz w:val="22"/>
          <w:szCs w:val="22"/>
          <w:lang w:val="hy-AM"/>
        </w:rPr>
      </w:pPr>
      <w:r w:rsidRPr="00B57DAB">
        <w:rPr>
          <w:rFonts w:ascii="GHEA Grapalat" w:hAnsi="GHEA Grapalat"/>
          <w:sz w:val="22"/>
          <w:szCs w:val="22"/>
          <w:lang w:val="hy-AM"/>
        </w:rPr>
        <w:t xml:space="preserve">2021 թվականից համաշխարհային տնտեսությունը, այդ թվում՝ ՀՀ գործընկեր երկրների տնտեսությունները թևակոխել էին տնտեսական աճի վերականգնման փուլ, որը շարունակվել է նաև 2022 թվականի առաջին եռամսյակում։ Սակայն, ռուս-ուկրաինական հակամարտությամբ և դրա արդյունքում ՌԴ-ի նկատմամբ կիրառվող աննախադեպ պատժամիջոցների բացասական ազդեցություններով պայմանավորված, մարտ ամսից սկսել են դրսևորվել տնտեսական ակտիվության դանդաղման միտումներ: Կորոնավիրուսի համավարակի հետևանքով ստեղծված առաջարկի սահմանափակումների պայմաններում համաշխարհային պահանջարկի վերականգնման, ինչպես նաև ռուս-ուկրաինական հակամարտության ազդեցությամբ միջազգային (այդ թվում՝ հումքային) շուկաներում գրանցվել են բարձր գնաճային միտումներ: </w:t>
      </w:r>
    </w:p>
    <w:p w:rsidR="00D46EE2" w:rsidRPr="00B57DAB" w:rsidRDefault="00D46EE2" w:rsidP="00D46EE2">
      <w:pPr>
        <w:pStyle w:val="ListParagraph"/>
        <w:numPr>
          <w:ilvl w:val="0"/>
          <w:numId w:val="17"/>
        </w:numPr>
        <w:autoSpaceDE w:val="0"/>
        <w:autoSpaceDN w:val="0"/>
        <w:adjustRightInd w:val="0"/>
        <w:spacing w:line="336" w:lineRule="auto"/>
        <w:contextualSpacing w:val="0"/>
        <w:jc w:val="both"/>
        <w:rPr>
          <w:rFonts w:ascii="GHEA Grapalat" w:hAnsi="GHEA Grapalat"/>
          <w:sz w:val="22"/>
          <w:szCs w:val="22"/>
          <w:lang w:val="hy-AM"/>
        </w:rPr>
      </w:pPr>
      <w:r w:rsidRPr="00B57DAB">
        <w:rPr>
          <w:rFonts w:ascii="GHEA Grapalat" w:hAnsi="GHEA Grapalat"/>
          <w:sz w:val="22"/>
          <w:szCs w:val="22"/>
          <w:lang w:val="hy-AM"/>
        </w:rPr>
        <w:t>Համավարակի և Արցախյան պատերազմի շոկերից հետո տնտեսության 2021 թվականի վերականգնման տեմպեր</w:t>
      </w:r>
      <w:r w:rsidRPr="00B57DAB">
        <w:rPr>
          <w:rFonts w:ascii="GHEA Grapalat" w:hAnsi="GHEA Grapalat"/>
          <w:sz w:val="22"/>
          <w:szCs w:val="22"/>
        </w:rPr>
        <w:t>ն</w:t>
      </w:r>
      <w:r w:rsidRPr="00B57DAB">
        <w:rPr>
          <w:rFonts w:ascii="GHEA Grapalat" w:hAnsi="GHEA Grapalat"/>
          <w:sz w:val="22"/>
          <w:szCs w:val="22"/>
          <w:lang w:val="hy-AM"/>
        </w:rPr>
        <w:t xml:space="preserve"> արագացան 2022 թվականի տարեսկզբին։ Չնայած փետրվարի վերջերից սկիզբ առած ռուս-ուկրաինական հակամարտության և Ռուսաստանի դեմ կիրառված պատժամիջոցների բացասական ազդեցությունների հետևանքով տնտեսական ակտիվության որոշակի դանդաղմանը, այնուամենայնիվ բարձր աճի տեմպերը պահպանվում են, հատկապես՝ ծառայությունների ոլորտում: Արդյունքում հունվար-մարտին գրանցվել է 9.6% տնտեսական ակտիվության աճ: 2022 թվականի առաջին եռամսյակում տնտեսության բոլոր ճյուղերում, բացառությամբ գյուղատնտեսության, գրանցվել է թողարկման ծավալների աճ: Տնտեսական ակտիվության աճն ուղեկցվել է ներքին պահանջարկի աճով:</w:t>
      </w:r>
    </w:p>
    <w:p w:rsidR="00D46EE2" w:rsidRPr="00B57DAB" w:rsidRDefault="00D46EE2" w:rsidP="00D46EE2">
      <w:pPr>
        <w:pStyle w:val="ListParagraph"/>
        <w:numPr>
          <w:ilvl w:val="0"/>
          <w:numId w:val="17"/>
        </w:numPr>
        <w:autoSpaceDE w:val="0"/>
        <w:autoSpaceDN w:val="0"/>
        <w:adjustRightInd w:val="0"/>
        <w:spacing w:line="336" w:lineRule="auto"/>
        <w:contextualSpacing w:val="0"/>
        <w:jc w:val="both"/>
        <w:rPr>
          <w:rFonts w:ascii="GHEA Grapalat" w:hAnsi="GHEA Grapalat"/>
          <w:sz w:val="22"/>
          <w:szCs w:val="22"/>
          <w:lang w:val="hy-AM"/>
        </w:rPr>
      </w:pPr>
      <w:r w:rsidRPr="00B57DAB">
        <w:rPr>
          <w:rFonts w:ascii="GHEA Grapalat" w:hAnsi="GHEA Grapalat"/>
          <w:sz w:val="22"/>
          <w:szCs w:val="22"/>
          <w:lang w:val="hy-AM"/>
        </w:rPr>
        <w:t>2022 թվականի առաջին եռամսյակում ներքին և արտաքին պահանջարկի վերականգնման պայմաններում արտաքին առևտուրը նշանակալի աճ է գրանցել. ապրանքների արտահանումն աճել է 26.9%-ով, իսկ ներմուծումը՝ 45.6%-ով։ Հունվար-մարտին արձանագրված արտաքին առևտրի աճի բարձր տեմպերը</w:t>
      </w:r>
      <w:r w:rsidRPr="00B57DAB">
        <w:rPr>
          <w:rFonts w:ascii="GHEA Grapalat" w:hAnsi="GHEA Grapalat"/>
          <w:sz w:val="22"/>
          <w:szCs w:val="22"/>
        </w:rPr>
        <w:t>,</w:t>
      </w:r>
      <w:r w:rsidRPr="00B57DAB">
        <w:rPr>
          <w:rFonts w:ascii="GHEA Grapalat" w:hAnsi="GHEA Grapalat"/>
          <w:sz w:val="22"/>
          <w:szCs w:val="22"/>
          <w:lang w:val="hy-AM"/>
        </w:rPr>
        <w:t xml:space="preserve"> ռուս-ուկրաինական հակամարտության և ՌԴ-ի նկատմամբ կիրառվող աննախադեպ պատժամիջոցների բացասական ազդեցություններով պայմանավորված</w:t>
      </w:r>
      <w:r w:rsidRPr="00B57DAB">
        <w:rPr>
          <w:rFonts w:ascii="GHEA Grapalat" w:hAnsi="GHEA Grapalat"/>
          <w:sz w:val="22"/>
          <w:szCs w:val="22"/>
        </w:rPr>
        <w:t>,</w:t>
      </w:r>
      <w:r w:rsidRPr="00B57DAB">
        <w:rPr>
          <w:rFonts w:ascii="GHEA Grapalat" w:hAnsi="GHEA Grapalat"/>
          <w:sz w:val="22"/>
          <w:szCs w:val="22"/>
          <w:lang w:val="hy-AM"/>
        </w:rPr>
        <w:t xml:space="preserve"> նախորդ ամսվա համեմատ դանդաղել են, և արդեն իսկ մարտին նախորդ՝ 2021 թվականի մարտի համեմատ արտահանումն աճել է ընդամենը 4.0%</w:t>
      </w:r>
      <w:r w:rsidRPr="00B57DAB">
        <w:rPr>
          <w:rFonts w:ascii="GHEA Grapalat" w:hAnsi="GHEA Grapalat"/>
          <w:sz w:val="22"/>
          <w:szCs w:val="22"/>
        </w:rPr>
        <w:t>-ով</w:t>
      </w:r>
      <w:r w:rsidRPr="00B57DAB">
        <w:rPr>
          <w:rFonts w:ascii="GHEA Grapalat" w:hAnsi="GHEA Grapalat"/>
          <w:sz w:val="22"/>
          <w:szCs w:val="22"/>
          <w:lang w:val="hy-AM"/>
        </w:rPr>
        <w:t>, իսկ ներմուծումը՝ 22.5%</w:t>
      </w:r>
      <w:r w:rsidRPr="00B57DAB">
        <w:rPr>
          <w:rFonts w:ascii="GHEA Grapalat" w:hAnsi="GHEA Grapalat"/>
          <w:sz w:val="22"/>
          <w:szCs w:val="22"/>
        </w:rPr>
        <w:t>-ով</w:t>
      </w:r>
      <w:r w:rsidRPr="00B57DAB">
        <w:rPr>
          <w:rFonts w:ascii="GHEA Grapalat" w:hAnsi="GHEA Grapalat"/>
          <w:sz w:val="22"/>
          <w:szCs w:val="22"/>
          <w:lang w:val="hy-AM"/>
        </w:rPr>
        <w:t>։</w:t>
      </w:r>
    </w:p>
    <w:p w:rsidR="00D46EE2" w:rsidRPr="00B57DAB" w:rsidRDefault="00D46EE2" w:rsidP="00D46EE2">
      <w:pPr>
        <w:pStyle w:val="ListParagraph"/>
        <w:numPr>
          <w:ilvl w:val="0"/>
          <w:numId w:val="17"/>
        </w:numPr>
        <w:autoSpaceDE w:val="0"/>
        <w:autoSpaceDN w:val="0"/>
        <w:adjustRightInd w:val="0"/>
        <w:spacing w:line="336" w:lineRule="auto"/>
        <w:contextualSpacing w:val="0"/>
        <w:jc w:val="both"/>
        <w:rPr>
          <w:rFonts w:ascii="GHEA Grapalat" w:hAnsi="GHEA Grapalat"/>
          <w:sz w:val="22"/>
          <w:szCs w:val="22"/>
          <w:lang w:val="hy-AM"/>
        </w:rPr>
      </w:pPr>
      <w:r w:rsidRPr="00B57DAB">
        <w:rPr>
          <w:rFonts w:ascii="GHEA Grapalat" w:hAnsi="GHEA Grapalat"/>
          <w:sz w:val="22"/>
          <w:szCs w:val="22"/>
          <w:lang w:val="hy-AM"/>
        </w:rPr>
        <w:t>Տարեկսզբի որոշակի դանդաղումից հետո, մարտ ամսին գնաճ</w:t>
      </w:r>
      <w:r w:rsidRPr="00B57DAB">
        <w:rPr>
          <w:rFonts w:ascii="GHEA Grapalat" w:hAnsi="GHEA Grapalat"/>
          <w:sz w:val="22"/>
          <w:szCs w:val="22"/>
        </w:rPr>
        <w:t>ն</w:t>
      </w:r>
      <w:r w:rsidRPr="00B57DAB">
        <w:rPr>
          <w:rFonts w:ascii="GHEA Grapalat" w:hAnsi="GHEA Grapalat"/>
          <w:sz w:val="22"/>
          <w:szCs w:val="22"/>
          <w:lang w:val="hy-AM"/>
        </w:rPr>
        <w:t xml:space="preserve"> արագացել է. 2022</w:t>
      </w:r>
      <w:r w:rsidRPr="00B57DAB">
        <w:rPr>
          <w:rFonts w:ascii="GHEA Grapalat" w:hAnsi="GHEA Grapalat"/>
          <w:sz w:val="22"/>
          <w:szCs w:val="22"/>
        </w:rPr>
        <w:t xml:space="preserve"> </w:t>
      </w:r>
      <w:r w:rsidRPr="00B57DAB">
        <w:rPr>
          <w:rFonts w:ascii="GHEA Grapalat" w:hAnsi="GHEA Grapalat"/>
          <w:sz w:val="22"/>
          <w:szCs w:val="22"/>
          <w:lang w:val="hy-AM"/>
        </w:rPr>
        <w:t>թ</w:t>
      </w:r>
      <w:r w:rsidRPr="00B57DAB">
        <w:rPr>
          <w:rFonts w:ascii="GHEA Grapalat" w:hAnsi="GHEA Grapalat"/>
          <w:sz w:val="22"/>
          <w:szCs w:val="22"/>
        </w:rPr>
        <w:t>վական</w:t>
      </w:r>
      <w:r w:rsidRPr="00B57DAB">
        <w:rPr>
          <w:rFonts w:ascii="GHEA Grapalat" w:hAnsi="GHEA Grapalat"/>
          <w:sz w:val="22"/>
          <w:szCs w:val="22"/>
          <w:lang w:val="hy-AM"/>
        </w:rPr>
        <w:t>ի մարտին 12-ամսյա գնաճը կազմել է 7.4%: Եռամսյակի ընթացքում, հաշվի առնելով միջազգային պարենային շուկաներում գնաճային զարգացումները և գնաճային սպասումների որոշակի արագացումը, ՀՀ ԿԲ-ն բարձրացրել է վերաֆինանսավորման տոկոսադրույք</w:t>
      </w:r>
      <w:r w:rsidR="007239F5" w:rsidRPr="00B57DAB">
        <w:rPr>
          <w:rFonts w:ascii="GHEA Grapalat" w:hAnsi="GHEA Grapalat"/>
          <w:sz w:val="22"/>
          <w:szCs w:val="22"/>
        </w:rPr>
        <w:t>ն</w:t>
      </w:r>
      <w:r w:rsidRPr="00B57DAB">
        <w:rPr>
          <w:rFonts w:ascii="GHEA Grapalat" w:hAnsi="GHEA Grapalat"/>
          <w:sz w:val="22"/>
          <w:szCs w:val="22"/>
          <w:lang w:val="hy-AM"/>
        </w:rPr>
        <w:t xml:space="preserve"> ընդհանուր առմամբ 1.5 տոկոսային կետով՝ սահմանելով այն 9.25%:</w:t>
      </w:r>
    </w:p>
    <w:p w:rsidR="00D46EE2" w:rsidRPr="00B57DAB" w:rsidRDefault="00D46EE2" w:rsidP="00D46EE2">
      <w:pPr>
        <w:pStyle w:val="ListParagraph"/>
        <w:numPr>
          <w:ilvl w:val="0"/>
          <w:numId w:val="17"/>
        </w:numPr>
        <w:autoSpaceDE w:val="0"/>
        <w:autoSpaceDN w:val="0"/>
        <w:adjustRightInd w:val="0"/>
        <w:spacing w:line="336" w:lineRule="auto"/>
        <w:contextualSpacing w:val="0"/>
        <w:jc w:val="both"/>
        <w:rPr>
          <w:rFonts w:ascii="GHEA Grapalat" w:hAnsi="GHEA Grapalat"/>
          <w:sz w:val="22"/>
          <w:szCs w:val="22"/>
          <w:lang w:val="hy-AM"/>
        </w:rPr>
      </w:pPr>
      <w:r w:rsidRPr="00B57DAB">
        <w:rPr>
          <w:rFonts w:ascii="GHEA Grapalat" w:hAnsi="GHEA Grapalat"/>
          <w:sz w:val="22"/>
          <w:szCs w:val="22"/>
          <w:lang w:val="hy-AM"/>
        </w:rPr>
        <w:lastRenderedPageBreak/>
        <w:t>2022 թվականի առաջին եռամսյակում բանկային համակարգի վարկերի ծավալները 2021</w:t>
      </w:r>
      <w:r w:rsidR="007239F5" w:rsidRPr="00B57DAB">
        <w:rPr>
          <w:rFonts w:ascii="GHEA Grapalat" w:hAnsi="GHEA Grapalat"/>
          <w:sz w:val="22"/>
          <w:szCs w:val="22"/>
        </w:rPr>
        <w:t xml:space="preserve"> </w:t>
      </w:r>
      <w:r w:rsidRPr="00B57DAB">
        <w:rPr>
          <w:rFonts w:ascii="GHEA Grapalat" w:hAnsi="GHEA Grapalat"/>
          <w:sz w:val="22"/>
          <w:szCs w:val="22"/>
          <w:lang w:val="hy-AM"/>
        </w:rPr>
        <w:t>թ</w:t>
      </w:r>
      <w:r w:rsidR="007239F5" w:rsidRPr="00B57DAB">
        <w:rPr>
          <w:rFonts w:ascii="GHEA Grapalat" w:hAnsi="GHEA Grapalat"/>
          <w:sz w:val="22"/>
          <w:szCs w:val="22"/>
        </w:rPr>
        <w:t>վական</w:t>
      </w:r>
      <w:r w:rsidRPr="00B57DAB">
        <w:rPr>
          <w:rFonts w:ascii="GHEA Grapalat" w:hAnsi="GHEA Grapalat"/>
          <w:sz w:val="22"/>
          <w:szCs w:val="22"/>
          <w:lang w:val="hy-AM"/>
        </w:rPr>
        <w:t xml:space="preserve">ի վերջի համեմատությամբ սկսել են աճել՝ արտացոլելով տնտեսության վերականգնման պայմաններում վարկերի նկատմամբ պահանջարկի վերականգնումը։ Ընդ որում վարկերի աճը հիմնականում պայմանավորվել է հիփոթեքային վարկերի աճով, որի վրա շարունակում է իր դրական ազդեցությունն ունենալ եկամտային հարկի վերադարձի քաղաքականությունը։ Ավանդները բարձր աճի տեմպեր են գրանցել՝ արտացոլելով ինչպես անհատների, այնպես էլ ձեռնարկությունների ավանդների աճի միտումները։ </w:t>
      </w:r>
    </w:p>
    <w:p w:rsidR="00D46EE2" w:rsidRPr="00B57DAB" w:rsidRDefault="00D46EE2" w:rsidP="00D46EE2">
      <w:pPr>
        <w:pStyle w:val="ListParagraph"/>
        <w:numPr>
          <w:ilvl w:val="0"/>
          <w:numId w:val="17"/>
        </w:numPr>
        <w:autoSpaceDE w:val="0"/>
        <w:autoSpaceDN w:val="0"/>
        <w:adjustRightInd w:val="0"/>
        <w:spacing w:line="336" w:lineRule="auto"/>
        <w:contextualSpacing w:val="0"/>
        <w:jc w:val="both"/>
        <w:rPr>
          <w:rFonts w:ascii="GHEA Grapalat" w:hAnsi="GHEA Grapalat"/>
          <w:sz w:val="22"/>
          <w:szCs w:val="22"/>
          <w:lang w:val="hy-AM"/>
        </w:rPr>
      </w:pPr>
      <w:r w:rsidRPr="00B57DAB">
        <w:rPr>
          <w:rFonts w:ascii="GHEA Grapalat" w:hAnsi="GHEA Grapalat"/>
          <w:sz w:val="22"/>
          <w:szCs w:val="22"/>
          <w:lang w:val="hy-AM"/>
        </w:rPr>
        <w:t>Ինչպես վարկերի և ավանդների, այնպես էլ ՀՀ պետական պարտատոմսերի և եվրոբոնդերի տոկոսադրույքները մարտ ամսին աճի միտումներ են ցուցաբերել՝ արտացոլելով գնաճային սպասումների ավելացումը և դրամավարկային պայմանների կոշտացումը, ինչպես նաև միջազգային ֆինանսական շուկաներում տոկոսադրույքների բարձրացումը և տարածաշրջանային անկայուն միջավայրով պայմանավորված ՀՀ երկրի ռիսկի հավելավճարի աճը։</w:t>
      </w:r>
    </w:p>
    <w:p w:rsidR="00D46EE2" w:rsidRPr="00B57DAB" w:rsidRDefault="00D46EE2" w:rsidP="00D46EE2">
      <w:pPr>
        <w:pStyle w:val="ListParagraph"/>
        <w:numPr>
          <w:ilvl w:val="0"/>
          <w:numId w:val="17"/>
        </w:numPr>
        <w:autoSpaceDE w:val="0"/>
        <w:autoSpaceDN w:val="0"/>
        <w:adjustRightInd w:val="0"/>
        <w:spacing w:line="336" w:lineRule="auto"/>
        <w:contextualSpacing w:val="0"/>
        <w:jc w:val="both"/>
        <w:rPr>
          <w:rFonts w:ascii="GHEA Grapalat" w:hAnsi="GHEA Grapalat"/>
          <w:sz w:val="22"/>
          <w:szCs w:val="22"/>
          <w:lang w:val="hy-AM"/>
        </w:rPr>
      </w:pPr>
      <w:r w:rsidRPr="00B57DAB">
        <w:rPr>
          <w:rFonts w:ascii="GHEA Grapalat" w:hAnsi="GHEA Grapalat"/>
          <w:sz w:val="22"/>
          <w:szCs w:val="22"/>
          <w:lang w:val="hy-AM"/>
        </w:rPr>
        <w:t>2022 թվականի առաջին եռամսյակում հարկման բազաների վերականգնման և 2021 թվականի հարկային օրենսդրության փոփոխությունների պայմաններում ՀՀ պետական բյուջեի հարկային եկամուտներն աճել են բարձր տեմպերով՝ կազմելով 400.6 մլրդ դրամ և նախորդ տարվա նույն ժամանակահատվածի համեմատ աճելով 20.3%-ով: Ընդ որում, չնայած առաջին եռամսյակում տնտեսական ակտիվության տեմպերի դանդաղմանը, հարկերի հավաքագրման բարձր աճի տեմպերը պահպանվել են ամբողջ եռամսյակի ընթացքում։</w:t>
      </w:r>
    </w:p>
    <w:p w:rsidR="00756F85" w:rsidRPr="00B57DAB" w:rsidRDefault="00D46EE2" w:rsidP="00D46EE2">
      <w:pPr>
        <w:pStyle w:val="ListParagraph"/>
        <w:numPr>
          <w:ilvl w:val="0"/>
          <w:numId w:val="17"/>
        </w:numPr>
        <w:autoSpaceDE w:val="0"/>
        <w:autoSpaceDN w:val="0"/>
        <w:adjustRightInd w:val="0"/>
        <w:spacing w:line="336" w:lineRule="auto"/>
        <w:contextualSpacing w:val="0"/>
        <w:jc w:val="both"/>
        <w:rPr>
          <w:rFonts w:ascii="GHEA Grapalat" w:hAnsi="GHEA Grapalat"/>
          <w:sz w:val="22"/>
          <w:szCs w:val="22"/>
          <w:lang w:val="hy-AM"/>
        </w:rPr>
      </w:pPr>
      <w:r w:rsidRPr="00B57DAB">
        <w:rPr>
          <w:rFonts w:ascii="GHEA Grapalat" w:hAnsi="GHEA Grapalat"/>
          <w:sz w:val="22"/>
          <w:szCs w:val="22"/>
          <w:lang w:val="hy-AM"/>
        </w:rPr>
        <w:t>2022 թվականի առաջին երեք ամիսներին նախորդ տարվա նույն ժամանակահատվածի համեմատ պետական բյուջեի եկամուտների աճի և ծախսերի նվազման արդյունքում պետական բյուջեն եղել է հավելուրդային։ Իսկ տնտեսության վերականգման պայմաններում հարկաբյուջետային քաղաքականության ազդեցություն</w:t>
      </w:r>
      <w:r w:rsidR="007239F5" w:rsidRPr="00B57DAB">
        <w:rPr>
          <w:rFonts w:ascii="GHEA Grapalat" w:hAnsi="GHEA Grapalat"/>
          <w:sz w:val="22"/>
          <w:szCs w:val="22"/>
        </w:rPr>
        <w:t>ն</w:t>
      </w:r>
      <w:r w:rsidRPr="00B57DAB">
        <w:rPr>
          <w:rFonts w:ascii="GHEA Grapalat" w:hAnsi="GHEA Grapalat"/>
          <w:sz w:val="22"/>
          <w:szCs w:val="22"/>
          <w:lang w:val="hy-AM"/>
        </w:rPr>
        <w:t xml:space="preserve"> ամբողջական պահանջարկի վրա առաջին եռամսյակում եղել է զսպող:</w:t>
      </w:r>
    </w:p>
    <w:p w:rsidR="00D46EE2" w:rsidRPr="00B57DAB" w:rsidRDefault="00D46EE2" w:rsidP="00D46EE2">
      <w:pPr>
        <w:spacing w:line="360" w:lineRule="auto"/>
        <w:rPr>
          <w:rFonts w:ascii="GHEA Grapalat" w:eastAsia="GHEA Grapalat" w:hAnsi="GHEA Grapalat"/>
          <w:b/>
          <w:sz w:val="22"/>
          <w:szCs w:val="22"/>
        </w:rPr>
      </w:pPr>
    </w:p>
    <w:p w:rsidR="00756F85" w:rsidRPr="00B57DAB" w:rsidRDefault="00756F85" w:rsidP="00756F85">
      <w:pPr>
        <w:spacing w:line="360" w:lineRule="auto"/>
        <w:rPr>
          <w:rFonts w:ascii="GHEA Grapalat" w:eastAsia="GHEA Grapalat" w:hAnsi="GHEA Grapalat"/>
          <w:b/>
          <w:sz w:val="22"/>
          <w:szCs w:val="22"/>
        </w:rPr>
      </w:pPr>
      <w:r w:rsidRPr="00B57DAB">
        <w:rPr>
          <w:rFonts w:ascii="GHEA Grapalat" w:eastAsia="GHEA Grapalat" w:hAnsi="GHEA Grapalat"/>
          <w:b/>
          <w:sz w:val="22"/>
          <w:szCs w:val="22"/>
        </w:rPr>
        <w:t>ՀՀ ՊԵՏԱԿԱՆ ԲՅՈՒՋԵԻ ԿԱՏԱՐՄԱՆ ԱՄՓՈՓ ՑՈՒՑԱՆԻՇՆԵՐԸ</w:t>
      </w:r>
    </w:p>
    <w:p w:rsidR="00756F85" w:rsidRPr="00B57DAB" w:rsidRDefault="00756F85" w:rsidP="002A4B9F">
      <w:pPr>
        <w:pStyle w:val="ListParagraph"/>
        <w:numPr>
          <w:ilvl w:val="0"/>
          <w:numId w:val="17"/>
        </w:numPr>
        <w:autoSpaceDE w:val="0"/>
        <w:autoSpaceDN w:val="0"/>
        <w:adjustRightInd w:val="0"/>
        <w:spacing w:line="336" w:lineRule="auto"/>
        <w:contextualSpacing w:val="0"/>
        <w:jc w:val="both"/>
        <w:rPr>
          <w:rFonts w:ascii="GHEA Grapalat" w:hAnsi="GHEA Grapalat"/>
          <w:sz w:val="22"/>
          <w:szCs w:val="22"/>
          <w:lang w:val="hy-AM"/>
        </w:rPr>
      </w:pPr>
      <w:r w:rsidRPr="00B57DAB">
        <w:rPr>
          <w:rFonts w:ascii="GHEA Grapalat" w:hAnsi="GHEA Grapalat"/>
          <w:sz w:val="22"/>
          <w:szCs w:val="22"/>
          <w:lang w:val="hy-AM"/>
        </w:rPr>
        <w:t xml:space="preserve">ՀՀ կառավարության կողմից եռամսյակային համամասնություններով հաստատված ՀՀ 2022 թվականի առաջին եռամսյակի եկամուտների և ծախսերի` Կառավարությանն օրենսդրությամբ վերապահված լիազորությունների շրջանակներում կատարված փոփոխությունների արդյունքում ձևավորված եռամսյակային ծրագրային ցուցանիշները կատարվել են եկամուտների գծով՝ 101.5%-ով՝ կազմելով 425.5 մլրդ դրամ, ծախսերի գծով՝ 81.6%-ով՝ կազմելով 396.8 մլրդ դրամ: Հարկ է նշել, որ հաշվետու տարում ապահովվել է պետական բյուջեի ծախսային ծրագրերի շրջանակներում պետական մարմինների կողմից սահմանված կարգով ստանձնված պարտավորությունների ամբողջական և ժամանակին կատարումը: </w:t>
      </w:r>
    </w:p>
    <w:p w:rsidR="00756F85" w:rsidRPr="00B57DAB" w:rsidRDefault="00756F85" w:rsidP="002A4B9F">
      <w:pPr>
        <w:pStyle w:val="ListParagraph"/>
        <w:numPr>
          <w:ilvl w:val="0"/>
          <w:numId w:val="17"/>
        </w:numPr>
        <w:autoSpaceDE w:val="0"/>
        <w:autoSpaceDN w:val="0"/>
        <w:adjustRightInd w:val="0"/>
        <w:spacing w:line="336" w:lineRule="auto"/>
        <w:contextualSpacing w:val="0"/>
        <w:jc w:val="both"/>
        <w:rPr>
          <w:rFonts w:ascii="GHEA Grapalat" w:hAnsi="GHEA Grapalat"/>
          <w:sz w:val="22"/>
          <w:szCs w:val="22"/>
          <w:lang w:val="hy-AM"/>
        </w:rPr>
      </w:pPr>
      <w:r w:rsidRPr="00B57DAB">
        <w:rPr>
          <w:rFonts w:ascii="GHEA Grapalat" w:hAnsi="GHEA Grapalat"/>
          <w:sz w:val="22"/>
          <w:szCs w:val="22"/>
          <w:lang w:val="hy-AM"/>
        </w:rPr>
        <w:lastRenderedPageBreak/>
        <w:t xml:space="preserve">Նախորդ </w:t>
      </w:r>
      <w:r w:rsidRPr="00B57DAB">
        <w:rPr>
          <w:rFonts w:ascii="GHEA Grapalat" w:hAnsi="GHEA Grapalat" w:cs="GHEA Grapalat"/>
          <w:sz w:val="22"/>
          <w:szCs w:val="22"/>
          <w:lang w:val="hy-AM"/>
        </w:rPr>
        <w:t>տարվա</w:t>
      </w:r>
      <w:r w:rsidRPr="00B57DAB">
        <w:rPr>
          <w:rFonts w:ascii="GHEA Grapalat" w:hAnsi="GHEA Grapalat"/>
          <w:sz w:val="22"/>
          <w:szCs w:val="22"/>
          <w:lang w:val="hy-AM"/>
        </w:rPr>
        <w:t xml:space="preserve"> առաջին եռամսյակի համեմատ պետական բյուջեի</w:t>
      </w:r>
      <w:r w:rsidR="00D46EE2" w:rsidRPr="00B57DAB">
        <w:rPr>
          <w:rFonts w:ascii="GHEA Grapalat" w:hAnsi="GHEA Grapalat"/>
          <w:sz w:val="22"/>
          <w:szCs w:val="22"/>
          <w:lang w:val="hy-AM"/>
        </w:rPr>
        <w:t xml:space="preserve"> </w:t>
      </w:r>
      <w:r w:rsidRPr="00B57DAB">
        <w:rPr>
          <w:rFonts w:ascii="GHEA Grapalat" w:hAnsi="GHEA Grapalat"/>
          <w:sz w:val="22"/>
          <w:szCs w:val="22"/>
          <w:lang w:val="hy-AM"/>
        </w:rPr>
        <w:t>եկամուտներն աճել են 21.8%</w:t>
      </w:r>
      <w:r w:rsidRPr="00B57DAB">
        <w:rPr>
          <w:rFonts w:ascii="GHEA Grapalat" w:hAnsi="GHEA Grapalat"/>
          <w:sz w:val="22"/>
          <w:szCs w:val="22"/>
          <w:lang w:val="hy-AM"/>
        </w:rPr>
        <w:noBreakHyphen/>
        <w:t>ով կամ 76.2 մլրդ դրամով՝ հիմնականում պայմանավորված հարկային եկամուտների և պետական տուրքերի աճով: Ընդ որում, եկամուտների երեք հիմնական խմբերում էլ արարձանագրվել է մուտքերի աճ:</w:t>
      </w:r>
    </w:p>
    <w:p w:rsidR="00756F85" w:rsidRPr="00B57DAB" w:rsidRDefault="00756F85" w:rsidP="002A4B9F">
      <w:pPr>
        <w:pStyle w:val="ListParagraph"/>
        <w:numPr>
          <w:ilvl w:val="0"/>
          <w:numId w:val="17"/>
        </w:numPr>
        <w:autoSpaceDE w:val="0"/>
        <w:autoSpaceDN w:val="0"/>
        <w:adjustRightInd w:val="0"/>
        <w:spacing w:line="336" w:lineRule="auto"/>
        <w:contextualSpacing w:val="0"/>
        <w:jc w:val="both"/>
        <w:rPr>
          <w:rFonts w:ascii="GHEA Grapalat" w:hAnsi="GHEA Grapalat"/>
          <w:sz w:val="22"/>
          <w:szCs w:val="22"/>
          <w:lang w:val="hy-AM"/>
        </w:rPr>
      </w:pPr>
      <w:r w:rsidRPr="00B57DAB">
        <w:rPr>
          <w:rFonts w:ascii="GHEA Grapalat" w:hAnsi="GHEA Grapalat"/>
          <w:sz w:val="22"/>
          <w:szCs w:val="22"/>
          <w:lang w:val="hy-AM"/>
        </w:rPr>
        <w:t>Նախորդ տարվա նույն ժամանակահատվածի համեմատ պետական բյուջեի ծախսերը նվազել են 2%-ով կամ 8.1</w:t>
      </w:r>
      <w:r w:rsidRPr="00B57DAB">
        <w:rPr>
          <w:sz w:val="22"/>
          <w:szCs w:val="22"/>
          <w:lang w:val="hy-AM"/>
        </w:rPr>
        <w:t> </w:t>
      </w:r>
      <w:r w:rsidRPr="00B57DAB">
        <w:rPr>
          <w:rFonts w:ascii="GHEA Grapalat" w:hAnsi="GHEA Grapalat"/>
          <w:sz w:val="22"/>
          <w:szCs w:val="22"/>
          <w:lang w:val="hy-AM"/>
        </w:rPr>
        <w:t xml:space="preserve">մլրդ դրամով՝ պայմանավորված կապիտալ ծախսերի նվազմամբ: Վերջինս էլ </w:t>
      </w:r>
      <w:r w:rsidRPr="00B57DAB">
        <w:rPr>
          <w:rFonts w:ascii="GHEA Grapalat" w:hAnsi="GHEA Grapalat" w:cs="GHEA Grapalat"/>
          <w:sz w:val="22"/>
          <w:szCs w:val="22"/>
          <w:lang w:val="hy-AM"/>
        </w:rPr>
        <w:t>հիմնականում</w:t>
      </w:r>
      <w:r w:rsidRPr="00B57DAB">
        <w:rPr>
          <w:rFonts w:ascii="GHEA Grapalat" w:hAnsi="GHEA Grapalat"/>
          <w:sz w:val="22"/>
          <w:szCs w:val="22"/>
          <w:lang w:val="hy-AM"/>
        </w:rPr>
        <w:t xml:space="preserve"> պայմանավորված է ՀՀ պաշտպանության նախարարության շենքային պայմանների բարելավման միջոցառման շրջանակներում կատարված ծախսերի կրճատմամբ: </w:t>
      </w:r>
    </w:p>
    <w:p w:rsidR="00756F85" w:rsidRPr="00B57DAB" w:rsidRDefault="00756F85" w:rsidP="00756F85">
      <w:pPr>
        <w:pStyle w:val="ListParagraph"/>
        <w:tabs>
          <w:tab w:val="left" w:pos="426"/>
        </w:tabs>
        <w:autoSpaceDE w:val="0"/>
        <w:autoSpaceDN w:val="0"/>
        <w:adjustRightInd w:val="0"/>
        <w:spacing w:line="336" w:lineRule="auto"/>
        <w:ind w:left="540"/>
        <w:contextualSpacing w:val="0"/>
        <w:jc w:val="both"/>
        <w:rPr>
          <w:rFonts w:ascii="GHEA Grapalat" w:hAnsi="GHEA Grapalat"/>
          <w:sz w:val="22"/>
          <w:szCs w:val="22"/>
          <w:lang w:val="hy-AM"/>
        </w:rPr>
      </w:pPr>
    </w:p>
    <w:p w:rsidR="00756F85" w:rsidRPr="00B57DAB" w:rsidRDefault="00756F85" w:rsidP="00756F85">
      <w:pPr>
        <w:spacing w:line="360" w:lineRule="auto"/>
        <w:ind w:firstLine="284"/>
        <w:rPr>
          <w:rFonts w:ascii="GHEA Grapalat" w:eastAsia="GHEA Grapalat" w:hAnsi="GHEA Grapalat"/>
          <w:b/>
          <w:sz w:val="22"/>
          <w:szCs w:val="22"/>
        </w:rPr>
      </w:pPr>
      <w:r w:rsidRPr="00B57DAB">
        <w:rPr>
          <w:rFonts w:ascii="GHEA Grapalat" w:eastAsia="GHEA Grapalat" w:hAnsi="GHEA Grapalat"/>
          <w:b/>
          <w:sz w:val="22"/>
          <w:szCs w:val="22"/>
        </w:rPr>
        <w:t>ՀՀ պետական բյուջեի եկամուտները</w:t>
      </w:r>
    </w:p>
    <w:p w:rsidR="00756F85" w:rsidRPr="00B57DAB" w:rsidRDefault="00756F85" w:rsidP="00756F85">
      <w:pPr>
        <w:pStyle w:val="ListParagraph"/>
        <w:numPr>
          <w:ilvl w:val="0"/>
          <w:numId w:val="17"/>
        </w:numPr>
        <w:autoSpaceDE w:val="0"/>
        <w:autoSpaceDN w:val="0"/>
        <w:adjustRightInd w:val="0"/>
        <w:spacing w:line="336" w:lineRule="auto"/>
        <w:contextualSpacing w:val="0"/>
        <w:jc w:val="both"/>
        <w:rPr>
          <w:rFonts w:ascii="GHEA Grapalat" w:hAnsi="GHEA Grapalat"/>
          <w:sz w:val="22"/>
          <w:szCs w:val="22"/>
          <w:lang w:val="hy-AM"/>
        </w:rPr>
      </w:pPr>
      <w:r w:rsidRPr="00B57DAB">
        <w:rPr>
          <w:rFonts w:ascii="GHEA Grapalat" w:hAnsi="GHEA Grapalat" w:cs="GHEA Grapalat"/>
          <w:sz w:val="22"/>
          <w:szCs w:val="22"/>
          <w:lang w:val="hy-AM"/>
        </w:rPr>
        <w:t>2021 թվականի առաջին եռամսյակի համեմատ այլ եկամուտների առաջանցիկ աճի արդյունքում բյուջեի եկամուտներում 1.3 տոկոսային կետով ավելացել է այլ եկամուտների տեսակարար կշիռը, իսկ հարկային եկամուտների (ներառյալ` պետական տուրքերը) և պաշտոնական դրամաշնորհների տեսակարար կշիռները նվազել են համապատասխանաբար 1.2 և 0.1 տոկոսային կետով:</w:t>
      </w:r>
    </w:p>
    <w:p w:rsidR="00756F85" w:rsidRPr="00B57DAB" w:rsidRDefault="00756F85" w:rsidP="00756F85">
      <w:pPr>
        <w:pStyle w:val="ListParagraph"/>
        <w:numPr>
          <w:ilvl w:val="0"/>
          <w:numId w:val="17"/>
        </w:numPr>
        <w:autoSpaceDE w:val="0"/>
        <w:autoSpaceDN w:val="0"/>
        <w:adjustRightInd w:val="0"/>
        <w:spacing w:line="336" w:lineRule="auto"/>
        <w:contextualSpacing w:val="0"/>
        <w:jc w:val="both"/>
        <w:rPr>
          <w:rFonts w:ascii="GHEA Grapalat" w:hAnsi="GHEA Grapalat"/>
          <w:sz w:val="22"/>
          <w:szCs w:val="22"/>
          <w:lang w:val="hy-AM"/>
        </w:rPr>
      </w:pPr>
      <w:r w:rsidRPr="00B57DAB">
        <w:rPr>
          <w:rFonts w:ascii="GHEA Grapalat" w:hAnsi="GHEA Grapalat" w:cs="GHEA Grapalat"/>
          <w:sz w:val="22"/>
          <w:szCs w:val="22"/>
          <w:lang w:val="hy-AM"/>
        </w:rPr>
        <w:t>2022 թվականի առաջին եռամսյակի</w:t>
      </w:r>
      <w:r w:rsidRPr="00B57DAB">
        <w:rPr>
          <w:rFonts w:ascii="GHEA Grapalat" w:hAnsi="GHEA Grapalat"/>
          <w:sz w:val="22"/>
          <w:szCs w:val="22"/>
          <w:lang w:val="hy-AM"/>
        </w:rPr>
        <w:t xml:space="preserve"> ընթացքում ՀՀ պետական բյուջե են մուտքագրվել 400.6 մլրդ դրամ հարկային եկամուտներ և պետական տուրքեր, որոնք 101.3%</w:t>
      </w:r>
      <w:r w:rsidRPr="00B57DAB">
        <w:rPr>
          <w:rFonts w:ascii="GHEA Grapalat" w:hAnsi="GHEA Grapalat"/>
          <w:sz w:val="22"/>
          <w:szCs w:val="22"/>
          <w:lang w:val="hy-AM"/>
        </w:rPr>
        <w:noBreakHyphen/>
        <w:t xml:space="preserve">ով ապահովել են ճշտված ծրագրով սահմանված ցուցանիշը: </w:t>
      </w:r>
      <w:r w:rsidRPr="00B57DAB">
        <w:rPr>
          <w:rFonts w:ascii="GHEA Grapalat" w:hAnsi="GHEA Grapalat" w:cs="GHEA Grapalat"/>
          <w:sz w:val="22"/>
          <w:szCs w:val="22"/>
          <w:lang w:val="hy-AM"/>
        </w:rPr>
        <w:t>2021 թվականի նույն ժամանակահատվածի համեմատ հարկային եկամուտներն ու պետական տուրքերն աճել են 20.3%</w:t>
      </w:r>
      <w:r w:rsidRPr="00B57DAB">
        <w:rPr>
          <w:rFonts w:ascii="GHEA Grapalat" w:hAnsi="GHEA Grapalat" w:cs="GHEA Grapalat"/>
          <w:sz w:val="22"/>
          <w:szCs w:val="22"/>
          <w:lang w:val="hy-AM"/>
        </w:rPr>
        <w:noBreakHyphen/>
        <w:t>ով կամ 67.7</w:t>
      </w:r>
      <w:r w:rsidRPr="00B57DAB">
        <w:rPr>
          <w:rFonts w:ascii="Courier New" w:hAnsi="Courier New" w:cs="Courier New"/>
          <w:sz w:val="22"/>
          <w:szCs w:val="22"/>
          <w:lang w:val="hy-AM"/>
        </w:rPr>
        <w:t> </w:t>
      </w:r>
      <w:r w:rsidRPr="00B57DAB">
        <w:rPr>
          <w:rFonts w:ascii="GHEA Grapalat" w:hAnsi="GHEA Grapalat" w:cs="GHEA Grapalat"/>
          <w:sz w:val="22"/>
          <w:szCs w:val="22"/>
          <w:lang w:val="hy-AM"/>
        </w:rPr>
        <w:t>մլրդ դրամով, որը հիմնականում պայմանավորված է ավելացված արժեքի հարկի, պետական տուրքերի և շահութահարկի գծով մուտքերի աճով:</w:t>
      </w:r>
    </w:p>
    <w:p w:rsidR="00756F85" w:rsidRPr="00B57DAB" w:rsidRDefault="00756F85" w:rsidP="002A4B9F">
      <w:pPr>
        <w:pStyle w:val="ListParagraph"/>
        <w:numPr>
          <w:ilvl w:val="0"/>
          <w:numId w:val="17"/>
        </w:numPr>
        <w:autoSpaceDE w:val="0"/>
        <w:autoSpaceDN w:val="0"/>
        <w:adjustRightInd w:val="0"/>
        <w:spacing w:line="336" w:lineRule="auto"/>
        <w:contextualSpacing w:val="0"/>
        <w:jc w:val="both"/>
        <w:rPr>
          <w:rFonts w:ascii="GHEA Grapalat" w:hAnsi="GHEA Grapalat" w:cs="GHEA Grapalat"/>
          <w:color w:val="000000"/>
          <w:sz w:val="22"/>
          <w:szCs w:val="22"/>
          <w:lang w:val="hy-AM"/>
        </w:rPr>
      </w:pPr>
      <w:r w:rsidRPr="00B57DAB">
        <w:rPr>
          <w:rFonts w:ascii="GHEA Grapalat" w:hAnsi="GHEA Grapalat" w:cs="GHEA Grapalat"/>
          <w:color w:val="000000"/>
          <w:sz w:val="22"/>
          <w:szCs w:val="22"/>
          <w:lang w:val="hy-AM"/>
        </w:rPr>
        <w:t xml:space="preserve">2022 </w:t>
      </w:r>
      <w:r w:rsidRPr="00B57DAB">
        <w:rPr>
          <w:rFonts w:ascii="GHEA Grapalat" w:hAnsi="GHEA Grapalat" w:cs="GHEA Grapalat"/>
          <w:sz w:val="22"/>
          <w:szCs w:val="22"/>
          <w:lang w:val="hy-AM"/>
        </w:rPr>
        <w:t>թվականի</w:t>
      </w:r>
      <w:r w:rsidRPr="00B57DAB">
        <w:rPr>
          <w:rFonts w:ascii="GHEA Grapalat" w:hAnsi="GHEA Grapalat" w:cs="GHEA Grapalat"/>
          <w:color w:val="000000"/>
          <w:sz w:val="22"/>
          <w:szCs w:val="22"/>
          <w:lang w:val="hy-AM"/>
        </w:rPr>
        <w:t xml:space="preserve"> առաջին եռամսյակի ընթացքում ստացվել են ավելի քան 1.3</w:t>
      </w:r>
      <w:r w:rsidRPr="00B57DAB">
        <w:rPr>
          <w:rFonts w:ascii="Courier New" w:hAnsi="Courier New" w:cs="Courier New"/>
          <w:color w:val="000000"/>
          <w:sz w:val="22"/>
          <w:szCs w:val="22"/>
          <w:lang w:val="hy-AM"/>
        </w:rPr>
        <w:t> </w:t>
      </w:r>
      <w:r w:rsidRPr="00B57DAB">
        <w:rPr>
          <w:rFonts w:ascii="GHEA Grapalat" w:hAnsi="GHEA Grapalat" w:cs="GHEA Grapalat"/>
          <w:color w:val="000000"/>
          <w:sz w:val="22"/>
          <w:szCs w:val="22"/>
          <w:lang w:val="hy-AM"/>
        </w:rPr>
        <w:t>մլրդ դրամ պաշտոնական դրամաշնորհներ՝ կազմելով առաջին եռամսյակում ծրագրված մուտքերի 20.6%-ը՝</w:t>
      </w:r>
      <w:r w:rsidR="00D46EE2" w:rsidRPr="00B57DAB">
        <w:rPr>
          <w:rFonts w:ascii="GHEA Grapalat" w:hAnsi="GHEA Grapalat" w:cs="GHEA Grapalat"/>
          <w:color w:val="000000"/>
          <w:sz w:val="22"/>
          <w:szCs w:val="22"/>
          <w:lang w:val="hy-AM"/>
        </w:rPr>
        <w:t xml:space="preserve"> </w:t>
      </w:r>
      <w:r w:rsidRPr="00B57DAB">
        <w:rPr>
          <w:rFonts w:ascii="GHEA Grapalat" w:hAnsi="GHEA Grapalat" w:cs="GHEA Grapalat"/>
          <w:color w:val="000000"/>
          <w:sz w:val="22"/>
          <w:szCs w:val="22"/>
          <w:lang w:val="hy-AM"/>
        </w:rPr>
        <w:t xml:space="preserve">պայմանավորված է նպատակային ծրագրերի կատարման աստիճանով: </w:t>
      </w:r>
    </w:p>
    <w:p w:rsidR="00756F85" w:rsidRPr="00B57DAB" w:rsidRDefault="00756F85" w:rsidP="002A4B9F">
      <w:pPr>
        <w:pStyle w:val="ListParagraph"/>
        <w:numPr>
          <w:ilvl w:val="0"/>
          <w:numId w:val="17"/>
        </w:numPr>
        <w:autoSpaceDE w:val="0"/>
        <w:autoSpaceDN w:val="0"/>
        <w:adjustRightInd w:val="0"/>
        <w:spacing w:line="336" w:lineRule="auto"/>
        <w:contextualSpacing w:val="0"/>
        <w:jc w:val="both"/>
        <w:rPr>
          <w:rFonts w:ascii="GHEA Grapalat" w:hAnsi="GHEA Grapalat"/>
          <w:sz w:val="22"/>
          <w:szCs w:val="22"/>
          <w:lang w:val="hy-AM"/>
        </w:rPr>
      </w:pPr>
      <w:r w:rsidRPr="00B57DAB">
        <w:rPr>
          <w:rFonts w:ascii="GHEA Grapalat" w:hAnsi="GHEA Grapalat"/>
          <w:sz w:val="22"/>
          <w:szCs w:val="22"/>
          <w:lang w:val="hy-AM"/>
        </w:rPr>
        <w:t>Հաշվետու ժամանակահատվածում ՀՀ պետական բյուջեի այլ եկամուտները կազմել են 23.6</w:t>
      </w:r>
      <w:r w:rsidRPr="00B57DAB">
        <w:rPr>
          <w:rFonts w:ascii="Courier New" w:hAnsi="Courier New" w:cs="Courier New"/>
          <w:sz w:val="22"/>
          <w:szCs w:val="22"/>
          <w:lang w:val="hy-AM"/>
        </w:rPr>
        <w:t> </w:t>
      </w:r>
      <w:r w:rsidRPr="00B57DAB">
        <w:rPr>
          <w:rFonts w:ascii="GHEA Grapalat" w:hAnsi="GHEA Grapalat"/>
          <w:sz w:val="22"/>
          <w:szCs w:val="22"/>
          <w:lang w:val="hy-AM"/>
        </w:rPr>
        <w:t xml:space="preserve">մլրդ դրամ՝ 35.9%-ով գերազանցելով ծրագրված և 56%-ով </w:t>
      </w:r>
      <w:r w:rsidRPr="00B57DAB">
        <w:rPr>
          <w:rFonts w:ascii="GHEA Grapalat" w:hAnsi="GHEA Grapalat" w:cs="GHEA Grapalat"/>
          <w:sz w:val="22"/>
          <w:szCs w:val="22"/>
          <w:lang w:val="hy-AM"/>
        </w:rPr>
        <w:t>2021 թվականի առաջին եռամսյակի համապատասխան</w:t>
      </w:r>
      <w:r w:rsidRPr="00B57DAB">
        <w:rPr>
          <w:rFonts w:ascii="GHEA Grapalat" w:hAnsi="GHEA Grapalat"/>
          <w:sz w:val="22"/>
          <w:szCs w:val="22"/>
          <w:lang w:val="hy-AM"/>
        </w:rPr>
        <w:t xml:space="preserve"> ցուցանիշը:</w:t>
      </w:r>
    </w:p>
    <w:p w:rsidR="00197C1E" w:rsidRPr="00B57DAB" w:rsidRDefault="00197C1E" w:rsidP="00756F85">
      <w:pPr>
        <w:spacing w:line="360" w:lineRule="auto"/>
        <w:ind w:firstLine="284"/>
        <w:rPr>
          <w:rFonts w:ascii="GHEA Grapalat" w:eastAsia="GHEA Grapalat" w:hAnsi="GHEA Grapalat"/>
          <w:sz w:val="22"/>
          <w:szCs w:val="22"/>
        </w:rPr>
      </w:pPr>
    </w:p>
    <w:p w:rsidR="00756F85" w:rsidRPr="00B57DAB" w:rsidRDefault="00756F85" w:rsidP="00756F85">
      <w:pPr>
        <w:spacing w:line="360" w:lineRule="auto"/>
        <w:ind w:firstLine="284"/>
        <w:rPr>
          <w:rFonts w:ascii="GHEA Grapalat" w:eastAsia="GHEA Grapalat" w:hAnsi="GHEA Grapalat"/>
          <w:b/>
          <w:sz w:val="22"/>
          <w:szCs w:val="22"/>
        </w:rPr>
      </w:pPr>
      <w:r w:rsidRPr="00B57DAB">
        <w:rPr>
          <w:rFonts w:ascii="GHEA Grapalat" w:eastAsia="GHEA Grapalat" w:hAnsi="GHEA Grapalat"/>
          <w:b/>
          <w:sz w:val="22"/>
          <w:szCs w:val="22"/>
        </w:rPr>
        <w:t>ՀՀ պետական բյուջեի ծախսերը</w:t>
      </w:r>
    </w:p>
    <w:p w:rsidR="00756F85" w:rsidRPr="00B57DAB" w:rsidRDefault="002A4B9F" w:rsidP="002A4B9F">
      <w:pPr>
        <w:pStyle w:val="ListParagraph"/>
        <w:numPr>
          <w:ilvl w:val="0"/>
          <w:numId w:val="17"/>
        </w:numPr>
        <w:autoSpaceDE w:val="0"/>
        <w:autoSpaceDN w:val="0"/>
        <w:adjustRightInd w:val="0"/>
        <w:spacing w:line="336" w:lineRule="auto"/>
        <w:contextualSpacing w:val="0"/>
        <w:jc w:val="both"/>
        <w:rPr>
          <w:rFonts w:ascii="GHEA Grapalat" w:hAnsi="GHEA Grapalat"/>
          <w:sz w:val="22"/>
          <w:szCs w:val="22"/>
          <w:lang w:val="hy-AM"/>
        </w:rPr>
      </w:pPr>
      <w:r w:rsidRPr="00B57DAB">
        <w:rPr>
          <w:rFonts w:ascii="GHEA Grapalat" w:hAnsi="GHEA Grapalat" w:cs="GHEA Grapalat"/>
          <w:sz w:val="22"/>
          <w:szCs w:val="22"/>
        </w:rPr>
        <w:t xml:space="preserve">ՀՀ 2022 թվականի պետական բյուջեի կատարումն ապահովող միջոցառումների վերաբերյալ ՀՀ կառավարության որոշմամբ </w:t>
      </w:r>
      <w:r w:rsidR="00756F85" w:rsidRPr="00B57DAB">
        <w:rPr>
          <w:rFonts w:ascii="GHEA Grapalat" w:hAnsi="GHEA Grapalat"/>
          <w:sz w:val="22"/>
          <w:szCs w:val="22"/>
          <w:lang w:val="hy-AM"/>
        </w:rPr>
        <w:t xml:space="preserve">նախատեսվել էր թվով </w:t>
      </w:r>
      <w:r w:rsidR="00197C1E" w:rsidRPr="00B57DAB">
        <w:rPr>
          <w:rFonts w:ascii="GHEA Grapalat" w:hAnsi="GHEA Grapalat"/>
          <w:sz w:val="22"/>
          <w:szCs w:val="22"/>
        </w:rPr>
        <w:t>167</w:t>
      </w:r>
      <w:r w:rsidR="00756F85" w:rsidRPr="00B57DAB">
        <w:rPr>
          <w:rFonts w:ascii="GHEA Grapalat" w:hAnsi="GHEA Grapalat"/>
          <w:sz w:val="22"/>
          <w:szCs w:val="22"/>
          <w:lang w:val="hy-AM"/>
        </w:rPr>
        <w:t xml:space="preserve"> ծրագրերի իրականացում 46 պետական մարմինների և Կառավարության պատասխանատվության ներքո: Կառավարության կատարած </w:t>
      </w:r>
      <w:r w:rsidR="00756F85" w:rsidRPr="00B57DAB">
        <w:rPr>
          <w:rFonts w:ascii="GHEA Grapalat" w:hAnsi="GHEA Grapalat" w:cs="GHEA Grapalat"/>
          <w:sz w:val="22"/>
          <w:szCs w:val="22"/>
          <w:lang w:val="hy-AM"/>
        </w:rPr>
        <w:t>ճշտումների</w:t>
      </w:r>
      <w:r w:rsidR="00756F85" w:rsidRPr="00B57DAB">
        <w:rPr>
          <w:rFonts w:ascii="GHEA Grapalat" w:hAnsi="GHEA Grapalat"/>
          <w:sz w:val="22"/>
          <w:szCs w:val="22"/>
          <w:lang w:val="hy-AM"/>
        </w:rPr>
        <w:t xml:space="preserve"> արդյունքում նախա</w:t>
      </w:r>
      <w:r w:rsidR="00197C1E" w:rsidRPr="00B57DAB">
        <w:rPr>
          <w:rFonts w:ascii="GHEA Grapalat" w:hAnsi="GHEA Grapalat"/>
          <w:sz w:val="22"/>
          <w:szCs w:val="22"/>
          <w:lang w:val="hy-AM"/>
        </w:rPr>
        <w:t>տեսված ծրագրերի թիվը կազմել է 1</w:t>
      </w:r>
      <w:r w:rsidR="00197C1E" w:rsidRPr="00B57DAB">
        <w:rPr>
          <w:rFonts w:ascii="GHEA Grapalat" w:hAnsi="GHEA Grapalat"/>
          <w:sz w:val="22"/>
          <w:szCs w:val="22"/>
        </w:rPr>
        <w:t>6</w:t>
      </w:r>
      <w:r w:rsidR="00756F85" w:rsidRPr="00B57DAB">
        <w:rPr>
          <w:rFonts w:ascii="GHEA Grapalat" w:hAnsi="GHEA Grapalat"/>
          <w:sz w:val="22"/>
          <w:szCs w:val="22"/>
          <w:lang w:val="hy-AM"/>
        </w:rPr>
        <w:t>8, որոնցից փաստացի միջոցներ են օգտագործվել 1</w:t>
      </w:r>
      <w:r w:rsidR="00197C1E" w:rsidRPr="00B57DAB">
        <w:rPr>
          <w:rFonts w:ascii="GHEA Grapalat" w:hAnsi="GHEA Grapalat"/>
          <w:sz w:val="22"/>
          <w:szCs w:val="22"/>
        </w:rPr>
        <w:t>5</w:t>
      </w:r>
      <w:r w:rsidR="00756F85" w:rsidRPr="00B57DAB">
        <w:rPr>
          <w:rFonts w:ascii="GHEA Grapalat" w:hAnsi="GHEA Grapalat"/>
          <w:sz w:val="22"/>
          <w:szCs w:val="22"/>
          <w:lang w:val="hy-AM"/>
        </w:rPr>
        <w:t xml:space="preserve">7-ի գծով, իսկ Կառավարության </w:t>
      </w:r>
      <w:r w:rsidR="00756F85" w:rsidRPr="00B57DAB">
        <w:rPr>
          <w:rFonts w:ascii="GHEA Grapalat" w:hAnsi="GHEA Grapalat"/>
          <w:sz w:val="22"/>
          <w:szCs w:val="22"/>
          <w:lang w:val="hy-AM"/>
        </w:rPr>
        <w:lastRenderedPageBreak/>
        <w:t xml:space="preserve">պատասխանատվությամբ 3 ծրագրերի շրջանակներում նախատեսված միջոցներն ըստ անհրաժեշտության վերաբաշխվել են համապատասխան ծրագրերին և միջոցառումներին: </w:t>
      </w:r>
    </w:p>
    <w:p w:rsidR="00756F85" w:rsidRPr="00B57DAB" w:rsidRDefault="00197C1E" w:rsidP="002A4B9F">
      <w:pPr>
        <w:pStyle w:val="ListParagraph"/>
        <w:numPr>
          <w:ilvl w:val="0"/>
          <w:numId w:val="17"/>
        </w:numPr>
        <w:autoSpaceDE w:val="0"/>
        <w:autoSpaceDN w:val="0"/>
        <w:adjustRightInd w:val="0"/>
        <w:spacing w:line="336" w:lineRule="auto"/>
        <w:contextualSpacing w:val="0"/>
        <w:jc w:val="both"/>
        <w:rPr>
          <w:rFonts w:ascii="GHEA Grapalat" w:hAnsi="GHEA Grapalat"/>
          <w:sz w:val="22"/>
          <w:szCs w:val="22"/>
          <w:lang w:val="hy-AM"/>
        </w:rPr>
      </w:pPr>
      <w:r w:rsidRPr="00B57DAB">
        <w:rPr>
          <w:rFonts w:ascii="GHEA Grapalat" w:hAnsi="GHEA Grapalat"/>
          <w:sz w:val="22"/>
          <w:szCs w:val="22"/>
          <w:lang w:val="hy-AM"/>
        </w:rPr>
        <w:t>ՀՀ 202</w:t>
      </w:r>
      <w:r w:rsidRPr="00B57DAB">
        <w:rPr>
          <w:rFonts w:ascii="GHEA Grapalat" w:hAnsi="GHEA Grapalat"/>
          <w:sz w:val="22"/>
          <w:szCs w:val="22"/>
        </w:rPr>
        <w:t>2</w:t>
      </w:r>
      <w:r w:rsidR="00756F85" w:rsidRPr="00B57DAB">
        <w:rPr>
          <w:rFonts w:ascii="GHEA Grapalat" w:hAnsi="GHEA Grapalat"/>
          <w:sz w:val="22"/>
          <w:szCs w:val="22"/>
          <w:lang w:val="hy-AM"/>
        </w:rPr>
        <w:t xml:space="preserve"> թվականի պետական բյուջեի </w:t>
      </w:r>
      <w:r w:rsidRPr="00B57DAB">
        <w:rPr>
          <w:rFonts w:ascii="GHEA Grapalat" w:hAnsi="GHEA Grapalat"/>
          <w:sz w:val="22"/>
          <w:szCs w:val="22"/>
        </w:rPr>
        <w:t xml:space="preserve">առաջին եռամսյակի </w:t>
      </w:r>
      <w:r w:rsidR="00756F85" w:rsidRPr="00B57DAB">
        <w:rPr>
          <w:rFonts w:ascii="GHEA Grapalat" w:hAnsi="GHEA Grapalat"/>
          <w:sz w:val="22"/>
          <w:szCs w:val="22"/>
          <w:lang w:val="hy-AM"/>
        </w:rPr>
        <w:t xml:space="preserve">փաստացի ծախսերի՝ </w:t>
      </w:r>
      <w:r w:rsidRPr="00B57DAB">
        <w:rPr>
          <w:rFonts w:ascii="GHEA Grapalat" w:hAnsi="GHEA Grapalat"/>
          <w:sz w:val="22"/>
          <w:szCs w:val="22"/>
        </w:rPr>
        <w:t>396.8</w:t>
      </w:r>
      <w:r w:rsidR="00756F85" w:rsidRPr="00B57DAB">
        <w:rPr>
          <w:rFonts w:ascii="GHEA Grapalat" w:hAnsi="GHEA Grapalat"/>
          <w:sz w:val="22"/>
          <w:szCs w:val="22"/>
          <w:lang w:val="hy-AM"/>
        </w:rPr>
        <w:t xml:space="preserve"> մլրդ դրամի 3</w:t>
      </w:r>
      <w:r w:rsidRPr="00B57DAB">
        <w:rPr>
          <w:rFonts w:ascii="GHEA Grapalat" w:hAnsi="GHEA Grapalat"/>
          <w:sz w:val="22"/>
          <w:szCs w:val="22"/>
        </w:rPr>
        <w:t>6.2</w:t>
      </w:r>
      <w:r w:rsidR="00756F85" w:rsidRPr="00B57DAB">
        <w:rPr>
          <w:rFonts w:ascii="GHEA Grapalat" w:hAnsi="GHEA Grapalat"/>
          <w:sz w:val="22"/>
          <w:szCs w:val="22"/>
          <w:lang w:val="hy-AM"/>
        </w:rPr>
        <w:t>%-ը բաժին է ընկել ՀՀ աշխատանքի և սոցիա</w:t>
      </w:r>
      <w:r w:rsidRPr="00B57DAB">
        <w:rPr>
          <w:rFonts w:ascii="GHEA Grapalat" w:hAnsi="GHEA Grapalat"/>
          <w:sz w:val="22"/>
          <w:szCs w:val="22"/>
          <w:lang w:val="hy-AM"/>
        </w:rPr>
        <w:t>լական հարցերի նախարարության, 1</w:t>
      </w:r>
      <w:r w:rsidRPr="00B57DAB">
        <w:rPr>
          <w:rFonts w:ascii="GHEA Grapalat" w:hAnsi="GHEA Grapalat"/>
          <w:sz w:val="22"/>
          <w:szCs w:val="22"/>
        </w:rPr>
        <w:t>7.3</w:t>
      </w:r>
      <w:r w:rsidR="00756F85" w:rsidRPr="00B57DAB">
        <w:rPr>
          <w:rFonts w:ascii="GHEA Grapalat" w:hAnsi="GHEA Grapalat"/>
          <w:sz w:val="22"/>
          <w:szCs w:val="22"/>
          <w:lang w:val="hy-AM"/>
        </w:rPr>
        <w:t xml:space="preserve">%-ը՝ ՀՀ պաշտպանության նախարարության, </w:t>
      </w:r>
      <w:r w:rsidRPr="00B57DAB">
        <w:rPr>
          <w:rFonts w:ascii="GHEA Grapalat" w:hAnsi="GHEA Grapalat"/>
          <w:sz w:val="22"/>
          <w:szCs w:val="22"/>
        </w:rPr>
        <w:t>10</w:t>
      </w:r>
      <w:r w:rsidRPr="00B57DAB">
        <w:rPr>
          <w:rFonts w:ascii="GHEA Grapalat" w:hAnsi="GHEA Grapalat"/>
          <w:sz w:val="22"/>
          <w:szCs w:val="22"/>
          <w:lang w:val="hy-AM"/>
        </w:rPr>
        <w:t>%-ը՝ ՀՀ ֆինանսների նախարարության,</w:t>
      </w:r>
      <w:r w:rsidRPr="00B57DAB">
        <w:rPr>
          <w:rFonts w:ascii="GHEA Grapalat" w:hAnsi="GHEA Grapalat"/>
          <w:sz w:val="22"/>
          <w:szCs w:val="22"/>
        </w:rPr>
        <w:t xml:space="preserve"> </w:t>
      </w:r>
      <w:r w:rsidR="00756F85" w:rsidRPr="00B57DAB">
        <w:rPr>
          <w:rFonts w:ascii="GHEA Grapalat" w:hAnsi="GHEA Grapalat"/>
          <w:sz w:val="22"/>
          <w:szCs w:val="22"/>
          <w:lang w:val="hy-AM"/>
        </w:rPr>
        <w:t>8.7%-ը՝ ՀՀ կրթության, գիտության, մշակույթի և սպորտի նախարարության,</w:t>
      </w:r>
      <w:r w:rsidR="00DF6DFE" w:rsidRPr="00B57DAB">
        <w:rPr>
          <w:rFonts w:ascii="GHEA Grapalat" w:hAnsi="GHEA Grapalat"/>
          <w:sz w:val="22"/>
          <w:szCs w:val="22"/>
        </w:rPr>
        <w:t xml:space="preserve"> 6.6</w:t>
      </w:r>
      <w:r w:rsidR="00DF6DFE" w:rsidRPr="00B57DAB">
        <w:rPr>
          <w:rFonts w:ascii="GHEA Grapalat" w:hAnsi="GHEA Grapalat"/>
          <w:sz w:val="22"/>
          <w:szCs w:val="22"/>
          <w:lang w:val="hy-AM"/>
        </w:rPr>
        <w:t xml:space="preserve">%-ը՝ ՀՀ տարածքային կառավարման և ենթակառուցվածքների նախարարության, </w:t>
      </w:r>
      <w:r w:rsidR="00DF6DFE" w:rsidRPr="00B57DAB">
        <w:rPr>
          <w:rFonts w:ascii="GHEA Grapalat" w:hAnsi="GHEA Grapalat"/>
          <w:sz w:val="22"/>
          <w:szCs w:val="22"/>
        </w:rPr>
        <w:t>5.3%-ը՝ ՀՀ առողջապահության նախարարության,</w:t>
      </w:r>
      <w:r w:rsidR="00756F85" w:rsidRPr="00B57DAB">
        <w:rPr>
          <w:rFonts w:ascii="GHEA Grapalat" w:hAnsi="GHEA Grapalat"/>
          <w:sz w:val="22"/>
          <w:szCs w:val="22"/>
          <w:lang w:val="hy-AM"/>
        </w:rPr>
        <w:t xml:space="preserve"> 3.</w:t>
      </w:r>
      <w:r w:rsidR="00DF6DFE" w:rsidRPr="00B57DAB">
        <w:rPr>
          <w:rFonts w:ascii="GHEA Grapalat" w:hAnsi="GHEA Grapalat"/>
          <w:sz w:val="22"/>
          <w:szCs w:val="22"/>
        </w:rPr>
        <w:t>8</w:t>
      </w:r>
      <w:r w:rsidR="00756F85" w:rsidRPr="00B57DAB">
        <w:rPr>
          <w:rFonts w:ascii="GHEA Grapalat" w:hAnsi="GHEA Grapalat"/>
          <w:sz w:val="22"/>
          <w:szCs w:val="22"/>
          <w:lang w:val="hy-AM"/>
        </w:rPr>
        <w:t>%-ը՝ ՀՀ ոստիկանության, 2.2%</w:t>
      </w:r>
      <w:r w:rsidR="00756F85" w:rsidRPr="00B57DAB">
        <w:rPr>
          <w:rFonts w:ascii="GHEA Grapalat" w:hAnsi="GHEA Grapalat"/>
          <w:sz w:val="22"/>
          <w:szCs w:val="22"/>
          <w:lang w:val="hy-AM"/>
        </w:rPr>
        <w:noBreakHyphen/>
        <w:t xml:space="preserve">ը՝ ՀՀ էկոնոմիկայի նախարարության պատասխանատվությամբ իրականացվող ծրագրերին: </w:t>
      </w:r>
    </w:p>
    <w:p w:rsidR="00756F85" w:rsidRPr="00B57DAB" w:rsidRDefault="00756F85" w:rsidP="002A4B9F">
      <w:pPr>
        <w:pStyle w:val="ListParagraph"/>
        <w:numPr>
          <w:ilvl w:val="0"/>
          <w:numId w:val="17"/>
        </w:numPr>
        <w:autoSpaceDE w:val="0"/>
        <w:autoSpaceDN w:val="0"/>
        <w:adjustRightInd w:val="0"/>
        <w:spacing w:line="336" w:lineRule="auto"/>
        <w:contextualSpacing w:val="0"/>
        <w:jc w:val="both"/>
        <w:rPr>
          <w:rFonts w:ascii="GHEA Grapalat" w:hAnsi="GHEA Grapalat"/>
          <w:sz w:val="22"/>
          <w:szCs w:val="22"/>
          <w:lang w:val="hy-AM"/>
        </w:rPr>
      </w:pPr>
      <w:r w:rsidRPr="00B57DAB">
        <w:rPr>
          <w:rFonts w:ascii="GHEA Grapalat" w:hAnsi="GHEA Grapalat"/>
          <w:sz w:val="22"/>
          <w:szCs w:val="22"/>
          <w:lang w:val="hy-AM"/>
        </w:rPr>
        <w:t>202</w:t>
      </w:r>
      <w:r w:rsidR="00BD147A" w:rsidRPr="00B57DAB">
        <w:rPr>
          <w:rFonts w:ascii="GHEA Grapalat" w:hAnsi="GHEA Grapalat"/>
          <w:sz w:val="22"/>
          <w:szCs w:val="22"/>
        </w:rPr>
        <w:t>1</w:t>
      </w:r>
      <w:r w:rsidRPr="00B57DAB">
        <w:rPr>
          <w:rFonts w:ascii="GHEA Grapalat" w:hAnsi="GHEA Grapalat"/>
          <w:sz w:val="22"/>
          <w:szCs w:val="22"/>
          <w:lang w:val="hy-AM"/>
        </w:rPr>
        <w:t xml:space="preserve"> թվականի </w:t>
      </w:r>
      <w:r w:rsidR="007B0F99" w:rsidRPr="00B57DAB">
        <w:rPr>
          <w:rFonts w:ascii="GHEA Grapalat" w:hAnsi="GHEA Grapalat"/>
          <w:sz w:val="22"/>
          <w:szCs w:val="22"/>
        </w:rPr>
        <w:t xml:space="preserve">առաջին եռամսյակի </w:t>
      </w:r>
      <w:r w:rsidRPr="00B57DAB">
        <w:rPr>
          <w:rFonts w:ascii="GHEA Grapalat" w:hAnsi="GHEA Grapalat"/>
          <w:sz w:val="22"/>
          <w:szCs w:val="22"/>
          <w:lang w:val="hy-AM"/>
        </w:rPr>
        <w:t xml:space="preserve">համեմատ ՀՀ պետական բյուջեի ծախսերի </w:t>
      </w:r>
      <w:r w:rsidR="00BD147A" w:rsidRPr="00B57DAB">
        <w:rPr>
          <w:rFonts w:ascii="GHEA Grapalat" w:hAnsi="GHEA Grapalat"/>
          <w:sz w:val="22"/>
          <w:szCs w:val="22"/>
        </w:rPr>
        <w:t>2</w:t>
      </w:r>
      <w:r w:rsidRPr="00B57DAB">
        <w:rPr>
          <w:rFonts w:ascii="GHEA Grapalat" w:hAnsi="GHEA Grapalat"/>
          <w:sz w:val="22"/>
          <w:szCs w:val="22"/>
          <w:lang w:val="hy-AM"/>
        </w:rPr>
        <w:t xml:space="preserve">% կամ </w:t>
      </w:r>
      <w:r w:rsidR="007B0F99" w:rsidRPr="00B57DAB">
        <w:rPr>
          <w:rFonts w:ascii="GHEA Grapalat" w:hAnsi="GHEA Grapalat"/>
          <w:sz w:val="22"/>
          <w:szCs w:val="22"/>
        </w:rPr>
        <w:t>8.1</w:t>
      </w:r>
      <w:r w:rsidR="007B0F99" w:rsidRPr="00B57DAB">
        <w:rPr>
          <w:rFonts w:ascii="Courier New" w:hAnsi="Courier New" w:cs="Courier New"/>
          <w:sz w:val="22"/>
          <w:szCs w:val="22"/>
        </w:rPr>
        <w:t> </w:t>
      </w:r>
      <w:r w:rsidRPr="00B57DAB">
        <w:rPr>
          <w:rFonts w:ascii="GHEA Grapalat" w:hAnsi="GHEA Grapalat"/>
          <w:sz w:val="22"/>
          <w:szCs w:val="22"/>
          <w:lang w:val="hy-AM"/>
        </w:rPr>
        <w:t xml:space="preserve">մլրդ </w:t>
      </w:r>
      <w:r w:rsidRPr="00B57DAB">
        <w:rPr>
          <w:rFonts w:ascii="GHEA Grapalat" w:hAnsi="GHEA Grapalat" w:cs="GHEA Grapalat"/>
          <w:sz w:val="22"/>
          <w:szCs w:val="22"/>
          <w:lang w:val="hy-AM"/>
        </w:rPr>
        <w:t>դրամ</w:t>
      </w:r>
      <w:r w:rsidRPr="00B57DAB">
        <w:rPr>
          <w:rFonts w:ascii="GHEA Grapalat" w:hAnsi="GHEA Grapalat"/>
          <w:sz w:val="22"/>
          <w:szCs w:val="22"/>
          <w:lang w:val="hy-AM"/>
        </w:rPr>
        <w:t xml:space="preserve"> </w:t>
      </w:r>
      <w:r w:rsidR="007B0F99" w:rsidRPr="00B57DAB">
        <w:rPr>
          <w:rFonts w:ascii="GHEA Grapalat" w:hAnsi="GHEA Grapalat"/>
          <w:sz w:val="22"/>
          <w:szCs w:val="22"/>
        </w:rPr>
        <w:t>նվազում</w:t>
      </w:r>
      <w:r w:rsidRPr="00B57DAB">
        <w:rPr>
          <w:rFonts w:ascii="GHEA Grapalat" w:hAnsi="GHEA Grapalat"/>
          <w:sz w:val="22"/>
          <w:szCs w:val="22"/>
          <w:lang w:val="hy-AM"/>
        </w:rPr>
        <w:t>ը հիմնականում պայմանավորված է ՀՀ պաշտպանության նախարարության ծախսեր</w:t>
      </w:r>
      <w:r w:rsidR="007B0F99" w:rsidRPr="00B57DAB">
        <w:rPr>
          <w:rFonts w:ascii="GHEA Grapalat" w:hAnsi="GHEA Grapalat"/>
          <w:sz w:val="22"/>
          <w:szCs w:val="22"/>
        </w:rPr>
        <w:t>ի 17.6% (14.6 մլրդ դրամ) նվազմամբ</w:t>
      </w:r>
      <w:r w:rsidR="007B0F99" w:rsidRPr="00B57DAB">
        <w:rPr>
          <w:rFonts w:ascii="GHEA Grapalat" w:hAnsi="GHEA Grapalat"/>
          <w:sz w:val="22"/>
          <w:szCs w:val="22"/>
          <w:lang w:val="hy-AM"/>
        </w:rPr>
        <w:t>՝ պայմանավորված 202</w:t>
      </w:r>
      <w:r w:rsidR="007B0F99" w:rsidRPr="00B57DAB">
        <w:rPr>
          <w:rFonts w:ascii="GHEA Grapalat" w:hAnsi="GHEA Grapalat"/>
          <w:sz w:val="22"/>
          <w:szCs w:val="22"/>
        </w:rPr>
        <w:t>1</w:t>
      </w:r>
      <w:r w:rsidRPr="00B57DAB">
        <w:rPr>
          <w:rFonts w:ascii="GHEA Grapalat" w:hAnsi="GHEA Grapalat"/>
          <w:sz w:val="22"/>
          <w:szCs w:val="22"/>
          <w:lang w:val="hy-AM"/>
        </w:rPr>
        <w:t xml:space="preserve"> թվականին ռազմական </w:t>
      </w:r>
      <w:r w:rsidR="007B0F99" w:rsidRPr="00B57DAB">
        <w:rPr>
          <w:rFonts w:ascii="GHEA Grapalat" w:hAnsi="GHEA Grapalat"/>
          <w:sz w:val="22"/>
          <w:szCs w:val="22"/>
        </w:rPr>
        <w:t>դրության հետ կապված</w:t>
      </w:r>
      <w:r w:rsidRPr="00B57DAB">
        <w:rPr>
          <w:rFonts w:ascii="GHEA Grapalat" w:hAnsi="GHEA Grapalat"/>
          <w:sz w:val="22"/>
          <w:szCs w:val="22"/>
          <w:lang w:val="hy-AM"/>
        </w:rPr>
        <w:t xml:space="preserve"> միջոցների հատկացմամբ:</w:t>
      </w:r>
    </w:p>
    <w:p w:rsidR="007B0F99" w:rsidRPr="00B57DAB" w:rsidRDefault="00756F85" w:rsidP="002A4B9F">
      <w:pPr>
        <w:pStyle w:val="ListParagraph"/>
        <w:numPr>
          <w:ilvl w:val="0"/>
          <w:numId w:val="17"/>
        </w:numPr>
        <w:autoSpaceDE w:val="0"/>
        <w:autoSpaceDN w:val="0"/>
        <w:adjustRightInd w:val="0"/>
        <w:spacing w:line="336" w:lineRule="auto"/>
        <w:contextualSpacing w:val="0"/>
        <w:jc w:val="both"/>
        <w:rPr>
          <w:rFonts w:ascii="GHEA Grapalat" w:hAnsi="GHEA Grapalat"/>
          <w:sz w:val="22"/>
          <w:szCs w:val="22"/>
        </w:rPr>
      </w:pPr>
      <w:r w:rsidRPr="00B57DAB">
        <w:rPr>
          <w:rFonts w:ascii="GHEA Grapalat" w:hAnsi="GHEA Grapalat"/>
          <w:sz w:val="22"/>
          <w:szCs w:val="22"/>
        </w:rPr>
        <w:t xml:space="preserve"> Ըստ տնտեսագիտական կառուցվածքի</w:t>
      </w:r>
      <w:r w:rsidR="007B0F99" w:rsidRPr="00B57DAB">
        <w:rPr>
          <w:rFonts w:ascii="GHEA Grapalat" w:hAnsi="GHEA Grapalat"/>
          <w:sz w:val="22"/>
          <w:szCs w:val="22"/>
        </w:rPr>
        <w:t xml:space="preserve"> բյուջեի ծախսերի 91.3%-ը կամ 362.2 մլրդ դրամը բաժին է ընկել ընթացիկ ծախսերին, 8.7%-ը կամ 34.6 մլրդ դրամը՝ ոչ ֆինանսական ակտիվների հետ </w:t>
      </w:r>
      <w:r w:rsidR="007B0F99" w:rsidRPr="00B57DAB">
        <w:rPr>
          <w:rFonts w:ascii="GHEA Grapalat" w:hAnsi="GHEA Grapalat" w:cs="GHEA Grapalat"/>
          <w:sz w:val="22"/>
          <w:szCs w:val="22"/>
          <w:lang w:val="hy-AM"/>
        </w:rPr>
        <w:t>գործառնությունն</w:t>
      </w:r>
      <w:r w:rsidR="00521AEA" w:rsidRPr="00B57DAB">
        <w:rPr>
          <w:rFonts w:ascii="GHEA Grapalat" w:hAnsi="GHEA Grapalat" w:cs="GHEA Grapalat"/>
          <w:sz w:val="22"/>
          <w:szCs w:val="22"/>
          <w:lang w:val="hy-AM"/>
        </w:rPr>
        <w:t>երին</w:t>
      </w:r>
      <w:r w:rsidR="00521AEA" w:rsidRPr="00B57DAB">
        <w:rPr>
          <w:rFonts w:ascii="GHEA Grapalat" w:hAnsi="GHEA Grapalat"/>
          <w:sz w:val="22"/>
          <w:szCs w:val="22"/>
        </w:rPr>
        <w:t>, իսկ նախորդ տարվա</w:t>
      </w:r>
      <w:r w:rsidR="00362F03" w:rsidRPr="00B57DAB">
        <w:rPr>
          <w:rFonts w:ascii="GHEA Grapalat" w:hAnsi="GHEA Grapalat"/>
          <w:sz w:val="22"/>
          <w:szCs w:val="22"/>
        </w:rPr>
        <w:t xml:space="preserve"> առաջին եռամսյակի</w:t>
      </w:r>
      <w:r w:rsidR="00521AEA" w:rsidRPr="00B57DAB">
        <w:rPr>
          <w:rFonts w:ascii="GHEA Grapalat" w:hAnsi="GHEA Grapalat"/>
          <w:sz w:val="22"/>
          <w:szCs w:val="22"/>
        </w:rPr>
        <w:t xml:space="preserve"> համեմատ </w:t>
      </w:r>
      <w:r w:rsidR="002A4B9F" w:rsidRPr="00B57DAB">
        <w:rPr>
          <w:rFonts w:ascii="GHEA Grapalat" w:hAnsi="GHEA Grapalat"/>
          <w:sz w:val="22"/>
          <w:szCs w:val="22"/>
        </w:rPr>
        <w:t xml:space="preserve">2% </w:t>
      </w:r>
      <w:r w:rsidR="00521AEA" w:rsidRPr="00B57DAB">
        <w:rPr>
          <w:rFonts w:ascii="GHEA Grapalat" w:hAnsi="GHEA Grapalat"/>
          <w:sz w:val="22"/>
          <w:szCs w:val="22"/>
        </w:rPr>
        <w:t>նվազում</w:t>
      </w:r>
      <w:r w:rsidR="007B0F99" w:rsidRPr="00B57DAB">
        <w:rPr>
          <w:rFonts w:ascii="GHEA Grapalat" w:hAnsi="GHEA Grapalat"/>
          <w:sz w:val="22"/>
          <w:szCs w:val="22"/>
        </w:rPr>
        <w:t xml:space="preserve">ը պայմանավորված է </w:t>
      </w:r>
      <w:r w:rsidR="00A037E0" w:rsidRPr="00B57DAB">
        <w:rPr>
          <w:rFonts w:ascii="GHEA Grapalat" w:hAnsi="GHEA Grapalat"/>
          <w:sz w:val="22"/>
          <w:lang w:val="hy-AM"/>
        </w:rPr>
        <w:t xml:space="preserve">կապիտալ ծախսերի </w:t>
      </w:r>
      <w:r w:rsidR="00A037E0" w:rsidRPr="00B57DAB">
        <w:rPr>
          <w:rFonts w:ascii="GHEA Grapalat" w:hAnsi="GHEA Grapalat"/>
          <w:sz w:val="22"/>
        </w:rPr>
        <w:t>նվազ</w:t>
      </w:r>
      <w:r w:rsidR="00A037E0" w:rsidRPr="00B57DAB">
        <w:rPr>
          <w:rFonts w:ascii="GHEA Grapalat" w:hAnsi="GHEA Grapalat"/>
          <w:sz w:val="22"/>
          <w:lang w:val="hy-AM"/>
        </w:rPr>
        <w:t>մամբ:</w:t>
      </w:r>
      <w:r w:rsidR="00A037E0" w:rsidRPr="00B57DAB">
        <w:rPr>
          <w:rFonts w:ascii="GHEA Grapalat" w:hAnsi="GHEA Grapalat" w:cs="GHEA Grapalat"/>
          <w:sz w:val="22"/>
          <w:szCs w:val="22"/>
        </w:rPr>
        <w:t xml:space="preserve"> Արդյունքում պետական բյուջեի ծախսերում 3.4 տոկոսային կետով ավելացել է ընթացիկ ծախսերի տեսակարար կշիռը և նույնքան նվազել է ոչ ֆինանսական ակտիվների հետ գործառնությունների տեսակարար կշիռը:</w:t>
      </w:r>
    </w:p>
    <w:p w:rsidR="00756F85" w:rsidRPr="00B57DAB" w:rsidRDefault="00756F85" w:rsidP="002A4B9F">
      <w:pPr>
        <w:pStyle w:val="ListParagraph"/>
        <w:numPr>
          <w:ilvl w:val="0"/>
          <w:numId w:val="17"/>
        </w:numPr>
        <w:autoSpaceDE w:val="0"/>
        <w:autoSpaceDN w:val="0"/>
        <w:adjustRightInd w:val="0"/>
        <w:spacing w:line="336" w:lineRule="auto"/>
        <w:contextualSpacing w:val="0"/>
        <w:jc w:val="both"/>
        <w:rPr>
          <w:rFonts w:ascii="GHEA Grapalat" w:hAnsi="GHEA Grapalat"/>
          <w:sz w:val="22"/>
          <w:szCs w:val="22"/>
          <w:lang w:val="hy-AM"/>
        </w:rPr>
      </w:pPr>
      <w:r w:rsidRPr="00B57DAB">
        <w:rPr>
          <w:rFonts w:ascii="GHEA Grapalat" w:hAnsi="GHEA Grapalat"/>
          <w:sz w:val="22"/>
          <w:szCs w:val="22"/>
          <w:lang w:val="hy-AM"/>
        </w:rPr>
        <w:t xml:space="preserve"> Նախորդ տարվա </w:t>
      </w:r>
      <w:r w:rsidR="00362F03" w:rsidRPr="00B57DAB">
        <w:rPr>
          <w:rFonts w:ascii="GHEA Grapalat" w:hAnsi="GHEA Grapalat"/>
          <w:sz w:val="22"/>
          <w:szCs w:val="22"/>
        </w:rPr>
        <w:t xml:space="preserve">առաջին եռամսյակի </w:t>
      </w:r>
      <w:r w:rsidRPr="00B57DAB">
        <w:rPr>
          <w:rFonts w:ascii="GHEA Grapalat" w:hAnsi="GHEA Grapalat"/>
          <w:sz w:val="22"/>
          <w:szCs w:val="22"/>
          <w:lang w:val="hy-AM"/>
        </w:rPr>
        <w:t xml:space="preserve">համեմատ ընթացիկ ծախսերի </w:t>
      </w:r>
      <w:r w:rsidR="00362F03" w:rsidRPr="00B57DAB">
        <w:rPr>
          <w:rFonts w:ascii="GHEA Grapalat" w:hAnsi="GHEA Grapalat"/>
          <w:sz w:val="22"/>
          <w:szCs w:val="22"/>
        </w:rPr>
        <w:t>1.8</w:t>
      </w:r>
      <w:r w:rsidRPr="00B57DAB">
        <w:rPr>
          <w:rFonts w:ascii="GHEA Grapalat" w:hAnsi="GHEA Grapalat"/>
          <w:sz w:val="22"/>
          <w:szCs w:val="22"/>
          <w:lang w:val="hy-AM"/>
        </w:rPr>
        <w:t>%</w:t>
      </w:r>
      <w:r w:rsidR="00362F03" w:rsidRPr="00B57DAB">
        <w:rPr>
          <w:rFonts w:ascii="GHEA Grapalat" w:hAnsi="GHEA Grapalat"/>
          <w:sz w:val="22"/>
          <w:szCs w:val="22"/>
        </w:rPr>
        <w:t xml:space="preserve"> (6.4 մլրդ դրամ)</w:t>
      </w:r>
      <w:r w:rsidRPr="00B57DAB">
        <w:rPr>
          <w:rFonts w:ascii="GHEA Grapalat" w:hAnsi="GHEA Grapalat"/>
          <w:sz w:val="22"/>
          <w:szCs w:val="22"/>
          <w:lang w:val="hy-AM"/>
        </w:rPr>
        <w:t xml:space="preserve"> աճը մեծ մասամբ պայմանավորված է </w:t>
      </w:r>
      <w:r w:rsidR="00362F03" w:rsidRPr="00B57DAB">
        <w:rPr>
          <w:rFonts w:ascii="GHEA Grapalat" w:hAnsi="GHEA Grapalat"/>
          <w:sz w:val="22"/>
          <w:szCs w:val="22"/>
        </w:rPr>
        <w:t>դրամաշնորհների</w:t>
      </w:r>
      <w:r w:rsidR="002A4B9F" w:rsidRPr="00B57DAB">
        <w:rPr>
          <w:rFonts w:ascii="GHEA Grapalat" w:hAnsi="GHEA Grapalat"/>
          <w:sz w:val="22"/>
          <w:szCs w:val="22"/>
        </w:rPr>
        <w:t xml:space="preserve"> (4.9 մլրդ դրամ)</w:t>
      </w:r>
      <w:r w:rsidR="00362F03" w:rsidRPr="00B57DAB">
        <w:rPr>
          <w:rFonts w:ascii="GHEA Grapalat" w:hAnsi="GHEA Grapalat"/>
          <w:sz w:val="22"/>
          <w:szCs w:val="22"/>
        </w:rPr>
        <w:t xml:space="preserve"> և սուբսիդիաների</w:t>
      </w:r>
      <w:r w:rsidR="002A4B9F" w:rsidRPr="00B57DAB">
        <w:rPr>
          <w:rFonts w:ascii="GHEA Grapalat" w:hAnsi="GHEA Grapalat"/>
          <w:sz w:val="22"/>
          <w:szCs w:val="22"/>
        </w:rPr>
        <w:t xml:space="preserve"> (3.7</w:t>
      </w:r>
      <w:r w:rsidR="002A4B9F" w:rsidRPr="00B57DAB">
        <w:rPr>
          <w:rFonts w:ascii="Courier New" w:hAnsi="Courier New" w:cs="Courier New"/>
          <w:sz w:val="22"/>
          <w:szCs w:val="22"/>
        </w:rPr>
        <w:t> </w:t>
      </w:r>
      <w:r w:rsidR="002A4B9F" w:rsidRPr="00B57DAB">
        <w:rPr>
          <w:rFonts w:ascii="GHEA Grapalat" w:hAnsi="GHEA Grapalat"/>
          <w:sz w:val="22"/>
          <w:szCs w:val="22"/>
        </w:rPr>
        <w:t>մլրդ դրամ)</w:t>
      </w:r>
      <w:r w:rsidRPr="00B57DAB">
        <w:rPr>
          <w:rFonts w:ascii="GHEA Grapalat" w:hAnsi="GHEA Grapalat"/>
          <w:sz w:val="22"/>
          <w:szCs w:val="22"/>
          <w:lang w:val="hy-AM"/>
        </w:rPr>
        <w:t xml:space="preserve"> գծով ծախսերի աճով:</w:t>
      </w:r>
    </w:p>
    <w:p w:rsidR="00FE5C22" w:rsidRPr="00B57DAB" w:rsidRDefault="00FE5C22" w:rsidP="002A4B9F">
      <w:pPr>
        <w:pStyle w:val="ListParagraph"/>
        <w:numPr>
          <w:ilvl w:val="0"/>
          <w:numId w:val="17"/>
        </w:numPr>
        <w:autoSpaceDE w:val="0"/>
        <w:autoSpaceDN w:val="0"/>
        <w:adjustRightInd w:val="0"/>
        <w:spacing w:line="336" w:lineRule="auto"/>
        <w:contextualSpacing w:val="0"/>
        <w:jc w:val="both"/>
        <w:rPr>
          <w:rFonts w:ascii="GHEA Grapalat" w:hAnsi="GHEA Grapalat"/>
          <w:sz w:val="22"/>
          <w:szCs w:val="22"/>
          <w:lang w:val="hy-AM"/>
        </w:rPr>
      </w:pPr>
      <w:r w:rsidRPr="00B57DAB">
        <w:rPr>
          <w:rFonts w:ascii="GHEA Grapalat" w:hAnsi="GHEA Grapalat"/>
          <w:sz w:val="22"/>
          <w:szCs w:val="22"/>
          <w:lang w:val="hy-AM"/>
        </w:rPr>
        <w:t xml:space="preserve">Ոչ ֆինանսական ակտիվների հետ գործառնությունների ծրագրված ցուցանիշի 52.4% </w:t>
      </w:r>
      <w:r w:rsidRPr="00B57DAB">
        <w:rPr>
          <w:rFonts w:ascii="GHEA Grapalat" w:hAnsi="GHEA Grapalat" w:cs="GHEA Grapalat"/>
          <w:sz w:val="22"/>
          <w:szCs w:val="22"/>
          <w:lang w:val="hy-AM"/>
        </w:rPr>
        <w:t>կատարողականը</w:t>
      </w:r>
      <w:r w:rsidRPr="00B57DAB">
        <w:rPr>
          <w:rFonts w:ascii="GHEA Grapalat" w:hAnsi="GHEA Grapalat"/>
          <w:sz w:val="22"/>
          <w:szCs w:val="22"/>
          <w:lang w:val="hy-AM"/>
        </w:rPr>
        <w:t>, ինչպես նաև նախորդ տարվա առաջին եռամսյակի համեմատ 29.4% (14.4 մլրդ դրամ) նվազումը հիմնականում պայմանավորված են ոչ ֆինանսական ակտիվների գծով ծախսերի (կապիտալ ծախսերի)</w:t>
      </w:r>
      <w:r w:rsidR="00D46EE2" w:rsidRPr="00B57DAB">
        <w:rPr>
          <w:rFonts w:ascii="GHEA Grapalat" w:hAnsi="GHEA Grapalat"/>
          <w:sz w:val="22"/>
          <w:szCs w:val="22"/>
          <w:lang w:val="hy-AM"/>
        </w:rPr>
        <w:t xml:space="preserve"> </w:t>
      </w:r>
      <w:r w:rsidRPr="00B57DAB">
        <w:rPr>
          <w:rFonts w:ascii="GHEA Grapalat" w:hAnsi="GHEA Grapalat"/>
          <w:sz w:val="22"/>
          <w:szCs w:val="22"/>
          <w:lang w:val="hy-AM"/>
        </w:rPr>
        <w:t xml:space="preserve">կատարողականով: Հաշվետու ժամանակահատվածում կապիտալ ծախսերը կազմել են 37.2 մլրդ դրամ կամ ճշտված ծրագրի 55.3%-ը: Ընդ որում, ծրագրից շեղումը մեծ մասամբ արձանագրվել է արտաքին աջակցությամբ իրականացվող նպատակային ծրագրերում, որոնց շրջանակներում կատարվել են 6.8 մլրդ դրամի կապիտալ ծախսեր՝ կազմելով ծրագրված ցուցանիշի 27.8%-ը: Իսկ մյուս ծրագրերի շրջանակներում նախատեսված կապիտալ ծախսերը կատարվել են 71.1%-ով՝ կազմելով 30.4 մլրդ դրամ: Նախորդ տարվա նույն ժամանակահատվածի համեմատ կապիտալ ծախսերի նվազումը հիմնականում պայմանավորված է ՀՀ պաշտպանության նախարարության շենքային պայմանների բարելավման միջոցառման շրջանակներում կատարված ծախսերի կրճատմամբ, </w:t>
      </w:r>
      <w:r w:rsidRPr="00B57DAB">
        <w:rPr>
          <w:rFonts w:ascii="GHEA Grapalat" w:hAnsi="GHEA Grapalat"/>
          <w:sz w:val="22"/>
          <w:szCs w:val="22"/>
          <w:lang w:val="hy-AM"/>
        </w:rPr>
        <w:lastRenderedPageBreak/>
        <w:t>որոնք կազմել են 27.4 մլրդ դրամ՝ նախորդ տարվա առաջին եռամսյակի 41.5 մլրդ դրամի դիմաց:</w:t>
      </w:r>
    </w:p>
    <w:p w:rsidR="00756F85" w:rsidRPr="00B57DAB" w:rsidRDefault="00756F85" w:rsidP="00756F85">
      <w:pPr>
        <w:pStyle w:val="ListParagraph"/>
        <w:autoSpaceDE w:val="0"/>
        <w:autoSpaceDN w:val="0"/>
        <w:adjustRightInd w:val="0"/>
        <w:spacing w:line="336" w:lineRule="auto"/>
        <w:ind w:left="284"/>
        <w:contextualSpacing w:val="0"/>
        <w:jc w:val="both"/>
        <w:rPr>
          <w:rFonts w:ascii="GHEA Grapalat" w:hAnsi="GHEA Grapalat" w:cs="GHEA Grapalat"/>
          <w:sz w:val="22"/>
          <w:szCs w:val="22"/>
          <w:lang w:val="hy-AM"/>
        </w:rPr>
      </w:pPr>
    </w:p>
    <w:p w:rsidR="00756F85" w:rsidRPr="00B57DAB" w:rsidRDefault="00756F85" w:rsidP="00756F85">
      <w:pPr>
        <w:spacing w:line="360" w:lineRule="auto"/>
        <w:ind w:firstLine="284"/>
        <w:rPr>
          <w:rFonts w:ascii="GHEA Grapalat" w:eastAsia="GHEA Grapalat" w:hAnsi="GHEA Grapalat"/>
          <w:b/>
          <w:sz w:val="22"/>
          <w:szCs w:val="22"/>
        </w:rPr>
      </w:pPr>
      <w:r w:rsidRPr="00B57DAB">
        <w:rPr>
          <w:rFonts w:ascii="GHEA Grapalat" w:eastAsia="GHEA Grapalat" w:hAnsi="GHEA Grapalat"/>
          <w:b/>
          <w:sz w:val="22"/>
          <w:szCs w:val="22"/>
        </w:rPr>
        <w:t xml:space="preserve">ՀՀ պետական բյուջեի </w:t>
      </w:r>
      <w:r w:rsidR="00FE5C22" w:rsidRPr="00B57DAB">
        <w:rPr>
          <w:rFonts w:ascii="GHEA Grapalat" w:eastAsia="GHEA Grapalat" w:hAnsi="GHEA Grapalat"/>
          <w:b/>
          <w:sz w:val="22"/>
          <w:szCs w:val="22"/>
        </w:rPr>
        <w:t>հավել</w:t>
      </w:r>
      <w:r w:rsidRPr="00B57DAB">
        <w:rPr>
          <w:rFonts w:ascii="GHEA Grapalat" w:eastAsia="GHEA Grapalat" w:hAnsi="GHEA Grapalat"/>
          <w:b/>
          <w:sz w:val="22"/>
          <w:szCs w:val="22"/>
        </w:rPr>
        <w:t>ուրդը</w:t>
      </w:r>
    </w:p>
    <w:p w:rsidR="00F8764A" w:rsidRPr="00B57DAB" w:rsidRDefault="00F8764A" w:rsidP="002A4B9F">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rPr>
      </w:pPr>
      <w:r w:rsidRPr="00B57DAB">
        <w:rPr>
          <w:rFonts w:ascii="GHEA Grapalat" w:hAnsi="GHEA Grapalat" w:cs="GHEA Grapalat"/>
          <w:sz w:val="22"/>
          <w:szCs w:val="22"/>
        </w:rPr>
        <w:t xml:space="preserve">2022 թվականի առաջին եռամսյակում ՀՀ պետական բյուջեն կատարվել է 28.7 մլրդ դրամ հավելուրդով՝ առաջին եռամսյակի համար ծրագրված 67.1 մլրդ դրամ և նախորդ տարվա նույն </w:t>
      </w:r>
      <w:r w:rsidRPr="00B57DAB">
        <w:rPr>
          <w:rFonts w:ascii="GHEA Grapalat" w:hAnsi="GHEA Grapalat" w:cs="GHEA Grapalat"/>
          <w:sz w:val="22"/>
          <w:szCs w:val="22"/>
          <w:lang w:val="hy-AM"/>
        </w:rPr>
        <w:t>ժամանակահատվածի</w:t>
      </w:r>
      <w:r w:rsidRPr="00B57DAB">
        <w:rPr>
          <w:rFonts w:ascii="GHEA Grapalat" w:hAnsi="GHEA Grapalat" w:cs="GHEA Grapalat"/>
          <w:sz w:val="22"/>
          <w:szCs w:val="22"/>
        </w:rPr>
        <w:t xml:space="preserve"> 55.6 մլրդ դրամ պակասուրդի դիմաց: Բյուջեի հավելուրդը հիմնականում պայմանավորված է ծախսերի համեմատ եկամուտների առավել բարձր կատարողականով, որի արդյունքում ֆինանսավորման ներքին աղբյուրներում նախատեսված բյուջեի ազատ միջոցներն աճել են 87.8 մլրդ դրամով, իսկ արտաքին աջակցությամբ իրականացվող նպատակային ծրագրերի շրջանակներում ստացվել է նախատեսված վարկային միջոցների 26%-ը՝ 6.3 մլրդ դրամ:</w:t>
      </w:r>
    </w:p>
    <w:p w:rsidR="00F8764A" w:rsidRPr="00B57DAB" w:rsidRDefault="00F8764A" w:rsidP="002A4B9F">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rPr>
      </w:pPr>
      <w:r w:rsidRPr="00B57DAB">
        <w:rPr>
          <w:rFonts w:ascii="GHEA Grapalat" w:hAnsi="GHEA Grapalat"/>
          <w:sz w:val="22"/>
          <w:szCs w:val="22"/>
          <w:lang w:val="hy-AM"/>
        </w:rPr>
        <w:t xml:space="preserve">Հաշվետու </w:t>
      </w:r>
      <w:r w:rsidRPr="00B57DAB">
        <w:rPr>
          <w:rFonts w:ascii="GHEA Grapalat" w:hAnsi="GHEA Grapalat"/>
          <w:sz w:val="22"/>
          <w:szCs w:val="22"/>
        </w:rPr>
        <w:t>ժամանակահատված</w:t>
      </w:r>
      <w:r w:rsidRPr="00B57DAB">
        <w:rPr>
          <w:rFonts w:ascii="GHEA Grapalat" w:hAnsi="GHEA Grapalat"/>
          <w:sz w:val="22"/>
          <w:szCs w:val="22"/>
          <w:lang w:val="hy-AM"/>
        </w:rPr>
        <w:t xml:space="preserve">ում </w:t>
      </w:r>
      <w:r w:rsidRPr="00B57DAB">
        <w:rPr>
          <w:rFonts w:ascii="GHEA Grapalat" w:hAnsi="GHEA Grapalat"/>
          <w:sz w:val="22"/>
          <w:szCs w:val="22"/>
        </w:rPr>
        <w:t xml:space="preserve">ֆինանսավորման </w:t>
      </w:r>
      <w:r w:rsidRPr="00B57DAB">
        <w:rPr>
          <w:rFonts w:ascii="GHEA Grapalat" w:hAnsi="GHEA Grapalat"/>
          <w:sz w:val="22"/>
          <w:szCs w:val="22"/>
          <w:lang w:val="hy-AM"/>
        </w:rPr>
        <w:t>ներքին</w:t>
      </w:r>
      <w:r w:rsidRPr="00B57DAB">
        <w:rPr>
          <w:rFonts w:ascii="GHEA Grapalat" w:hAnsi="GHEA Grapalat"/>
          <w:sz w:val="22"/>
          <w:szCs w:val="22"/>
        </w:rPr>
        <w:t xml:space="preserve"> աղբյուրները կազմել են -6.4 մլրդ դրամ (</w:t>
      </w:r>
      <w:r w:rsidRPr="00B57DAB">
        <w:rPr>
          <w:rFonts w:ascii="GHEA Grapalat" w:hAnsi="GHEA Grapalat" w:cs="GHEA Grapalat"/>
          <w:sz w:val="22"/>
          <w:szCs w:val="22"/>
          <w:lang w:val="hy-AM"/>
        </w:rPr>
        <w:t>կատարողականը</w:t>
      </w:r>
      <w:r w:rsidRPr="00B57DAB">
        <w:rPr>
          <w:rFonts w:ascii="GHEA Grapalat" w:hAnsi="GHEA Grapalat"/>
          <w:sz w:val="22"/>
          <w:szCs w:val="22"/>
        </w:rPr>
        <w:t>՝ -6.8%)</w:t>
      </w:r>
      <w:r w:rsidRPr="00B57DAB">
        <w:rPr>
          <w:rFonts w:ascii="GHEA Grapalat" w:hAnsi="GHEA Grapalat"/>
          <w:sz w:val="22"/>
          <w:szCs w:val="22"/>
          <w:lang w:val="hy-AM"/>
        </w:rPr>
        <w:t>, արտաքին աղբյուրներ</w:t>
      </w:r>
      <w:r w:rsidRPr="00B57DAB">
        <w:rPr>
          <w:rFonts w:ascii="GHEA Grapalat" w:hAnsi="GHEA Grapalat"/>
          <w:sz w:val="22"/>
          <w:szCs w:val="22"/>
        </w:rPr>
        <w:t>ը՝ -22.2 մլրդ դրամ (կատարողականը՝ 326.5%)</w:t>
      </w:r>
      <w:r w:rsidRPr="00B57DAB">
        <w:rPr>
          <w:rFonts w:ascii="GHEA Grapalat" w:hAnsi="GHEA Grapalat"/>
          <w:sz w:val="22"/>
          <w:szCs w:val="22"/>
          <w:lang w:val="hy-AM"/>
        </w:rPr>
        <w:t>:</w:t>
      </w:r>
    </w:p>
    <w:p w:rsidR="00756F85" w:rsidRPr="00B57DAB" w:rsidRDefault="00756F85" w:rsidP="00756F85">
      <w:pPr>
        <w:pStyle w:val="ListParagraph"/>
        <w:autoSpaceDE w:val="0"/>
        <w:autoSpaceDN w:val="0"/>
        <w:adjustRightInd w:val="0"/>
        <w:spacing w:line="336" w:lineRule="auto"/>
        <w:ind w:left="284"/>
        <w:contextualSpacing w:val="0"/>
        <w:jc w:val="both"/>
        <w:rPr>
          <w:rFonts w:ascii="GHEA Grapalat" w:hAnsi="GHEA Grapalat" w:cs="GHEA Grapalat"/>
          <w:sz w:val="22"/>
          <w:szCs w:val="22"/>
          <w:lang w:val="hy-AM"/>
        </w:rPr>
      </w:pPr>
    </w:p>
    <w:p w:rsidR="00756F85" w:rsidRPr="00B57DAB" w:rsidRDefault="00756F85" w:rsidP="00756F85">
      <w:pPr>
        <w:spacing w:line="360" w:lineRule="auto"/>
        <w:rPr>
          <w:rFonts w:ascii="GHEA Grapalat" w:eastAsia="GHEA Grapalat" w:hAnsi="GHEA Grapalat"/>
          <w:b/>
          <w:sz w:val="22"/>
          <w:szCs w:val="22"/>
        </w:rPr>
      </w:pPr>
      <w:r w:rsidRPr="00B57DAB">
        <w:rPr>
          <w:rFonts w:ascii="GHEA Grapalat" w:eastAsia="GHEA Grapalat" w:hAnsi="GHEA Grapalat"/>
          <w:b/>
          <w:sz w:val="22"/>
          <w:szCs w:val="22"/>
        </w:rPr>
        <w:t>ՀՀ ՊԵՏԱԿԱՆ ՊԱՐՏՔԸ</w:t>
      </w:r>
    </w:p>
    <w:p w:rsidR="00756F85" w:rsidRPr="00B57DAB" w:rsidRDefault="0035191B" w:rsidP="002A4B9F">
      <w:pPr>
        <w:pStyle w:val="ListParagraph"/>
        <w:numPr>
          <w:ilvl w:val="0"/>
          <w:numId w:val="17"/>
        </w:numPr>
        <w:autoSpaceDE w:val="0"/>
        <w:autoSpaceDN w:val="0"/>
        <w:adjustRightInd w:val="0"/>
        <w:spacing w:line="336" w:lineRule="auto"/>
        <w:contextualSpacing w:val="0"/>
        <w:jc w:val="both"/>
        <w:rPr>
          <w:rFonts w:ascii="GHEA Grapalat" w:hAnsi="GHEA Grapalat"/>
          <w:sz w:val="22"/>
          <w:szCs w:val="22"/>
          <w:lang w:val="hy-AM"/>
        </w:rPr>
      </w:pPr>
      <w:r w:rsidRPr="00B57DAB">
        <w:rPr>
          <w:rFonts w:ascii="GHEA Grapalat" w:hAnsi="GHEA Grapalat"/>
          <w:sz w:val="22"/>
          <w:szCs w:val="22"/>
        </w:rPr>
        <w:t>2022 թվականի մարտի 31-ի դրությամբ ՀՀ պետական պարտքը կազմել է 4,563.8 մլրդ դրամ (9,356.5 մլն ԱՄՆ դոլար): ՀՀ պետական պարտքում 3,241.4 մլրդ դրամը (6,645.3 մլն ԱՄՆ դոլարը) կազմել է արտաքին պարտքը, 1,322.5 մլրդ դրամը (2,711.3 մլն ԱՄՆ դոլարը)՝ ներքին պարտքը:</w:t>
      </w:r>
    </w:p>
    <w:p w:rsidR="00A9112D" w:rsidRPr="00B57DAB" w:rsidRDefault="00A9112D" w:rsidP="002A4B9F">
      <w:pPr>
        <w:pStyle w:val="ListParagraph"/>
        <w:numPr>
          <w:ilvl w:val="0"/>
          <w:numId w:val="17"/>
        </w:numPr>
        <w:autoSpaceDE w:val="0"/>
        <w:autoSpaceDN w:val="0"/>
        <w:adjustRightInd w:val="0"/>
        <w:spacing w:line="336" w:lineRule="auto"/>
        <w:contextualSpacing w:val="0"/>
        <w:jc w:val="both"/>
        <w:rPr>
          <w:rFonts w:ascii="GHEA Grapalat" w:hAnsi="GHEA Grapalat"/>
          <w:sz w:val="22"/>
          <w:szCs w:val="22"/>
          <w:lang w:val="hy-AM"/>
        </w:rPr>
      </w:pPr>
      <w:r w:rsidRPr="00B57DAB">
        <w:rPr>
          <w:rFonts w:ascii="GHEA Grapalat" w:hAnsi="GHEA Grapalat"/>
          <w:sz w:val="22"/>
          <w:szCs w:val="22"/>
        </w:rPr>
        <w:t>ՀՀ դրամով և ԱՄՆ դոլարով արտահայտված` նախորդ տարեվերջի համեմատ ՀՀ պետական պարտքի ցուցանիշներն աճել են անհամաչափորեն` համապատասխանաբար 3%-ով և 1.4%-ով: Դա պայմանավորված է եղել 2021 թվականի վերջի և 2022 թվականի մարտ ամսվա վերջի դրությամբ ձևավորված ԱՄՆ դոլար / ՀՀ դրամ փոխարժեքների տարբերությամբ, որը փոփոխվել է 1.6%-ով՝ 480.14-ից աճելով մինչև 487.77:</w:t>
      </w:r>
    </w:p>
    <w:p w:rsidR="00756F85" w:rsidRPr="00B57DAB" w:rsidRDefault="00756F85" w:rsidP="002A4B9F">
      <w:pPr>
        <w:pStyle w:val="ListParagraph"/>
        <w:numPr>
          <w:ilvl w:val="0"/>
          <w:numId w:val="17"/>
        </w:numPr>
        <w:autoSpaceDE w:val="0"/>
        <w:autoSpaceDN w:val="0"/>
        <w:adjustRightInd w:val="0"/>
        <w:spacing w:line="336" w:lineRule="auto"/>
        <w:contextualSpacing w:val="0"/>
        <w:jc w:val="both"/>
        <w:rPr>
          <w:rFonts w:ascii="GHEA Grapalat" w:hAnsi="GHEA Grapalat"/>
          <w:sz w:val="22"/>
          <w:szCs w:val="22"/>
          <w:lang w:val="hy-AM"/>
        </w:rPr>
      </w:pPr>
      <w:r w:rsidRPr="00B57DAB">
        <w:rPr>
          <w:rFonts w:ascii="GHEA Grapalat" w:hAnsi="GHEA Grapalat"/>
          <w:sz w:val="22"/>
          <w:szCs w:val="22"/>
          <w:lang w:val="hy-AM"/>
        </w:rPr>
        <w:t>ՀՀ կառավարության պարտքը 202</w:t>
      </w:r>
      <w:r w:rsidR="008B0BA2" w:rsidRPr="00B57DAB">
        <w:rPr>
          <w:rFonts w:ascii="GHEA Grapalat" w:hAnsi="GHEA Grapalat"/>
          <w:sz w:val="22"/>
          <w:szCs w:val="22"/>
        </w:rPr>
        <w:t>2</w:t>
      </w:r>
      <w:r w:rsidRPr="00B57DAB">
        <w:rPr>
          <w:rFonts w:ascii="GHEA Grapalat" w:hAnsi="GHEA Grapalat"/>
          <w:sz w:val="22"/>
          <w:szCs w:val="22"/>
          <w:lang w:val="hy-AM"/>
        </w:rPr>
        <w:t xml:space="preserve"> թվականի </w:t>
      </w:r>
      <w:r w:rsidR="008B0BA2" w:rsidRPr="00B57DAB">
        <w:rPr>
          <w:rFonts w:ascii="GHEA Grapalat" w:hAnsi="GHEA Grapalat"/>
          <w:sz w:val="22"/>
          <w:szCs w:val="22"/>
        </w:rPr>
        <w:t>մարտ</w:t>
      </w:r>
      <w:r w:rsidRPr="00B57DAB">
        <w:rPr>
          <w:rFonts w:ascii="GHEA Grapalat" w:hAnsi="GHEA Grapalat"/>
          <w:sz w:val="22"/>
          <w:szCs w:val="22"/>
          <w:lang w:val="hy-AM"/>
        </w:rPr>
        <w:t>ի 31-ի դրությամբ կազմել է 4,</w:t>
      </w:r>
      <w:r w:rsidR="008B0BA2" w:rsidRPr="00B57DAB">
        <w:rPr>
          <w:rFonts w:ascii="GHEA Grapalat" w:hAnsi="GHEA Grapalat"/>
          <w:sz w:val="22"/>
          <w:szCs w:val="22"/>
        </w:rPr>
        <w:t>332.8</w:t>
      </w:r>
      <w:r w:rsidRPr="00B57DAB">
        <w:rPr>
          <w:rFonts w:ascii="GHEA Grapalat" w:hAnsi="GHEA Grapalat"/>
          <w:sz w:val="22"/>
          <w:szCs w:val="22"/>
          <w:lang w:val="hy-AM"/>
        </w:rPr>
        <w:t xml:space="preserve"> մլրդ դրամ (8,</w:t>
      </w:r>
      <w:r w:rsidR="008B0BA2" w:rsidRPr="00B57DAB">
        <w:rPr>
          <w:rFonts w:ascii="GHEA Grapalat" w:hAnsi="GHEA Grapalat"/>
          <w:sz w:val="22"/>
          <w:szCs w:val="22"/>
        </w:rPr>
        <w:t>882.9</w:t>
      </w:r>
      <w:r w:rsidRPr="00B57DAB">
        <w:rPr>
          <w:rFonts w:ascii="GHEA Grapalat" w:hAnsi="GHEA Grapalat"/>
          <w:sz w:val="22"/>
          <w:szCs w:val="22"/>
          <w:lang w:val="hy-AM"/>
        </w:rPr>
        <w:t xml:space="preserve"> մլն ԱՄՆ դոլար), որից արտաքին պարտքը՝</w:t>
      </w:r>
      <w:r w:rsidR="006D062A" w:rsidRPr="00B57DAB">
        <w:rPr>
          <w:rFonts w:ascii="GHEA Grapalat" w:hAnsi="GHEA Grapalat"/>
          <w:sz w:val="22"/>
          <w:szCs w:val="22"/>
        </w:rPr>
        <w:t xml:space="preserve"> 3</w:t>
      </w:r>
      <w:r w:rsidRPr="00B57DAB">
        <w:rPr>
          <w:rFonts w:ascii="GHEA Grapalat" w:hAnsi="GHEA Grapalat"/>
          <w:sz w:val="22"/>
          <w:szCs w:val="22"/>
          <w:lang w:val="hy-AM"/>
        </w:rPr>
        <w:t>,</w:t>
      </w:r>
      <w:r w:rsidR="006D062A" w:rsidRPr="00B57DAB">
        <w:rPr>
          <w:rFonts w:ascii="GHEA Grapalat" w:hAnsi="GHEA Grapalat"/>
          <w:sz w:val="22"/>
          <w:szCs w:val="22"/>
        </w:rPr>
        <w:t>010</w:t>
      </w:r>
      <w:r w:rsidRPr="00B57DAB">
        <w:rPr>
          <w:rFonts w:ascii="GHEA Grapalat" w:hAnsi="GHEA Grapalat"/>
          <w:sz w:val="22"/>
          <w:szCs w:val="22"/>
          <w:lang w:val="hy-AM"/>
        </w:rPr>
        <w:t>.4 մլրդ դրամ (6,1</w:t>
      </w:r>
      <w:r w:rsidR="006D062A" w:rsidRPr="00B57DAB">
        <w:rPr>
          <w:rFonts w:ascii="GHEA Grapalat" w:hAnsi="GHEA Grapalat"/>
          <w:sz w:val="22"/>
          <w:szCs w:val="22"/>
        </w:rPr>
        <w:t>71.7</w:t>
      </w:r>
      <w:r w:rsidRPr="00B57DAB">
        <w:rPr>
          <w:rFonts w:ascii="GHEA Grapalat" w:hAnsi="GHEA Grapalat"/>
          <w:sz w:val="22"/>
          <w:szCs w:val="22"/>
          <w:lang w:val="hy-AM"/>
        </w:rPr>
        <w:t xml:space="preserve"> մլն ԱՄՆ դոլար), իսկ ներքին պարտքը՝ 1,</w:t>
      </w:r>
      <w:r w:rsidR="006D062A" w:rsidRPr="00B57DAB">
        <w:rPr>
          <w:rFonts w:ascii="GHEA Grapalat" w:hAnsi="GHEA Grapalat"/>
          <w:sz w:val="22"/>
          <w:szCs w:val="22"/>
        </w:rPr>
        <w:t>322.5</w:t>
      </w:r>
      <w:r w:rsidRPr="00B57DAB">
        <w:rPr>
          <w:rFonts w:ascii="GHEA Grapalat" w:hAnsi="GHEA Grapalat"/>
          <w:sz w:val="22"/>
          <w:szCs w:val="22"/>
          <w:lang w:val="hy-AM"/>
        </w:rPr>
        <w:t xml:space="preserve"> մլրդ դրամ (2,</w:t>
      </w:r>
      <w:r w:rsidR="006D062A" w:rsidRPr="00B57DAB">
        <w:rPr>
          <w:rFonts w:ascii="GHEA Grapalat" w:hAnsi="GHEA Grapalat"/>
          <w:sz w:val="22"/>
          <w:szCs w:val="22"/>
        </w:rPr>
        <w:t>711.3</w:t>
      </w:r>
      <w:r w:rsidRPr="00B57DAB">
        <w:rPr>
          <w:rFonts w:ascii="GHEA Grapalat" w:hAnsi="GHEA Grapalat"/>
          <w:sz w:val="22"/>
          <w:szCs w:val="22"/>
          <w:lang w:val="hy-AM"/>
        </w:rPr>
        <w:t xml:space="preserve"> մլն ԱՄՆ դոլար):</w:t>
      </w:r>
    </w:p>
    <w:p w:rsidR="00756F85" w:rsidRPr="00B57DAB" w:rsidRDefault="00756F85" w:rsidP="002A4B9F">
      <w:pPr>
        <w:pStyle w:val="ListParagraph"/>
        <w:numPr>
          <w:ilvl w:val="0"/>
          <w:numId w:val="17"/>
        </w:numPr>
        <w:autoSpaceDE w:val="0"/>
        <w:autoSpaceDN w:val="0"/>
        <w:adjustRightInd w:val="0"/>
        <w:spacing w:line="336" w:lineRule="auto"/>
        <w:contextualSpacing w:val="0"/>
        <w:jc w:val="both"/>
        <w:rPr>
          <w:rFonts w:ascii="GHEA Grapalat" w:hAnsi="GHEA Grapalat"/>
          <w:sz w:val="22"/>
          <w:szCs w:val="22"/>
          <w:lang w:val="hy-AM"/>
        </w:rPr>
      </w:pPr>
      <w:r w:rsidRPr="00B57DAB">
        <w:rPr>
          <w:rFonts w:ascii="GHEA Grapalat" w:hAnsi="GHEA Grapalat"/>
          <w:sz w:val="22"/>
          <w:szCs w:val="22"/>
          <w:lang w:val="hy-AM"/>
        </w:rPr>
        <w:t xml:space="preserve"> </w:t>
      </w:r>
      <w:r w:rsidR="006D062A" w:rsidRPr="00B57DAB">
        <w:rPr>
          <w:rFonts w:ascii="GHEA Grapalat" w:hAnsi="GHEA Grapalat"/>
          <w:sz w:val="22"/>
          <w:szCs w:val="22"/>
          <w:lang w:val="hy-AM"/>
        </w:rPr>
        <w:t>202</w:t>
      </w:r>
      <w:r w:rsidR="006D062A" w:rsidRPr="00B57DAB">
        <w:rPr>
          <w:rFonts w:ascii="GHEA Grapalat" w:hAnsi="GHEA Grapalat"/>
          <w:sz w:val="22"/>
          <w:szCs w:val="22"/>
        </w:rPr>
        <w:t>2</w:t>
      </w:r>
      <w:r w:rsidR="006D062A" w:rsidRPr="00B57DAB">
        <w:rPr>
          <w:rFonts w:ascii="GHEA Grapalat" w:hAnsi="GHEA Grapalat"/>
          <w:sz w:val="22"/>
          <w:szCs w:val="22"/>
          <w:lang w:val="hy-AM"/>
        </w:rPr>
        <w:t xml:space="preserve"> </w:t>
      </w:r>
      <w:r w:rsidR="006D062A" w:rsidRPr="00B57DAB">
        <w:rPr>
          <w:rFonts w:ascii="GHEA Grapalat" w:hAnsi="GHEA Grapalat" w:cs="GHEA Grapalat"/>
          <w:sz w:val="22"/>
          <w:szCs w:val="22"/>
          <w:lang w:val="hy-AM"/>
        </w:rPr>
        <w:t>թվականի</w:t>
      </w:r>
      <w:r w:rsidR="006D062A" w:rsidRPr="00B57DAB">
        <w:rPr>
          <w:rFonts w:ascii="GHEA Grapalat" w:hAnsi="GHEA Grapalat"/>
          <w:sz w:val="22"/>
          <w:szCs w:val="22"/>
          <w:lang w:val="hy-AM"/>
        </w:rPr>
        <w:t xml:space="preserve"> </w:t>
      </w:r>
      <w:r w:rsidR="006D062A" w:rsidRPr="00B57DAB">
        <w:rPr>
          <w:rFonts w:ascii="GHEA Grapalat" w:hAnsi="GHEA Grapalat"/>
          <w:sz w:val="22"/>
          <w:szCs w:val="22"/>
        </w:rPr>
        <w:t>մարտ</w:t>
      </w:r>
      <w:r w:rsidR="006D062A" w:rsidRPr="00B57DAB">
        <w:rPr>
          <w:rFonts w:ascii="GHEA Grapalat" w:hAnsi="GHEA Grapalat"/>
          <w:sz w:val="22"/>
          <w:szCs w:val="22"/>
          <w:lang w:val="hy-AM"/>
        </w:rPr>
        <w:t xml:space="preserve">ի 31-ի դրությամբ </w:t>
      </w:r>
      <w:r w:rsidRPr="00B57DAB">
        <w:rPr>
          <w:rFonts w:ascii="GHEA Grapalat" w:hAnsi="GHEA Grapalat"/>
          <w:sz w:val="22"/>
          <w:szCs w:val="22"/>
          <w:lang w:val="hy-AM"/>
        </w:rPr>
        <w:t>ՀՀ արտաքին պետական պարտքը նախորդ տար</w:t>
      </w:r>
      <w:r w:rsidR="006D062A" w:rsidRPr="00B57DAB">
        <w:rPr>
          <w:rFonts w:ascii="GHEA Grapalat" w:hAnsi="GHEA Grapalat"/>
          <w:sz w:val="22"/>
          <w:szCs w:val="22"/>
        </w:rPr>
        <w:t>եվերջի</w:t>
      </w:r>
      <w:r w:rsidRPr="00B57DAB">
        <w:rPr>
          <w:rFonts w:ascii="GHEA Grapalat" w:hAnsi="GHEA Grapalat"/>
          <w:sz w:val="22"/>
          <w:szCs w:val="22"/>
          <w:lang w:val="hy-AM"/>
        </w:rPr>
        <w:t xml:space="preserve"> համեմատությամբ աճել է </w:t>
      </w:r>
      <w:r w:rsidR="00001128" w:rsidRPr="00B57DAB">
        <w:rPr>
          <w:rFonts w:ascii="GHEA Grapalat" w:hAnsi="GHEA Grapalat"/>
          <w:sz w:val="22"/>
          <w:szCs w:val="22"/>
        </w:rPr>
        <w:t>49.2</w:t>
      </w:r>
      <w:r w:rsidRPr="00B57DAB">
        <w:rPr>
          <w:rFonts w:ascii="GHEA Grapalat" w:hAnsi="GHEA Grapalat"/>
          <w:sz w:val="22"/>
          <w:szCs w:val="22"/>
          <w:lang w:val="hy-AM"/>
        </w:rPr>
        <w:t xml:space="preserve"> մլրդ դրամով (</w:t>
      </w:r>
      <w:r w:rsidR="00001128" w:rsidRPr="00B57DAB">
        <w:rPr>
          <w:rFonts w:ascii="GHEA Grapalat" w:hAnsi="GHEA Grapalat"/>
          <w:sz w:val="22"/>
          <w:szCs w:val="22"/>
        </w:rPr>
        <w:t>նվազել է 3.1</w:t>
      </w:r>
      <w:r w:rsidR="00001128" w:rsidRPr="00B57DAB">
        <w:rPr>
          <w:rFonts w:ascii="GHEA Grapalat" w:hAnsi="GHEA Grapalat"/>
          <w:sz w:val="22"/>
          <w:szCs w:val="22"/>
          <w:lang w:val="hy-AM"/>
        </w:rPr>
        <w:t xml:space="preserve"> մլն ԱՄՆ դոլարով)</w:t>
      </w:r>
      <w:r w:rsidR="00001128" w:rsidRPr="00B57DAB">
        <w:rPr>
          <w:rFonts w:ascii="GHEA Grapalat" w:hAnsi="GHEA Grapalat"/>
          <w:sz w:val="22"/>
          <w:szCs w:val="22"/>
        </w:rPr>
        <w:t xml:space="preserve">, իսկ ներքին պետական պարտքը՝ 85.0 մլրդ դրամով </w:t>
      </w:r>
      <w:r w:rsidR="00001128" w:rsidRPr="00B57DAB">
        <w:rPr>
          <w:rFonts w:ascii="GHEA Grapalat" w:hAnsi="GHEA Grapalat"/>
          <w:sz w:val="22"/>
          <w:szCs w:val="22"/>
          <w:lang w:val="hy-AM"/>
        </w:rPr>
        <w:t>(</w:t>
      </w:r>
      <w:r w:rsidR="00001128" w:rsidRPr="00B57DAB">
        <w:rPr>
          <w:rFonts w:ascii="GHEA Grapalat" w:hAnsi="GHEA Grapalat"/>
          <w:sz w:val="22"/>
          <w:szCs w:val="22"/>
        </w:rPr>
        <w:t>134</w:t>
      </w:r>
      <w:r w:rsidR="00001128" w:rsidRPr="00B57DAB">
        <w:rPr>
          <w:rFonts w:ascii="GHEA Grapalat" w:hAnsi="GHEA Grapalat"/>
          <w:sz w:val="22"/>
          <w:szCs w:val="22"/>
          <w:lang w:val="hy-AM"/>
        </w:rPr>
        <w:t xml:space="preserve"> մլն ԱՄՆ դոլարով)</w:t>
      </w:r>
      <w:r w:rsidRPr="00B57DAB">
        <w:rPr>
          <w:rFonts w:ascii="GHEA Grapalat" w:hAnsi="GHEA Grapalat"/>
          <w:sz w:val="22"/>
          <w:szCs w:val="22"/>
          <w:lang w:val="hy-AM"/>
        </w:rPr>
        <w:t>:</w:t>
      </w:r>
    </w:p>
    <w:p w:rsidR="00563135" w:rsidRPr="00B57DAB" w:rsidRDefault="00756F85" w:rsidP="00563135">
      <w:pPr>
        <w:pStyle w:val="Heading1"/>
        <w:overflowPunct/>
        <w:autoSpaceDE/>
        <w:autoSpaceDN/>
        <w:adjustRightInd/>
        <w:spacing w:line="240" w:lineRule="auto"/>
        <w:ind w:firstLine="0"/>
        <w:jc w:val="left"/>
        <w:textAlignment w:val="auto"/>
        <w:rPr>
          <w:rFonts w:ascii="GHEA Grapalat" w:hAnsi="GHEA Grapalat" w:cs="Sylfaen"/>
          <w:noProof/>
          <w:sz w:val="22"/>
          <w:szCs w:val="22"/>
          <w:lang w:val="hy-AM"/>
        </w:rPr>
      </w:pPr>
      <w:r w:rsidRPr="00B57DAB">
        <w:rPr>
          <w:rFonts w:ascii="GHEA Grapalat" w:hAnsi="GHEA Grapalat" w:cs="Sylfaen"/>
          <w:noProof/>
          <w:sz w:val="22"/>
          <w:szCs w:val="22"/>
        </w:rPr>
        <w:br w:type="page"/>
      </w:r>
      <w:bookmarkStart w:id="8" w:name="_Toc71311877"/>
      <w:bookmarkStart w:id="9" w:name="_Toc102759881"/>
      <w:r w:rsidR="00563135" w:rsidRPr="00B57DAB">
        <w:rPr>
          <w:rFonts w:ascii="GHEA Grapalat" w:hAnsi="GHEA Grapalat" w:cs="Sylfaen"/>
          <w:noProof/>
          <w:sz w:val="22"/>
          <w:szCs w:val="22"/>
          <w:lang w:val="hy-AM"/>
        </w:rPr>
        <w:lastRenderedPageBreak/>
        <w:t>ՀԱՅԱՍՏԱՆԻ ՀԱՆՐԱՊԵՏՈՒԹՅԱՆ ՄԱԿՐՈՏՆՏԵՍԱԿԱՆ ԵՎ ՀԱՐԿԱԲՅՈՒՋԵՏԱՅԻՆ ԶԱՐԳԱՑՈՒՄՆԵՐԸ 2022 ԹՎԱԿԱՆԻ ԱՌԱՋԻՆ ԵՌԱՄՍՅԱԿՈՒՄ</w:t>
      </w:r>
      <w:bookmarkEnd w:id="8"/>
      <w:bookmarkEnd w:id="9"/>
    </w:p>
    <w:p w:rsidR="00563135" w:rsidRPr="00B57DAB" w:rsidRDefault="00563135" w:rsidP="00563135">
      <w:pPr>
        <w:autoSpaceDE w:val="0"/>
        <w:autoSpaceDN w:val="0"/>
        <w:adjustRightInd w:val="0"/>
        <w:ind w:firstLine="567"/>
        <w:jc w:val="both"/>
        <w:rPr>
          <w:rFonts w:ascii="GHEA Grapalat" w:hAnsi="GHEA Grapalat"/>
          <w:sz w:val="22"/>
          <w:szCs w:val="22"/>
          <w:lang w:val="hy-AM"/>
        </w:rPr>
      </w:pPr>
      <w:bookmarkStart w:id="10" w:name="_Toc71283305"/>
    </w:p>
    <w:p w:rsidR="00563135" w:rsidRPr="00B57DAB" w:rsidRDefault="00563135" w:rsidP="00563135">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11" w:name="_Toc71311879"/>
      <w:bookmarkStart w:id="12" w:name="_Toc102759882"/>
      <w:r w:rsidRPr="00B57DAB">
        <w:rPr>
          <w:rFonts w:ascii="GHEA Grapalat" w:hAnsi="GHEA Grapalat"/>
          <w:i w:val="0"/>
          <w:noProof/>
          <w:sz w:val="22"/>
          <w:szCs w:val="22"/>
          <w:lang w:val="de-AT"/>
        </w:rPr>
        <w:t>ՄԱԿՐՈՏՆՏԵՍԱԿԱՆ ԶԱՐԳԱՑՈՒՄՆԵՐ</w:t>
      </w:r>
      <w:bookmarkEnd w:id="10"/>
      <w:bookmarkEnd w:id="11"/>
      <w:bookmarkEnd w:id="12"/>
    </w:p>
    <w:p w:rsidR="00563135" w:rsidRPr="00B57DAB" w:rsidRDefault="00563135" w:rsidP="00563135">
      <w:pPr>
        <w:pStyle w:val="Heading2"/>
        <w:overflowPunct/>
        <w:autoSpaceDE/>
        <w:autoSpaceDN/>
        <w:adjustRightInd/>
        <w:spacing w:before="360" w:after="240"/>
        <w:jc w:val="both"/>
        <w:textAlignment w:val="auto"/>
        <w:rPr>
          <w:rFonts w:ascii="GHEA Grapalat" w:hAnsi="GHEA Grapalat"/>
          <w:bCs/>
          <w:i w:val="0"/>
          <w:noProof/>
          <w:sz w:val="22"/>
          <w:szCs w:val="22"/>
          <w:lang w:val="de-AT"/>
        </w:rPr>
      </w:pPr>
      <w:bookmarkStart w:id="13" w:name="_Toc71283306"/>
      <w:bookmarkStart w:id="14" w:name="_Toc71311880"/>
      <w:bookmarkStart w:id="15" w:name="_Toc102759883"/>
      <w:r w:rsidRPr="00B57DAB">
        <w:rPr>
          <w:rFonts w:ascii="GHEA Grapalat" w:hAnsi="GHEA Grapalat"/>
          <w:bCs/>
          <w:i w:val="0"/>
          <w:noProof/>
          <w:sz w:val="22"/>
          <w:szCs w:val="22"/>
          <w:lang w:val="de-AT"/>
        </w:rPr>
        <w:t>Արտաքին միջավայրի զարգացումներ</w:t>
      </w:r>
      <w:bookmarkEnd w:id="13"/>
      <w:bookmarkEnd w:id="14"/>
      <w:bookmarkEnd w:id="15"/>
    </w:p>
    <w:p w:rsidR="00563135" w:rsidRPr="00B57DAB" w:rsidRDefault="00563135" w:rsidP="00E22A1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Տնտեսական զարգացումներ:</w:t>
      </w:r>
      <w:r w:rsidRPr="00B57DAB">
        <w:rPr>
          <w:rFonts w:ascii="GHEA Grapalat" w:hAnsi="GHEA Grapalat" w:cs="GHEA Grapalat"/>
          <w:sz w:val="22"/>
          <w:szCs w:val="22"/>
          <w:lang w:val="hy-AM"/>
        </w:rPr>
        <w:t xml:space="preserve"> 2022 թվականի առաջին եռամսյակում հիմնական գործընկեր երկրների տնտեսություններում նկատվել են տնտեսական աճեր, սակայն, ռուս-ուկրաինական հակամարտությամբ և դրա արդյունքում ՌԴ-ի նկատմամբ կիրառվող աննախադեպ պատժամիջոցների բացասական ազդեցություններով պայմանավորված, մարտ ամսից սկսել են դրսևորվել տնտեսական ակտիվության դանդաղման միտումներ</w:t>
      </w:r>
      <w:r w:rsidR="005531D1">
        <w:rPr>
          <w:rFonts w:ascii="GHEA Grapalat" w:hAnsi="GHEA Grapalat" w:cs="GHEA Grapalat"/>
          <w:sz w:val="22"/>
          <w:szCs w:val="22"/>
          <w:lang w:val="hy-AM"/>
        </w:rPr>
        <w:t>: 2022 թվականի առաջին եռամսյակ</w:t>
      </w:r>
      <w:r w:rsidR="005531D1">
        <w:rPr>
          <w:rFonts w:ascii="GHEA Grapalat" w:hAnsi="GHEA Grapalat" w:cs="GHEA Grapalat"/>
          <w:sz w:val="22"/>
          <w:szCs w:val="22"/>
        </w:rPr>
        <w:t>ում</w:t>
      </w:r>
      <w:r w:rsidRPr="00B57DAB">
        <w:rPr>
          <w:rFonts w:ascii="GHEA Grapalat" w:hAnsi="GHEA Grapalat" w:cs="GHEA Grapalat"/>
          <w:sz w:val="22"/>
          <w:szCs w:val="22"/>
          <w:lang w:val="hy-AM"/>
        </w:rPr>
        <w:t xml:space="preserve"> նախորդ տարվա համապատասխան ժամանակահատվածի նկատմամբ ԱՄՆ տնտեսությունը գրանցել է 3.6% աճ, Եվրոգոտու տնտեսությունն աճել է 5%-ով</w:t>
      </w:r>
      <w:r w:rsidRPr="00B57DAB">
        <w:rPr>
          <w:rFonts w:ascii="GHEA Grapalat" w:hAnsi="GHEA Grapalat"/>
          <w:sz w:val="22"/>
          <w:szCs w:val="22"/>
          <w:vertAlign w:val="superscript"/>
          <w:lang w:val="hy-AM"/>
        </w:rPr>
        <w:footnoteReference w:id="1"/>
      </w:r>
      <w:r w:rsidRPr="00B57DAB">
        <w:rPr>
          <w:rFonts w:ascii="GHEA Grapalat" w:hAnsi="GHEA Grapalat" w:cs="GHEA Grapalat"/>
          <w:sz w:val="22"/>
          <w:szCs w:val="22"/>
          <w:lang w:val="hy-AM"/>
        </w:rPr>
        <w:t>, իսկ Չինաստանում գրանցվել է 4.8% տնտեսական աճ</w:t>
      </w:r>
      <w:r w:rsidRPr="00B57DAB">
        <w:rPr>
          <w:rFonts w:ascii="GHEA Grapalat" w:hAnsi="GHEA Grapalat"/>
          <w:sz w:val="22"/>
          <w:szCs w:val="22"/>
          <w:vertAlign w:val="superscript"/>
          <w:lang w:val="hy-AM"/>
        </w:rPr>
        <w:footnoteReference w:id="2"/>
      </w:r>
      <w:r w:rsidRPr="00B57DAB">
        <w:rPr>
          <w:rFonts w:ascii="GHEA Grapalat" w:hAnsi="GHEA Grapalat" w:cs="GHEA Grapalat"/>
          <w:sz w:val="22"/>
          <w:szCs w:val="22"/>
          <w:lang w:val="hy-AM"/>
        </w:rPr>
        <w:t>: Ռուսաստանի տնտեսությու</w:t>
      </w:r>
      <w:r w:rsidR="00025B6D">
        <w:rPr>
          <w:rFonts w:ascii="GHEA Grapalat" w:hAnsi="GHEA Grapalat" w:cs="GHEA Grapalat"/>
          <w:sz w:val="22"/>
          <w:szCs w:val="22"/>
          <w:lang w:val="hy-AM"/>
        </w:rPr>
        <w:t>նը 2022 թվականի առաջին եռամսյակ</w:t>
      </w:r>
      <w:r w:rsidR="00025B6D">
        <w:rPr>
          <w:rFonts w:ascii="GHEA Grapalat" w:hAnsi="GHEA Grapalat" w:cs="GHEA Grapalat"/>
          <w:sz w:val="22"/>
          <w:szCs w:val="22"/>
        </w:rPr>
        <w:t>ում</w:t>
      </w:r>
      <w:r w:rsidRPr="00B57DAB">
        <w:rPr>
          <w:rFonts w:ascii="GHEA Grapalat" w:hAnsi="GHEA Grapalat" w:cs="GHEA Grapalat"/>
          <w:sz w:val="22"/>
          <w:szCs w:val="22"/>
          <w:lang w:val="hy-AM"/>
        </w:rPr>
        <w:t xml:space="preserve"> նախորդ տարվա նույն ժամանակահատվածի նկատմամբ 3.7% աճ է գրանցել, ընդ որում՝ եռամսյակի ընթացքում աճի զգալի դանդաղում է արձանագրել՝ Ռուսաստանի տնտեսական ակտիվությունն հունվարին աճել է 5.8%, փետրվարին՝ 4.3%, իսկ մարտին 1.6%-ով</w:t>
      </w:r>
      <w:r w:rsidRPr="00B57DAB">
        <w:rPr>
          <w:rFonts w:ascii="GHEA Grapalat" w:hAnsi="GHEA Grapalat"/>
          <w:sz w:val="22"/>
          <w:szCs w:val="22"/>
          <w:vertAlign w:val="superscript"/>
          <w:lang w:val="hy-AM"/>
        </w:rPr>
        <w:footnoteReference w:id="3"/>
      </w:r>
      <w:r w:rsidRPr="00B57DAB">
        <w:rPr>
          <w:rFonts w:cs="GHEA Grapalat"/>
          <w:sz w:val="22"/>
          <w:szCs w:val="22"/>
          <w:lang w:val="hy-AM"/>
        </w:rPr>
        <w:t>:</w:t>
      </w:r>
      <w:r w:rsidRPr="00B57DAB">
        <w:rPr>
          <w:rFonts w:ascii="GHEA Grapalat" w:hAnsi="GHEA Grapalat" w:cs="GHEA Grapalat"/>
          <w:sz w:val="22"/>
          <w:szCs w:val="22"/>
          <w:lang w:val="hy-AM"/>
        </w:rPr>
        <w:t xml:space="preserve"> </w:t>
      </w:r>
    </w:p>
    <w:p w:rsidR="00563135" w:rsidRPr="00B57DAB" w:rsidRDefault="00563135" w:rsidP="00E22A1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Միջազգային գներ</w:t>
      </w:r>
      <w:r w:rsidRPr="00B57DAB">
        <w:rPr>
          <w:rFonts w:ascii="GHEA Grapalat" w:hAnsi="GHEA Grapalat"/>
          <w:b/>
          <w:i/>
          <w:sz w:val="22"/>
          <w:szCs w:val="22"/>
          <w:vertAlign w:val="superscript"/>
          <w:lang w:val="hy-AM"/>
        </w:rPr>
        <w:footnoteReference w:id="4"/>
      </w:r>
      <w:r w:rsidRPr="00B57DAB">
        <w:rPr>
          <w:rFonts w:ascii="GHEA Grapalat" w:hAnsi="GHEA Grapalat" w:cs="GHEA Grapalat"/>
          <w:b/>
          <w:i/>
          <w:sz w:val="22"/>
          <w:szCs w:val="22"/>
          <w:lang w:val="hy-AM"/>
        </w:rPr>
        <w:t>:</w:t>
      </w:r>
      <w:r w:rsidRPr="00B57DAB">
        <w:rPr>
          <w:rFonts w:ascii="GHEA Grapalat" w:hAnsi="GHEA Grapalat" w:cs="GHEA Grapalat"/>
          <w:sz w:val="22"/>
          <w:szCs w:val="22"/>
          <w:lang w:val="hy-AM"/>
        </w:rPr>
        <w:t xml:space="preserve"> Հիմնականում պայմանավորված համաշխարհային տնտեսության վերականգմամբ՝ տարեսկզբից միջազգային շուկայում հումքային ապրանքների գների նախորդ տարվա աճի միտումը պահպանվում էր: ՌԴ-ի և Ուկրաինայի միջև հակամարտության արդյունքում մարտ ամսից տեղի է ունեցել միջազգային շուկաներում գների աճի տեմպի արագացում։ Նավթի միջազգային գները 2022 թվականի առաջին եռամսյակում աճել են միջինում 63.4%-ով՝ 2022 թվականի մարտին կազմելով 115.6 դոլար մեկ բարելի համար: Պղնձի միջազգային գները շարունակում են աճել, սակայն եռամսյակի սկզբի համեմատ ավելի դանդաղ տեմպերով</w:t>
      </w:r>
      <w:r w:rsidR="00E22A16" w:rsidRPr="00B57DAB">
        <w:rPr>
          <w:rFonts w:ascii="GHEA Grapalat" w:hAnsi="GHEA Grapalat" w:cs="GHEA Grapalat"/>
          <w:sz w:val="22"/>
          <w:szCs w:val="22"/>
        </w:rPr>
        <w:t>.</w:t>
      </w:r>
      <w:r w:rsidRPr="00B57DAB">
        <w:rPr>
          <w:rFonts w:ascii="GHEA Grapalat" w:hAnsi="GHEA Grapalat" w:cs="GHEA Grapalat"/>
          <w:sz w:val="22"/>
          <w:szCs w:val="22"/>
          <w:lang w:val="hy-AM"/>
        </w:rPr>
        <w:t xml:space="preserve"> 2022 թվականի առաջին եռամսյակում պղնձի միջազգային գներն աճել են 17.8%-ով՝ 2022 թվականի մարտին կազմելով 10230.9 դոլար մեկ տոննայի համար։ Պարենի միջազգային գներն</w:t>
      </w:r>
      <w:r w:rsidRPr="00B57DAB">
        <w:rPr>
          <w:rFonts w:ascii="GHEA Grapalat" w:hAnsi="GHEA Grapalat"/>
          <w:sz w:val="22"/>
          <w:szCs w:val="22"/>
          <w:vertAlign w:val="superscript"/>
          <w:lang w:val="hy-AM"/>
        </w:rPr>
        <w:footnoteReference w:id="5"/>
      </w:r>
      <w:r w:rsidRPr="00B57DAB">
        <w:rPr>
          <w:rFonts w:ascii="GHEA Grapalat" w:hAnsi="GHEA Grapalat" w:cs="GHEA Grapalat"/>
          <w:sz w:val="22"/>
          <w:szCs w:val="22"/>
          <w:lang w:val="hy-AM"/>
        </w:rPr>
        <w:t xml:space="preserve"> ապրել են պատմական թռիչք՝ գրանցելով 1990 թվականից ի վեր ամենաբարձր մակարդակը։ Այսպես, մարտ ամսին պարենի միջազգային գների ինդեքսը կազմել է 159.3 նախորդ ամսվա 141.0-ի դիմաց՝ </w:t>
      </w:r>
      <w:r w:rsidR="00E22A16" w:rsidRPr="00B57DAB">
        <w:rPr>
          <w:rFonts w:ascii="GHEA Grapalat" w:hAnsi="GHEA Grapalat" w:cs="GHEA Grapalat"/>
          <w:sz w:val="22"/>
          <w:szCs w:val="22"/>
          <w:lang w:val="hy-AM"/>
        </w:rPr>
        <w:t>մեծ</w:t>
      </w:r>
      <w:r w:rsidR="00E22A16" w:rsidRPr="00B57DAB">
        <w:rPr>
          <w:rFonts w:ascii="GHEA Grapalat" w:hAnsi="GHEA Grapalat" w:cs="GHEA Grapalat"/>
          <w:sz w:val="22"/>
          <w:szCs w:val="22"/>
        </w:rPr>
        <w:t xml:space="preserve"> </w:t>
      </w:r>
      <w:r w:rsidRPr="00B57DAB">
        <w:rPr>
          <w:rFonts w:ascii="GHEA Grapalat" w:hAnsi="GHEA Grapalat" w:cs="GHEA Grapalat"/>
          <w:sz w:val="22"/>
          <w:szCs w:val="22"/>
          <w:lang w:val="hy-AM"/>
        </w:rPr>
        <w:lastRenderedPageBreak/>
        <w:t>մասամբ պայմանավորված բուսական յուղերի, հացահատիկի, մսի, շաքարավազի և կաթնամթերքի միջազգային գների բարձրաց</w:t>
      </w:r>
      <w:r w:rsidR="00E22A16" w:rsidRPr="00B57DAB">
        <w:rPr>
          <w:rFonts w:ascii="GHEA Grapalat" w:hAnsi="GHEA Grapalat" w:cs="GHEA Grapalat"/>
          <w:sz w:val="22"/>
          <w:szCs w:val="22"/>
        </w:rPr>
        <w:t>մամբ</w:t>
      </w:r>
      <w:r w:rsidRPr="00B57DAB">
        <w:rPr>
          <w:rFonts w:ascii="GHEA Grapalat" w:hAnsi="GHEA Grapalat" w:cs="GHEA Grapalat"/>
          <w:sz w:val="22"/>
          <w:szCs w:val="22"/>
          <w:lang w:val="hy-AM"/>
        </w:rPr>
        <w:t>։</w:t>
      </w:r>
    </w:p>
    <w:p w:rsidR="00563135" w:rsidRPr="00B57DAB" w:rsidRDefault="00563135" w:rsidP="00563135">
      <w:pPr>
        <w:pStyle w:val="Heading2"/>
        <w:overflowPunct/>
        <w:autoSpaceDE/>
        <w:autoSpaceDN/>
        <w:adjustRightInd/>
        <w:spacing w:before="360" w:after="240"/>
        <w:jc w:val="both"/>
        <w:textAlignment w:val="auto"/>
        <w:rPr>
          <w:rFonts w:ascii="GHEA Grapalat" w:hAnsi="GHEA Grapalat"/>
          <w:bCs/>
          <w:i w:val="0"/>
          <w:noProof/>
          <w:sz w:val="22"/>
          <w:szCs w:val="22"/>
          <w:lang w:val="de-AT"/>
        </w:rPr>
      </w:pPr>
      <w:bookmarkStart w:id="16" w:name="_Toc71283307"/>
      <w:bookmarkStart w:id="17" w:name="_Toc71311881"/>
      <w:bookmarkStart w:id="18" w:name="_Toc102759884"/>
      <w:r w:rsidRPr="00B57DAB">
        <w:rPr>
          <w:rFonts w:ascii="GHEA Grapalat" w:hAnsi="GHEA Grapalat"/>
          <w:bCs/>
          <w:i w:val="0"/>
          <w:noProof/>
          <w:sz w:val="22"/>
          <w:szCs w:val="22"/>
          <w:lang w:val="de-AT"/>
        </w:rPr>
        <w:t>ՀՀ մակրոտնտեսական զարգացումներ</w:t>
      </w:r>
      <w:bookmarkEnd w:id="16"/>
      <w:bookmarkEnd w:id="17"/>
      <w:bookmarkEnd w:id="18"/>
    </w:p>
    <w:p w:rsidR="00563135" w:rsidRPr="00B57DAB" w:rsidRDefault="00563135" w:rsidP="00563135">
      <w:pPr>
        <w:pStyle w:val="Heading6"/>
        <w:ind w:left="567"/>
        <w:rPr>
          <w:rFonts w:ascii="GHEA Grapalat" w:hAnsi="GHEA Grapalat"/>
          <w:b/>
          <w:sz w:val="22"/>
          <w:szCs w:val="22"/>
          <w:u w:val="none"/>
        </w:rPr>
      </w:pPr>
      <w:bookmarkStart w:id="19" w:name="_Toc71311882"/>
      <w:r w:rsidRPr="00B57DAB">
        <w:rPr>
          <w:rFonts w:ascii="GHEA Grapalat" w:hAnsi="GHEA Grapalat"/>
          <w:b/>
          <w:sz w:val="22"/>
          <w:szCs w:val="22"/>
          <w:u w:val="none"/>
        </w:rPr>
        <w:t>Համախառն առաջարկ և պահանջարկ</w:t>
      </w:r>
      <w:bookmarkEnd w:id="19"/>
    </w:p>
    <w:p w:rsidR="00563135" w:rsidRPr="00B57DAB" w:rsidRDefault="00563135" w:rsidP="00E22A1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Համախառն առաջարկ:</w:t>
      </w:r>
      <w:r w:rsidRPr="00B57DAB">
        <w:rPr>
          <w:rFonts w:ascii="GHEA Grapalat" w:hAnsi="GHEA Grapalat" w:cs="GHEA Grapalat"/>
          <w:sz w:val="22"/>
          <w:szCs w:val="22"/>
          <w:lang w:val="hy-AM"/>
        </w:rPr>
        <w:t xml:space="preserve"> Տնտեսության վերականգնման բարձր տեմպերը շարունակվեցին 2022 թվականին, սակայն տարեսկզբին գրանցված երկնիշ աճի տեմպը ռուս-ուկրաինական պատերազմի և Ռուսաստանի դեմ կիրառված պատժամիջոցների բացասական ազդեցությունների արդյունքում սկսեց դանդաղել: Հունվար-մարտին նախորդ տարվա նույն ժամանակահատվածի համեմատ գրանցվեց տնտեսական ակտիվության ցուցանիշի (ՏԱՑ) 9.6% աճ (Գծապատկերներ 1</w:t>
      </w:r>
      <w:r w:rsidR="00B57DAB">
        <w:rPr>
          <w:rFonts w:ascii="GHEA Grapalat" w:hAnsi="GHEA Grapalat" w:cs="GHEA Grapalat"/>
          <w:sz w:val="22"/>
          <w:szCs w:val="22"/>
        </w:rPr>
        <w:t>-</w:t>
      </w:r>
      <w:r w:rsidRPr="00B57DAB">
        <w:rPr>
          <w:rFonts w:ascii="GHEA Grapalat" w:hAnsi="GHEA Grapalat" w:cs="GHEA Grapalat"/>
          <w:sz w:val="22"/>
          <w:szCs w:val="22"/>
          <w:lang w:val="hy-AM"/>
        </w:rPr>
        <w:t>4)։ Տնտեսական ակտիվության աճը հիմնականում պայմանավորված էր ծառայությունների աճով (նպաստումը` 10.2 տոկոսային կետ): Առևտրի, արդյունաբերության և շինարարության աճերը ևս նպաստեցին տնտեսական ակտիվությանը (համապատասխանաբար՝ 0.9, 0.7 և 0.4 տոկոսային կետ), մինչդեռ գյուղատնտեսության նվազումը 0.7 տոկոսային կետով հակազդեց տնտեսական ակտիվությանը:</w:t>
      </w:r>
    </w:p>
    <w:p w:rsidR="00563135" w:rsidRPr="00B57DAB" w:rsidRDefault="00563135" w:rsidP="00E22A1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2022 թվականի փետրվարի 24-ից մեկնարկած ռուս-ուկրաինական պատերազմի և Ռուսաստանի դեմ կիրառված պատժամիջոցների ազդեցությունները ՀՀ տնտեսության վրա նկատվեցին մարտ ամսից։ Մասնավորապես՝ մարտ ամսին գրանցվեց արդյունաբերության նվազում (նախորդ տարվա մարտի նկատմամբ 6.9%-ով)՝ պայմանավորված Թեղուտի հանքի գործունեության ժամանակավոր դադարեցմամբ,</w:t>
      </w:r>
      <w:r w:rsidRPr="00B57DAB" w:rsidDel="00630B41">
        <w:rPr>
          <w:rFonts w:ascii="GHEA Grapalat" w:hAnsi="GHEA Grapalat" w:cs="GHEA Grapalat"/>
          <w:sz w:val="22"/>
          <w:szCs w:val="22"/>
          <w:lang w:val="hy-AM"/>
        </w:rPr>
        <w:t xml:space="preserve"> </w:t>
      </w:r>
      <w:r w:rsidRPr="00B57DAB">
        <w:rPr>
          <w:rFonts w:ascii="GHEA Grapalat" w:hAnsi="GHEA Grapalat" w:cs="GHEA Grapalat"/>
          <w:sz w:val="22"/>
          <w:szCs w:val="22"/>
          <w:lang w:val="hy-AM"/>
        </w:rPr>
        <w:t>ՌԴ տնտեսական աճի դանդաղմամբ ու հումքային և պարենային ապրանքների մատակարարման շղթաների որոշ խաթարումներով:</w:t>
      </w:r>
    </w:p>
    <w:p w:rsidR="00563135" w:rsidRPr="00B57DAB" w:rsidRDefault="00563135" w:rsidP="00E22A1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Մյուս կողմից ռուս-ուկրաինական հակամարտության արդյունքում դեպի ՀՀ զբոսաշրջիկների աճը (190%) դրական ազդեցություն</w:t>
      </w:r>
      <w:r w:rsidR="00497B24" w:rsidRPr="00B57DAB">
        <w:rPr>
          <w:rFonts w:ascii="GHEA Grapalat" w:hAnsi="GHEA Grapalat" w:cs="GHEA Grapalat"/>
          <w:sz w:val="22"/>
          <w:szCs w:val="22"/>
          <w:lang w:val="hy-AM"/>
        </w:rPr>
        <w:t xml:space="preserve"> ունեցա</w:t>
      </w:r>
      <w:r w:rsidR="00497B24" w:rsidRPr="00B57DAB">
        <w:rPr>
          <w:rFonts w:ascii="GHEA Grapalat" w:hAnsi="GHEA Grapalat" w:cs="GHEA Grapalat"/>
          <w:sz w:val="22"/>
          <w:szCs w:val="22"/>
        </w:rPr>
        <w:t>վ</w:t>
      </w:r>
      <w:r w:rsidRPr="00B57DAB">
        <w:rPr>
          <w:rFonts w:ascii="GHEA Grapalat" w:hAnsi="GHEA Grapalat" w:cs="GHEA Grapalat"/>
          <w:sz w:val="22"/>
          <w:szCs w:val="22"/>
          <w:lang w:val="hy-AM"/>
        </w:rPr>
        <w:t xml:space="preserve"> ծառայությունների որոշ տեսակների, առևտրի, ինչպես նաև ուղևորափոխադրումների վրա:</w:t>
      </w:r>
    </w:p>
    <w:p w:rsidR="00563135" w:rsidRPr="00B57DAB" w:rsidRDefault="00563135" w:rsidP="00E22A1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Առաջին եռամսյակում կորոնավիրուսի համավարակի հինգերորդ ալիքի, ինչպես նաև բնակչության շրջանում պատվաստման աճող, սակայն դեռևս համեմատաբար ցածր մակարդակի (տե</w:t>
      </w:r>
      <w:r w:rsidR="00E22A16" w:rsidRPr="00B57DAB">
        <w:rPr>
          <w:rFonts w:ascii="GHEA Grapalat" w:hAnsi="GHEA Grapalat" w:cs="GHEA Grapalat"/>
          <w:sz w:val="22"/>
          <w:szCs w:val="22"/>
        </w:rPr>
        <w:t>՛</w:t>
      </w:r>
      <w:r w:rsidRPr="00B57DAB">
        <w:rPr>
          <w:rFonts w:ascii="GHEA Grapalat" w:hAnsi="GHEA Grapalat" w:cs="GHEA Grapalat"/>
          <w:sz w:val="22"/>
          <w:szCs w:val="22"/>
          <w:lang w:val="hy-AM"/>
        </w:rPr>
        <w:t xml:space="preserve">ս Ներդիր 1) ազդեցությունները տնտեսության զարգացումների վրա չեն նկատվել։ </w:t>
      </w:r>
    </w:p>
    <w:p w:rsidR="00563135" w:rsidRPr="00B57DAB" w:rsidRDefault="00563135" w:rsidP="00E22A1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Արդյունաբերություն</w:t>
      </w:r>
      <w:r w:rsidRPr="00B57DAB">
        <w:rPr>
          <w:rFonts w:ascii="GHEA Grapalat" w:hAnsi="GHEA Grapalat" w:cs="GHEA Grapalat"/>
          <w:b/>
          <w:i/>
          <w:sz w:val="22"/>
          <w:szCs w:val="22"/>
          <w:vertAlign w:val="superscript"/>
          <w:lang w:val="hy-AM"/>
        </w:rPr>
        <w:footnoteReference w:id="6"/>
      </w:r>
      <w:r w:rsidRPr="00B57DAB">
        <w:rPr>
          <w:rFonts w:ascii="GHEA Grapalat" w:hAnsi="GHEA Grapalat" w:cs="GHEA Grapalat"/>
          <w:b/>
          <w:i/>
          <w:sz w:val="22"/>
          <w:szCs w:val="22"/>
          <w:lang w:val="hy-AM"/>
        </w:rPr>
        <w:t>։</w:t>
      </w:r>
      <w:r w:rsidRPr="00B57DAB">
        <w:rPr>
          <w:rFonts w:ascii="GHEA Grapalat" w:hAnsi="GHEA Grapalat" w:cs="GHEA Grapalat"/>
          <w:sz w:val="22"/>
          <w:szCs w:val="22"/>
          <w:lang w:val="hy-AM"/>
        </w:rPr>
        <w:t xml:space="preserve"> Արդյունաբերության ճյուղի տարեսկզբի բարձր աճի տեմպը փետրվարից սկսեց դանդաղել, իսկ մարտ ամսին գրանցվեց արդյունաբերության անկում՝ պայմանավորված ռուս-ուկրաինական պատերազմի և Ռուսաստանի դեմ կիրառված պատժամիջոցների բացասական ազդեցություններով։ 2022</w:t>
      </w:r>
      <w:r w:rsidR="00B57DAB">
        <w:rPr>
          <w:rFonts w:ascii="GHEA Grapalat" w:hAnsi="GHEA Grapalat" w:cs="GHEA Grapalat"/>
          <w:sz w:val="22"/>
          <w:szCs w:val="22"/>
        </w:rPr>
        <w:t xml:space="preserve"> </w:t>
      </w:r>
      <w:r w:rsidRPr="00B57DAB">
        <w:rPr>
          <w:rFonts w:ascii="GHEA Grapalat" w:hAnsi="GHEA Grapalat" w:cs="GHEA Grapalat"/>
          <w:sz w:val="22"/>
          <w:szCs w:val="22"/>
          <w:lang w:val="hy-AM"/>
        </w:rPr>
        <w:t xml:space="preserve">թվականի հունվար-մարտին արդյունաբերության համախառն թողարկումն աճել է 3.1%-ով, ինչը հիմնականում պայմանավորված </w:t>
      </w:r>
      <w:r w:rsidRPr="00B57DAB">
        <w:rPr>
          <w:rFonts w:ascii="GHEA Grapalat" w:hAnsi="GHEA Grapalat" w:cs="GHEA Grapalat"/>
          <w:sz w:val="22"/>
          <w:szCs w:val="22"/>
          <w:lang w:val="hy-AM"/>
        </w:rPr>
        <w:lastRenderedPageBreak/>
        <w:t>է եղել մշակող արդյունաբերության աճով (նպաստումը՝ 6.1 տոկոսային կետ): Միաժամանակ հանքագործական</w:t>
      </w:r>
      <w:r w:rsidR="00CE395B">
        <w:rPr>
          <w:rFonts w:ascii="GHEA Grapalat" w:hAnsi="GHEA Grapalat" w:cs="GHEA Grapalat"/>
          <w:sz w:val="22"/>
          <w:szCs w:val="22"/>
          <w:lang w:val="hy-AM"/>
        </w:rPr>
        <w:t xml:space="preserve"> </w:t>
      </w:r>
      <w:r w:rsidRPr="00B57DAB">
        <w:rPr>
          <w:rFonts w:ascii="GHEA Grapalat" w:hAnsi="GHEA Grapalat" w:cs="GHEA Grapalat"/>
          <w:sz w:val="22"/>
          <w:szCs w:val="22"/>
          <w:lang w:val="hy-AM"/>
        </w:rPr>
        <w:t>արդյունաբերություն և բացահանքերի շահագործում</w:t>
      </w:r>
      <w:r w:rsidRPr="00B57DAB" w:rsidDel="009C46B7">
        <w:rPr>
          <w:rFonts w:ascii="GHEA Grapalat" w:hAnsi="GHEA Grapalat" w:cs="GHEA Grapalat"/>
          <w:sz w:val="22"/>
          <w:szCs w:val="22"/>
          <w:lang w:val="hy-AM"/>
        </w:rPr>
        <w:t xml:space="preserve"> </w:t>
      </w:r>
      <w:r w:rsidRPr="00B57DAB">
        <w:rPr>
          <w:rFonts w:ascii="GHEA Grapalat" w:hAnsi="GHEA Grapalat" w:cs="GHEA Grapalat"/>
          <w:sz w:val="22"/>
          <w:szCs w:val="22"/>
          <w:lang w:val="hy-AM"/>
        </w:rPr>
        <w:t>ենթաճյուղի նվազումը բացասաբար է ազդել (3.6 տոկոսային կետով) արդյունաբերության աճի</w:t>
      </w:r>
      <w:r w:rsidR="00CE395B">
        <w:rPr>
          <w:rFonts w:ascii="GHEA Grapalat" w:hAnsi="GHEA Grapalat" w:cs="GHEA Grapalat"/>
          <w:sz w:val="22"/>
          <w:szCs w:val="22"/>
        </w:rPr>
        <w:t xml:space="preserve"> վրա</w:t>
      </w:r>
      <w:r w:rsidRPr="00B57DAB">
        <w:rPr>
          <w:rFonts w:ascii="GHEA Grapalat" w:hAnsi="GHEA Grapalat" w:cs="GHEA Grapalat"/>
          <w:sz w:val="22"/>
          <w:szCs w:val="22"/>
          <w:lang w:val="hy-AM"/>
        </w:rPr>
        <w:t xml:space="preserve">: </w:t>
      </w:r>
    </w:p>
    <w:p w:rsidR="00563135" w:rsidRPr="00B57DAB" w:rsidRDefault="00563135" w:rsidP="00E22A16">
      <w:pPr>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lang w:val="hy-AM"/>
        </w:rPr>
        <w:t xml:space="preserve">Մշակող արդյունաբերության աճին նպաստել են ինչպես ներքին, այնպես էլ արտաքին պահանջարկի աճերը: Ենթաճյուղի աճը հիմնականում պայմանավորված է եղել սննդամթերքի (նպաստումը` 3.0 տոկոսային կետ), հիմնային մետաղների (նպաստումը` 2.1 տոկոսային կետ), այլ ոչ մետաղական հանքային արտադրատեսակների (նպաստումը` 2.1 տոկոսային կետ), ինչպես նաև ոսկերչական արտադրատեսակների (նպաստումը` 1.4 տոկոսային կետ) արտադրության ծավալների աճով: </w:t>
      </w:r>
    </w:p>
    <w:p w:rsidR="00E22A16" w:rsidRPr="00B57DAB" w:rsidRDefault="00E22A16" w:rsidP="00E22A16">
      <w:pPr>
        <w:ind w:firstLine="567"/>
        <w:jc w:val="both"/>
        <w:rPr>
          <w:rFonts w:ascii="GHEA Grapalat" w:hAnsi="GHEA Grapalat" w:cs="GHEA Grapalat"/>
          <w:sz w:val="22"/>
          <w:szCs w:val="22"/>
        </w:rPr>
      </w:pPr>
    </w:p>
    <w:tbl>
      <w:tblPr>
        <w:tblStyle w:val="TableGrid1113112"/>
        <w:tblW w:w="10348" w:type="dxa"/>
        <w:tblInd w:w="137" w:type="dxa"/>
        <w:shd w:val="clear" w:color="auto" w:fill="DBE5F1" w:themeFill="accent1" w:themeFillTint="33"/>
        <w:tblLayout w:type="fixed"/>
        <w:tblLook w:val="04A0" w:firstRow="1" w:lastRow="0" w:firstColumn="1" w:lastColumn="0" w:noHBand="0" w:noVBand="1"/>
      </w:tblPr>
      <w:tblGrid>
        <w:gridCol w:w="10348"/>
      </w:tblGrid>
      <w:tr w:rsidR="00563135" w:rsidRPr="00B57DAB" w:rsidTr="00497B24">
        <w:trPr>
          <w:trHeight w:val="375"/>
        </w:trPr>
        <w:tc>
          <w:tcPr>
            <w:tcW w:w="1034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563135" w:rsidRPr="00B57DAB" w:rsidRDefault="00563135" w:rsidP="00AE25A7">
            <w:pPr>
              <w:tabs>
                <w:tab w:val="right" w:pos="0"/>
              </w:tabs>
              <w:spacing w:before="80" w:after="80"/>
              <w:ind w:firstLine="360"/>
              <w:jc w:val="center"/>
              <w:rPr>
                <w:rFonts w:ascii="GHEA Grapalat" w:hAnsi="GHEA Grapalat" w:cs="Sylfaen"/>
                <w:sz w:val="18"/>
                <w:szCs w:val="18"/>
                <w:lang w:val="hy-AM"/>
              </w:rPr>
            </w:pPr>
            <w:r w:rsidRPr="00B57DAB">
              <w:rPr>
                <w:rFonts w:ascii="GHEA Grapalat" w:hAnsi="GHEA Grapalat" w:cs="Sylfaen"/>
                <w:b/>
                <w:sz w:val="18"/>
                <w:szCs w:val="18"/>
                <w:lang w:val="hy-AM"/>
              </w:rPr>
              <w:t xml:space="preserve">Ներդիր 1. Կորոնավիրուսային համավարակի </w:t>
            </w:r>
            <w:r w:rsidRPr="00B57DAB">
              <w:rPr>
                <w:rFonts w:ascii="GHEA Grapalat" w:hAnsi="GHEA Grapalat" w:cs="Sylfaen"/>
                <w:b/>
                <w:sz w:val="18"/>
                <w:szCs w:val="18"/>
                <w:lang w:val="sk-SK"/>
              </w:rPr>
              <w:t>(COVID-19)</w:t>
            </w:r>
            <w:r w:rsidRPr="00B57DAB">
              <w:rPr>
                <w:rFonts w:ascii="GHEA Grapalat" w:hAnsi="GHEA Grapalat" w:cs="Sylfaen"/>
                <w:b/>
                <w:sz w:val="18"/>
                <w:szCs w:val="18"/>
                <w:lang w:val="hy-AM"/>
              </w:rPr>
              <w:t xml:space="preserve"> զարգացման դինամիկան ՀՀ-ում</w:t>
            </w:r>
          </w:p>
        </w:tc>
      </w:tr>
      <w:tr w:rsidR="00563135" w:rsidRPr="00B57DAB" w:rsidTr="00AE25A7">
        <w:tc>
          <w:tcPr>
            <w:tcW w:w="1034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563135" w:rsidRPr="00B57DAB" w:rsidRDefault="00563135" w:rsidP="00497B24">
            <w:pPr>
              <w:tabs>
                <w:tab w:val="right" w:pos="0"/>
                <w:tab w:val="left" w:pos="270"/>
              </w:tabs>
              <w:spacing w:before="120" w:after="0" w:line="240" w:lineRule="auto"/>
              <w:ind w:firstLine="187"/>
              <w:rPr>
                <w:rFonts w:ascii="GHEA Grapalat" w:hAnsi="GHEA Grapalat" w:cs="Sylfaen"/>
                <w:bCs/>
                <w:sz w:val="18"/>
                <w:szCs w:val="18"/>
                <w:lang w:val="hy-AM"/>
              </w:rPr>
            </w:pPr>
            <w:r w:rsidRPr="00B57DAB">
              <w:rPr>
                <w:rFonts w:ascii="GHEA Grapalat" w:hAnsi="GHEA Grapalat" w:cs="Sylfaen"/>
                <w:bCs/>
                <w:sz w:val="18"/>
                <w:szCs w:val="18"/>
                <w:lang w:val="hy-AM"/>
              </w:rPr>
              <w:t>ՀՀ-ում կորոնավիրուսի համավարակի տարածումը շարունակվում է նաև 2022</w:t>
            </w:r>
            <w:r w:rsidR="00B57DAB">
              <w:rPr>
                <w:rFonts w:ascii="GHEA Grapalat" w:hAnsi="GHEA Grapalat" w:cs="Sylfaen"/>
                <w:bCs/>
                <w:sz w:val="18"/>
                <w:szCs w:val="18"/>
              </w:rPr>
              <w:t xml:space="preserve"> </w:t>
            </w:r>
            <w:r w:rsidRPr="00B57DAB">
              <w:rPr>
                <w:rFonts w:ascii="GHEA Grapalat" w:hAnsi="GHEA Grapalat" w:cs="Sylfaen"/>
                <w:bCs/>
                <w:sz w:val="18"/>
                <w:szCs w:val="18"/>
                <w:lang w:val="hy-AM"/>
              </w:rPr>
              <w:t>թվականին:</w:t>
            </w:r>
          </w:p>
          <w:p w:rsidR="00563135" w:rsidRPr="00B57DAB" w:rsidRDefault="00563135" w:rsidP="00AE25A7">
            <w:pPr>
              <w:tabs>
                <w:tab w:val="right" w:pos="0"/>
                <w:tab w:val="left" w:pos="270"/>
              </w:tabs>
              <w:spacing w:before="120" w:after="0"/>
              <w:ind w:firstLine="187"/>
              <w:jc w:val="center"/>
              <w:rPr>
                <w:rFonts w:ascii="GHEA Grapalat" w:hAnsi="GHEA Grapalat" w:cs="Sylfaen"/>
                <w:bCs/>
                <w:sz w:val="18"/>
                <w:szCs w:val="18"/>
                <w:lang w:val="hy-AM"/>
              </w:rPr>
            </w:pPr>
            <w:r w:rsidRPr="00B57DAB">
              <w:rPr>
                <w:rFonts w:ascii="GHEA Grapalat" w:hAnsi="GHEA Grapalat"/>
                <w:noProof/>
                <w:shd w:val="clear" w:color="auto" w:fill="D9D9D9"/>
              </w:rPr>
              <w:drawing>
                <wp:inline distT="0" distB="0" distL="0" distR="0" wp14:anchorId="7D0EEFB9" wp14:editId="410F8F08">
                  <wp:extent cx="5902960" cy="2560320"/>
                  <wp:effectExtent l="0" t="0" r="2540" b="11430"/>
                  <wp:docPr id="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63135" w:rsidRPr="00B57DAB" w:rsidRDefault="00563135" w:rsidP="00AE25A7">
            <w:pPr>
              <w:tabs>
                <w:tab w:val="right" w:pos="0"/>
                <w:tab w:val="left" w:pos="270"/>
              </w:tabs>
              <w:spacing w:after="0"/>
              <w:ind w:firstLine="187"/>
              <w:rPr>
                <w:rFonts w:ascii="GHEA Grapalat" w:hAnsi="GHEA Grapalat" w:cs="Sylfaen"/>
                <w:bCs/>
                <w:sz w:val="18"/>
                <w:szCs w:val="18"/>
                <w:lang w:val="hy-AM"/>
              </w:rPr>
            </w:pPr>
            <w:r w:rsidRPr="00B57DAB">
              <w:rPr>
                <w:rFonts w:ascii="GHEA Grapalat" w:hAnsi="GHEA Grapalat"/>
                <w:i/>
                <w:sz w:val="18"/>
                <w:szCs w:val="18"/>
                <w:lang w:val="hy-AM"/>
              </w:rPr>
              <w:t>Աղբյուրը՝ ՀՀ առողջապահության նախարարություն</w:t>
            </w:r>
          </w:p>
          <w:p w:rsidR="00563135" w:rsidRPr="00B57DAB" w:rsidRDefault="00563135" w:rsidP="00AE25A7">
            <w:pPr>
              <w:tabs>
                <w:tab w:val="right" w:pos="0"/>
              </w:tabs>
              <w:spacing w:before="120" w:after="0"/>
              <w:ind w:firstLine="187"/>
              <w:jc w:val="both"/>
              <w:rPr>
                <w:rFonts w:ascii="GHEA Grapalat" w:hAnsi="GHEA Grapalat"/>
                <w:sz w:val="18"/>
                <w:szCs w:val="18"/>
                <w:lang w:val="hy-AM"/>
              </w:rPr>
            </w:pPr>
            <w:r w:rsidRPr="00B57DAB">
              <w:rPr>
                <w:rFonts w:ascii="GHEA Grapalat" w:hAnsi="GHEA Grapalat"/>
                <w:sz w:val="18"/>
                <w:szCs w:val="18"/>
                <w:lang w:val="hy-AM"/>
              </w:rPr>
              <w:t xml:space="preserve">ՀՀ-ում գրանցվեց նաև համավարակի հինգերորդ ալիքը: Հիվանդության հաստատված դեպքերի ընդհանուր թիվը մայիսի 4-ի դրությամբ կազմել է 422,877 մարդ։ </w:t>
            </w:r>
          </w:p>
          <w:p w:rsidR="00563135" w:rsidRPr="00B57DAB" w:rsidRDefault="00563135" w:rsidP="00AE25A7">
            <w:pPr>
              <w:tabs>
                <w:tab w:val="right" w:pos="0"/>
              </w:tabs>
              <w:spacing w:after="60"/>
              <w:ind w:firstLine="187"/>
              <w:jc w:val="both"/>
              <w:rPr>
                <w:rFonts w:ascii="GHEA Grapalat" w:hAnsi="GHEA Grapalat" w:cs="Sylfaen"/>
                <w:sz w:val="18"/>
                <w:szCs w:val="18"/>
                <w:lang w:val="hy-AM"/>
              </w:rPr>
            </w:pPr>
            <w:r w:rsidRPr="00B57DAB">
              <w:rPr>
                <w:rFonts w:ascii="GHEA Grapalat" w:hAnsi="GHEA Grapalat"/>
                <w:sz w:val="18"/>
                <w:szCs w:val="18"/>
                <w:lang w:val="hy-AM"/>
              </w:rPr>
              <w:t xml:space="preserve">2021-2025 թվականներին իմունականխարգելման ազգային ծրագրով նախատեսվում է </w:t>
            </w:r>
            <w:r w:rsidRPr="00B57DAB">
              <w:rPr>
                <w:rFonts w:ascii="GHEA Grapalat" w:hAnsi="GHEA Grapalat" w:cs="Sylfaen"/>
                <w:sz w:val="18"/>
                <w:szCs w:val="18"/>
                <w:lang w:val="hy-AM"/>
              </w:rPr>
              <w:t>կորոնավիրուսային</w:t>
            </w:r>
            <w:r w:rsidRPr="00B57DAB">
              <w:rPr>
                <w:rFonts w:ascii="GHEA Grapalat" w:hAnsi="GHEA Grapalat"/>
                <w:sz w:val="18"/>
                <w:szCs w:val="18"/>
                <w:lang w:val="hy-AM"/>
              </w:rPr>
              <w:t xml:space="preserve"> </w:t>
            </w:r>
            <w:r w:rsidRPr="00B57DAB">
              <w:rPr>
                <w:rFonts w:ascii="GHEA Grapalat" w:hAnsi="GHEA Grapalat" w:cs="Sylfaen"/>
                <w:sz w:val="18"/>
                <w:szCs w:val="18"/>
                <w:lang w:val="hy-AM"/>
              </w:rPr>
              <w:t>հիվանդության</w:t>
            </w:r>
            <w:r w:rsidRPr="00B57DAB">
              <w:rPr>
                <w:rFonts w:ascii="GHEA Grapalat" w:hAnsi="GHEA Grapalat"/>
                <w:sz w:val="18"/>
                <w:szCs w:val="18"/>
                <w:lang w:val="hy-AM"/>
              </w:rPr>
              <w:t xml:space="preserve"> (COVID-19) </w:t>
            </w:r>
            <w:r w:rsidRPr="00B57DAB">
              <w:rPr>
                <w:rFonts w:ascii="GHEA Grapalat" w:hAnsi="GHEA Grapalat" w:cs="Sylfaen"/>
                <w:sz w:val="18"/>
                <w:szCs w:val="18"/>
                <w:lang w:val="hy-AM"/>
              </w:rPr>
              <w:t>համաճարակային</w:t>
            </w:r>
            <w:r w:rsidRPr="00B57DAB">
              <w:rPr>
                <w:rFonts w:ascii="GHEA Grapalat" w:hAnsi="GHEA Grapalat"/>
                <w:sz w:val="18"/>
                <w:szCs w:val="18"/>
                <w:lang w:val="hy-AM"/>
              </w:rPr>
              <w:t xml:space="preserve"> </w:t>
            </w:r>
            <w:r w:rsidRPr="00B57DAB">
              <w:rPr>
                <w:rFonts w:ascii="GHEA Grapalat" w:hAnsi="GHEA Grapalat" w:cs="Sylfaen"/>
                <w:sz w:val="18"/>
                <w:szCs w:val="18"/>
                <w:lang w:val="hy-AM"/>
              </w:rPr>
              <w:t>իրավիճակի</w:t>
            </w:r>
            <w:r w:rsidRPr="00B57DAB">
              <w:rPr>
                <w:rFonts w:ascii="GHEA Grapalat" w:hAnsi="GHEA Grapalat"/>
                <w:sz w:val="18"/>
                <w:szCs w:val="18"/>
                <w:lang w:val="hy-AM"/>
              </w:rPr>
              <w:t xml:space="preserve"> </w:t>
            </w:r>
            <w:r w:rsidRPr="00B57DAB">
              <w:rPr>
                <w:rFonts w:ascii="GHEA Grapalat" w:hAnsi="GHEA Grapalat" w:cs="Sylfaen"/>
                <w:sz w:val="18"/>
                <w:szCs w:val="18"/>
                <w:lang w:val="hy-AM"/>
              </w:rPr>
              <w:t>գնահատում</w:t>
            </w:r>
            <w:r w:rsidRPr="00B57DAB">
              <w:rPr>
                <w:rFonts w:ascii="GHEA Grapalat" w:hAnsi="GHEA Grapalat"/>
                <w:sz w:val="18"/>
                <w:szCs w:val="18"/>
                <w:lang w:val="hy-AM"/>
              </w:rPr>
              <w:t xml:space="preserve"> </w:t>
            </w:r>
            <w:r w:rsidRPr="00B57DAB">
              <w:rPr>
                <w:rFonts w:ascii="GHEA Grapalat" w:hAnsi="GHEA Grapalat" w:cs="Sylfaen"/>
                <w:sz w:val="18"/>
                <w:szCs w:val="18"/>
                <w:lang w:val="hy-AM"/>
              </w:rPr>
              <w:t>և</w:t>
            </w:r>
            <w:r w:rsidRPr="00B57DAB">
              <w:rPr>
                <w:rFonts w:ascii="GHEA Grapalat" w:hAnsi="GHEA Grapalat"/>
                <w:sz w:val="18"/>
                <w:szCs w:val="18"/>
                <w:lang w:val="hy-AM"/>
              </w:rPr>
              <w:t xml:space="preserve"> </w:t>
            </w:r>
            <w:r w:rsidRPr="00B57DAB">
              <w:rPr>
                <w:rFonts w:ascii="GHEA Grapalat" w:hAnsi="GHEA Grapalat" w:cs="Sylfaen"/>
                <w:sz w:val="18"/>
                <w:szCs w:val="18"/>
                <w:lang w:val="hy-AM"/>
              </w:rPr>
              <w:t>բնակչության</w:t>
            </w:r>
            <w:r w:rsidRPr="00B57DAB">
              <w:rPr>
                <w:rFonts w:ascii="GHEA Grapalat" w:hAnsi="GHEA Grapalat"/>
                <w:sz w:val="18"/>
                <w:szCs w:val="18"/>
                <w:lang w:val="hy-AM"/>
              </w:rPr>
              <w:t xml:space="preserve"> </w:t>
            </w:r>
            <w:r w:rsidRPr="00B57DAB">
              <w:rPr>
                <w:rFonts w:ascii="GHEA Grapalat" w:hAnsi="GHEA Grapalat" w:cs="Sylfaen"/>
                <w:sz w:val="18"/>
                <w:szCs w:val="18"/>
                <w:lang w:val="hy-AM"/>
              </w:rPr>
              <w:t>ռիսկի</w:t>
            </w:r>
            <w:r w:rsidRPr="00B57DAB">
              <w:rPr>
                <w:rFonts w:ascii="GHEA Grapalat" w:hAnsi="GHEA Grapalat"/>
                <w:sz w:val="18"/>
                <w:szCs w:val="18"/>
                <w:lang w:val="hy-AM"/>
              </w:rPr>
              <w:t xml:space="preserve"> </w:t>
            </w:r>
            <w:r w:rsidRPr="00B57DAB">
              <w:rPr>
                <w:rFonts w:ascii="GHEA Grapalat" w:hAnsi="GHEA Grapalat" w:cs="Sylfaen"/>
                <w:sz w:val="18"/>
                <w:szCs w:val="18"/>
                <w:lang w:val="hy-AM"/>
              </w:rPr>
              <w:t>խմբերի</w:t>
            </w:r>
            <w:r w:rsidRPr="00B57DAB">
              <w:rPr>
                <w:rFonts w:ascii="GHEA Grapalat" w:hAnsi="GHEA Grapalat"/>
                <w:sz w:val="18"/>
                <w:szCs w:val="18"/>
                <w:lang w:val="hy-AM"/>
              </w:rPr>
              <w:t xml:space="preserve"> </w:t>
            </w:r>
            <w:r w:rsidRPr="00B57DAB">
              <w:rPr>
                <w:rFonts w:ascii="GHEA Grapalat" w:hAnsi="GHEA Grapalat" w:cs="Sylfaen"/>
                <w:sz w:val="18"/>
                <w:szCs w:val="18"/>
                <w:lang w:val="hy-AM"/>
              </w:rPr>
              <w:t>շրջանում</w:t>
            </w:r>
            <w:r w:rsidRPr="00B57DAB">
              <w:rPr>
                <w:rFonts w:ascii="GHEA Grapalat" w:hAnsi="GHEA Grapalat"/>
                <w:sz w:val="18"/>
                <w:szCs w:val="18"/>
                <w:lang w:val="hy-AM"/>
              </w:rPr>
              <w:t xml:space="preserve"> </w:t>
            </w:r>
            <w:r w:rsidRPr="00B57DAB">
              <w:rPr>
                <w:rFonts w:ascii="GHEA Grapalat" w:hAnsi="GHEA Grapalat" w:cs="Sylfaen"/>
                <w:sz w:val="18"/>
                <w:szCs w:val="18"/>
                <w:lang w:val="hy-AM"/>
              </w:rPr>
              <w:t>համաճարակաբանական</w:t>
            </w:r>
            <w:r w:rsidRPr="00B57DAB">
              <w:rPr>
                <w:rFonts w:ascii="GHEA Grapalat" w:hAnsi="GHEA Grapalat"/>
                <w:sz w:val="18"/>
                <w:szCs w:val="18"/>
                <w:lang w:val="hy-AM"/>
              </w:rPr>
              <w:t xml:space="preserve"> </w:t>
            </w:r>
            <w:r w:rsidRPr="00B57DAB">
              <w:rPr>
                <w:rFonts w:ascii="GHEA Grapalat" w:hAnsi="GHEA Grapalat" w:cs="Sylfaen"/>
                <w:sz w:val="18"/>
                <w:szCs w:val="18"/>
                <w:lang w:val="hy-AM"/>
              </w:rPr>
              <w:t>ցուցումով</w:t>
            </w:r>
            <w:r w:rsidRPr="00B57DAB">
              <w:rPr>
                <w:rFonts w:ascii="GHEA Grapalat" w:hAnsi="GHEA Grapalat"/>
                <w:sz w:val="18"/>
                <w:szCs w:val="18"/>
                <w:lang w:val="hy-AM"/>
              </w:rPr>
              <w:t xml:space="preserve"> </w:t>
            </w:r>
            <w:r w:rsidRPr="00B57DAB">
              <w:rPr>
                <w:rFonts w:ascii="GHEA Grapalat" w:hAnsi="GHEA Grapalat" w:cs="Sylfaen"/>
                <w:sz w:val="18"/>
                <w:szCs w:val="18"/>
                <w:lang w:val="hy-AM"/>
              </w:rPr>
              <w:t>զանգվածային</w:t>
            </w:r>
            <w:r w:rsidRPr="00B57DAB">
              <w:rPr>
                <w:rFonts w:ascii="GHEA Grapalat" w:hAnsi="GHEA Grapalat"/>
                <w:sz w:val="18"/>
                <w:szCs w:val="18"/>
                <w:lang w:val="hy-AM"/>
              </w:rPr>
              <w:t xml:space="preserve"> </w:t>
            </w:r>
            <w:r w:rsidRPr="00B57DAB">
              <w:rPr>
                <w:rFonts w:ascii="GHEA Grapalat" w:hAnsi="GHEA Grapalat" w:cs="Sylfaen"/>
                <w:sz w:val="18"/>
                <w:szCs w:val="18"/>
                <w:lang w:val="hy-AM"/>
              </w:rPr>
              <w:t>պատվաստումների</w:t>
            </w:r>
            <w:r w:rsidRPr="00B57DAB">
              <w:rPr>
                <w:rFonts w:ascii="GHEA Grapalat" w:hAnsi="GHEA Grapalat"/>
                <w:sz w:val="18"/>
                <w:szCs w:val="18"/>
                <w:lang w:val="hy-AM"/>
              </w:rPr>
              <w:t xml:space="preserve"> </w:t>
            </w:r>
            <w:r w:rsidRPr="00B57DAB">
              <w:rPr>
                <w:rFonts w:ascii="GHEA Grapalat" w:hAnsi="GHEA Grapalat" w:cs="Sylfaen"/>
                <w:sz w:val="18"/>
                <w:szCs w:val="18"/>
                <w:lang w:val="hy-AM"/>
              </w:rPr>
              <w:t xml:space="preserve">իրականացում, ինչի շրջանակներում՝ </w:t>
            </w:r>
          </w:p>
          <w:p w:rsidR="00563135" w:rsidRPr="00B57DAB" w:rsidRDefault="00563135" w:rsidP="00497B24">
            <w:pPr>
              <w:numPr>
                <w:ilvl w:val="0"/>
                <w:numId w:val="18"/>
              </w:numPr>
              <w:tabs>
                <w:tab w:val="right" w:pos="0"/>
              </w:tabs>
              <w:ind w:left="107" w:firstLine="187"/>
              <w:contextualSpacing/>
              <w:jc w:val="both"/>
              <w:rPr>
                <w:rFonts w:ascii="GHEA Grapalat" w:eastAsia="Calibri" w:hAnsi="GHEA Grapalat" w:cs="Segoe UI Historic"/>
                <w:sz w:val="18"/>
                <w:szCs w:val="18"/>
                <w:lang w:val="hy-AM"/>
              </w:rPr>
            </w:pPr>
            <w:r w:rsidRPr="00B57DAB">
              <w:rPr>
                <w:rFonts w:ascii="GHEA Grapalat" w:eastAsia="Calibri" w:hAnsi="GHEA Grapalat" w:cs="Segoe UI Historic"/>
                <w:sz w:val="18"/>
                <w:szCs w:val="18"/>
                <w:lang w:val="hy-AM"/>
              </w:rPr>
              <w:t xml:space="preserve">ՀՀ ներկրվել են </w:t>
            </w:r>
            <w:r w:rsidRPr="00B57DAB">
              <w:rPr>
                <w:rFonts w:ascii="GHEA Grapalat" w:hAnsi="GHEA Grapalat" w:cs="Segoe UI Historic"/>
                <w:sz w:val="18"/>
                <w:szCs w:val="18"/>
                <w:lang w:val="hy-AM"/>
              </w:rPr>
              <w:t xml:space="preserve">«AstraZeneca», </w:t>
            </w:r>
            <w:r w:rsidRPr="00B57DAB">
              <w:rPr>
                <w:rFonts w:ascii="GHEA Grapalat" w:eastAsia="Calibri" w:hAnsi="GHEA Grapalat" w:cs="Segoe UI Historic"/>
                <w:sz w:val="18"/>
                <w:szCs w:val="18"/>
                <w:lang w:val="hy-AM"/>
              </w:rPr>
              <w:t>«CoronaVac», «Sinopharm», «Sputnik-V», «Sputnik Light», «Moderna», «Spikevax» և</w:t>
            </w:r>
            <w:r w:rsidR="00CE395B">
              <w:rPr>
                <w:rFonts w:ascii="GHEA Grapalat" w:eastAsia="Calibri" w:hAnsi="GHEA Grapalat" w:cs="Segoe UI Historic"/>
                <w:sz w:val="18"/>
                <w:szCs w:val="18"/>
                <w:lang w:val="hy-AM"/>
              </w:rPr>
              <w:t xml:space="preserve"> </w:t>
            </w:r>
            <w:r w:rsidRPr="00B57DAB">
              <w:rPr>
                <w:rFonts w:ascii="GHEA Grapalat" w:eastAsia="Calibri" w:hAnsi="GHEA Grapalat" w:cs="Segoe UI Historic"/>
                <w:sz w:val="18"/>
                <w:szCs w:val="18"/>
                <w:lang w:val="hy-AM"/>
              </w:rPr>
              <w:t>«Pfizer»</w:t>
            </w:r>
            <w:r w:rsidR="00CE395B">
              <w:rPr>
                <w:rFonts w:ascii="GHEA Grapalat" w:eastAsia="Calibri" w:hAnsi="GHEA Grapalat" w:cs="Segoe UI Historic"/>
                <w:sz w:val="18"/>
                <w:szCs w:val="18"/>
                <w:lang w:val="hy-AM"/>
              </w:rPr>
              <w:t xml:space="preserve"> </w:t>
            </w:r>
            <w:r w:rsidRPr="00B57DAB">
              <w:rPr>
                <w:rFonts w:ascii="GHEA Grapalat" w:eastAsia="Calibri" w:hAnsi="GHEA Grapalat" w:cs="Segoe UI Historic"/>
                <w:sz w:val="18"/>
                <w:szCs w:val="18"/>
                <w:lang w:val="hy-AM"/>
              </w:rPr>
              <w:t>պատվաստանյութեր։</w:t>
            </w:r>
          </w:p>
          <w:p w:rsidR="00563135" w:rsidRPr="00B57DAB" w:rsidRDefault="00563135" w:rsidP="00497B24">
            <w:pPr>
              <w:numPr>
                <w:ilvl w:val="0"/>
                <w:numId w:val="18"/>
              </w:numPr>
              <w:tabs>
                <w:tab w:val="right" w:pos="0"/>
              </w:tabs>
              <w:ind w:left="107" w:firstLine="187"/>
              <w:contextualSpacing/>
              <w:jc w:val="both"/>
              <w:rPr>
                <w:rFonts w:ascii="GHEA Grapalat" w:eastAsia="Calibri" w:hAnsi="GHEA Grapalat" w:cs="Segoe UI Historic"/>
                <w:sz w:val="18"/>
                <w:szCs w:val="18"/>
                <w:lang w:val="hy-AM"/>
              </w:rPr>
            </w:pPr>
            <w:r w:rsidRPr="00B57DAB">
              <w:rPr>
                <w:rFonts w:ascii="GHEA Grapalat" w:eastAsia="Calibri" w:hAnsi="GHEA Grapalat" w:cs="Segoe UI Historic"/>
                <w:sz w:val="18"/>
                <w:szCs w:val="18"/>
                <w:lang w:val="hy-AM"/>
              </w:rPr>
              <w:t>Կորոնավիրուսային հիվանդության տարածման ռիսկը նվազեցնելու նպատակով 2021 թվականի հոկտեմբերի 1-ից սահմանվել են պարտադիր պատվաստման կամ ՊՇՌ թեստերի իրականացման պահանջներ: ՀՀ կորոնավիրուսային հիվանդությամբ (COVID-19) պայմանավորված համաճարակային իրավիճակը հարաբերականորեն կայունացել է և 2022 թվականի ապրիլի 30-ից ուժը կորցրել է աշխատողների աշխատավայր ներկայանալիս ՊՇՌ հետազոտության կամ պատվաստման սերտիֆիկատ ներկայացնելու պահանջը:</w:t>
            </w:r>
          </w:p>
          <w:p w:rsidR="00563135" w:rsidRPr="00B57DAB" w:rsidRDefault="00563135" w:rsidP="00563135">
            <w:pPr>
              <w:numPr>
                <w:ilvl w:val="0"/>
                <w:numId w:val="18"/>
              </w:numPr>
              <w:tabs>
                <w:tab w:val="right" w:pos="0"/>
              </w:tabs>
              <w:ind w:left="107" w:firstLine="187"/>
              <w:contextualSpacing/>
              <w:jc w:val="both"/>
              <w:rPr>
                <w:rFonts w:ascii="GHEA Grapalat" w:eastAsia="Calibri" w:hAnsi="GHEA Grapalat" w:cs="Segoe UI Historic"/>
                <w:sz w:val="18"/>
                <w:szCs w:val="18"/>
                <w:lang w:val="hy-AM"/>
              </w:rPr>
            </w:pPr>
            <w:r w:rsidRPr="00B57DAB">
              <w:rPr>
                <w:rFonts w:ascii="GHEA Grapalat" w:eastAsia="Calibri" w:hAnsi="GHEA Grapalat" w:cs="Segoe UI Historic"/>
                <w:sz w:val="18"/>
                <w:szCs w:val="18"/>
                <w:lang w:val="hy-AM"/>
              </w:rPr>
              <w:t>2022 թվականի մայիսի 1-ի դրությամբ կատարվել է 2,176,391 պատվաստում, որից առաջին դեղաչափ` 1,128,329 (ՀՀ մշտական բնակչության 38.1%-ը), երկրորդ դեղաչափ` 996,530 (ՀՀ մշտական բնակչության 33</w:t>
            </w:r>
            <w:r w:rsidRPr="00B57DAB">
              <w:rPr>
                <w:rFonts w:ascii="Cambria Math" w:eastAsia="MS Mincho" w:hAnsi="Cambria Math" w:cs="Cambria Math"/>
                <w:sz w:val="18"/>
                <w:szCs w:val="18"/>
                <w:lang w:val="hy-AM"/>
              </w:rPr>
              <w:t>․</w:t>
            </w:r>
            <w:r w:rsidRPr="00B57DAB">
              <w:rPr>
                <w:rFonts w:ascii="GHEA Grapalat" w:eastAsia="Calibri" w:hAnsi="GHEA Grapalat" w:cs="Segoe UI Historic"/>
                <w:sz w:val="18"/>
                <w:szCs w:val="18"/>
                <w:lang w:val="hy-AM"/>
              </w:rPr>
              <w:t>6%-ը), երրորդ դեղաչափ (բուստեր)՝ 48,020 (ՀՀ մշտական բնակչության 1.6%-ը):</w:t>
            </w:r>
          </w:p>
        </w:tc>
      </w:tr>
    </w:tbl>
    <w:p w:rsidR="00563135" w:rsidRPr="00B57DAB" w:rsidRDefault="00563135" w:rsidP="00E22A1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lastRenderedPageBreak/>
        <w:t>Գյուղատնտեսություն։</w:t>
      </w:r>
      <w:r w:rsidRPr="00B57DAB">
        <w:rPr>
          <w:rFonts w:ascii="GHEA Grapalat" w:hAnsi="GHEA Grapalat" w:cs="GHEA Grapalat"/>
          <w:sz w:val="22"/>
          <w:szCs w:val="22"/>
          <w:lang w:val="hy-AM"/>
        </w:rPr>
        <w:t xml:space="preserve"> Գյուղատնտեսության, անտառային տնտեսության և ձկնորսության համախառն արտադրանքը նվազել է 0.8%-ով՝ հիմնականում պայմանավորված անասնաբուծության և բուսաբուծության նվազմամբ (նպաստումները` համապատասխանաբար՝ 2.3 և 2.2 տոկոսային կետեր)։ Անասնաբուծության նվազումն իր հերթին պայմանավորված է եղել կաթի արտադրության և սպանդի համար նախատեսված գյուղատնտեսական կենդանի և թռչնի</w:t>
      </w:r>
      <w:r w:rsidRPr="00B57DAB" w:rsidDel="004E0F55">
        <w:rPr>
          <w:rFonts w:ascii="GHEA Grapalat" w:hAnsi="GHEA Grapalat" w:cs="GHEA Grapalat"/>
          <w:sz w:val="22"/>
          <w:szCs w:val="22"/>
          <w:lang w:val="hy-AM"/>
        </w:rPr>
        <w:t xml:space="preserve"> </w:t>
      </w:r>
      <w:r w:rsidRPr="00B57DAB">
        <w:rPr>
          <w:rFonts w:ascii="GHEA Grapalat" w:hAnsi="GHEA Grapalat" w:cs="GHEA Grapalat"/>
          <w:sz w:val="22"/>
          <w:szCs w:val="22"/>
          <w:lang w:val="hy-AM"/>
        </w:rPr>
        <w:t>նվազմամբ: Ձկնորսության աճը զգալիորեն հակազդել է ընդհանուր ճյուղի նվազմանը (նպաստումը` 3.5 տոկոսային կետ)։</w:t>
      </w:r>
    </w:p>
    <w:p w:rsidR="00563135" w:rsidRPr="00B57DAB" w:rsidRDefault="00563135" w:rsidP="00E22A1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Շինարարություն։</w:t>
      </w:r>
      <w:r w:rsidRPr="00B57DAB">
        <w:rPr>
          <w:rFonts w:ascii="GHEA Grapalat" w:hAnsi="GHEA Grapalat" w:cs="GHEA Grapalat"/>
          <w:sz w:val="22"/>
          <w:szCs w:val="22"/>
          <w:lang w:val="hy-AM"/>
        </w:rPr>
        <w:t xml:space="preserve"> Շինարարության ճյուղում գրանցված 6.2% աճը պայմանավորված է եղել հիմնականում կազմակերպությունների միջոցներով</w:t>
      </w:r>
      <w:r w:rsidRPr="00B57DAB" w:rsidDel="000521F3">
        <w:rPr>
          <w:rFonts w:ascii="GHEA Grapalat" w:hAnsi="GHEA Grapalat" w:cs="GHEA Grapalat"/>
          <w:sz w:val="22"/>
          <w:szCs w:val="22"/>
          <w:lang w:val="hy-AM"/>
        </w:rPr>
        <w:t xml:space="preserve"> </w:t>
      </w:r>
      <w:r w:rsidRPr="00B57DAB">
        <w:rPr>
          <w:rFonts w:ascii="GHEA Grapalat" w:hAnsi="GHEA Grapalat" w:cs="GHEA Grapalat"/>
          <w:sz w:val="22"/>
          <w:szCs w:val="22"/>
          <w:lang w:val="hy-AM"/>
        </w:rPr>
        <w:t xml:space="preserve">իրականացված շինարարության ծավալների աճով (նպաստումը` 12.9 տոկոսային կետ)։ Վերջինս պայմանավորվել է ներքին ներդրողների միջոցներով ֆինանսավորվող շինարարության աճով, ինչն էլ իր հերթին վկայում է ներքին միջոցներով իրականացվող մասնավոր ներդրումների աճի մասին (պայմանավորված հիմնականում բնակարանային շինարարության ծավալների աճով, որին նպաստել է հիփոթեքային և շինարարության ոլորտի վարկերի աճը)։ Մինչդեռ պետական բյուջեի և բնակչության միջոցներով իրականացված շինարարության ծավալների նվազումները հակազդել են ընդհանուր շինարարության աճին (նպաստումները` համապատասխանաբար 4.4 և 2.7 տոկոսային կետեր)։ Ընդ որում՝ պետական բյուջեի միջոցներով ֆինանսավորվող շինարարության նվազումը պայմանավորված է եղել միջազգային վարկերով ֆինանսավորվող շինարարության նվազմամբ։ </w:t>
      </w:r>
    </w:p>
    <w:p w:rsidR="00563135" w:rsidRPr="00B57DAB" w:rsidRDefault="00563135" w:rsidP="00E22A1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 xml:space="preserve">Ըստ տնտեսական գործունեության տեսակների՝ շինարարության աճին հիմնականում նպաստել են անշարժ գույքի հետ կապված գործունեության (հիմնականում՝ բնակարաշինություն), տրանսպորտի (հիմնականում՝ ճանապարհաշինություն), ինչպես նաև տեղեկատվություն և կապ ոլորտում իրականացված շինարարության ծավալների աճը։ Մինչդեռ էլեկտրականության, գազի, գոլորշու և լավորակ օդի մատակարարում, հանքագործական արդյունաբերություն և բացահանքերի շահագործում, ինչպես նաև մշակույթ, զվարճություններ և հանգիստ ենթաճյուղերում իրականացված շինարարության նվազումները հակազդել են ընդհանուր շինարարության աճին (նպաստումները` համապատասխանաբար՝ 5.9, 2.2 և 1.8 տոկոսային կետեր)։ </w:t>
      </w:r>
    </w:p>
    <w:p w:rsidR="00563135" w:rsidRPr="00B57DAB" w:rsidRDefault="00563135" w:rsidP="00E22A1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Ծառայություններ և առևտուր։</w:t>
      </w:r>
      <w:r w:rsidRPr="00B57DAB">
        <w:rPr>
          <w:rFonts w:ascii="GHEA Grapalat" w:hAnsi="GHEA Grapalat" w:cs="GHEA Grapalat"/>
          <w:sz w:val="22"/>
          <w:szCs w:val="22"/>
          <w:lang w:val="hy-AM"/>
        </w:rPr>
        <w:t xml:space="preserve"> Ծառայություններն աճել են 22.2%-ով՝ հիմնականում պայմանավորված տրանսպորտ (նպաստումը` 5.3 տոկոսային կետ), տեղեկատվություն և կապ (նպաստումը` 4.5 տոկոսային կետ), ֆինանսական և ապահովագրական գործունեություն (նպաստումը` 4.1 տոկոսային կետ), ինչպես նաև կացության և հանրային սննդի կազմակերպում (նպաստումը` 3.0 տոկոսային կետ) ենթաճյուղերի աճով, իսկ առևտրի 7.6% աճը հիմնականում պայմանավորված է եղել մեծածախ առևտրի և ավտոմեքենաների առևտրի աճով (նպաստումները համապատասխանաբար՝ 5.0 և 2.0 տոկոսային կետեր)։ Առևտրի և ծառայությունների աճն </w:t>
      </w:r>
      <w:r w:rsidRPr="00B57DAB">
        <w:rPr>
          <w:rFonts w:ascii="GHEA Grapalat" w:hAnsi="GHEA Grapalat" w:cs="GHEA Grapalat"/>
          <w:sz w:val="22"/>
          <w:szCs w:val="22"/>
          <w:lang w:val="hy-AM"/>
        </w:rPr>
        <w:lastRenderedPageBreak/>
        <w:t xml:space="preserve">ուղեկցվել է ներքին (մասնավորապես, մասնավոր սպառման) և արտաքին (մասնավորապես՝ ծառայությունների արտահանման) պահանջարկի աճով: </w:t>
      </w:r>
    </w:p>
    <w:p w:rsidR="00563135" w:rsidRPr="00B57DAB" w:rsidRDefault="00563135" w:rsidP="00E22A1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Հաշվետու ժամանակահատվածում բեռնափոխադրումների և ուղևորափոխադրումների ծավալներն աճել են: Բեռնափոխադրումների ծավալի 14.7% աճը հիմնականում պայմանավորված է եղել ներհանրապետական ավտոմոբիլային բեռնափոխադրումների աճով (նպաստումը՝ 11.5 տոկոսային կետ): Ուղևորափոխադրումների ծավալն աճել է 40.0%-ով՝ հիմնականում պայմանավորված ավտոմոբիլային տրանսպորտային միջոցներով (նպաստումը՝ 34.2 տոկոսային կետ) իրականացված ուղևորափոխադրումների աճով:</w:t>
      </w:r>
    </w:p>
    <w:p w:rsidR="00563135" w:rsidRPr="00B57DAB" w:rsidRDefault="00563135" w:rsidP="00E22A1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Զբոսաշրջիկների այցելությունների բարձր աճն (190.0%) իր հերթին դրական ազդեցություն է ունեցել ծառայությունների որոշ տեսակների, առևտրի, ինչպես նաև ուղևորափոխադրումների վրա:</w:t>
      </w:r>
    </w:p>
    <w:p w:rsidR="00563135" w:rsidRPr="00B57DAB" w:rsidRDefault="00563135" w:rsidP="00E22A16">
      <w:pPr>
        <w:ind w:firstLine="567"/>
        <w:jc w:val="both"/>
        <w:rPr>
          <w:rFonts w:ascii="GHEA Grapalat" w:hAnsi="GHEA Grapalat" w:cs="GHEA Grapalat"/>
          <w:sz w:val="22"/>
          <w:szCs w:val="22"/>
          <w:lang w:val="hy-AM"/>
        </w:rPr>
      </w:pPr>
    </w:p>
    <w:tbl>
      <w:tblPr>
        <w:tblStyle w:val="TableGrid14212"/>
        <w:tblW w:w="0" w:type="auto"/>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ook w:val="04A0" w:firstRow="1" w:lastRow="0" w:firstColumn="1" w:lastColumn="0" w:noHBand="0" w:noVBand="1"/>
      </w:tblPr>
      <w:tblGrid>
        <w:gridCol w:w="5237"/>
        <w:gridCol w:w="5008"/>
      </w:tblGrid>
      <w:tr w:rsidR="00563135" w:rsidRPr="00B57DAB" w:rsidTr="00F359F7">
        <w:trPr>
          <w:trHeight w:val="4204"/>
        </w:trPr>
        <w:tc>
          <w:tcPr>
            <w:tcW w:w="5237" w:type="dxa"/>
          </w:tcPr>
          <w:p w:rsidR="00563135" w:rsidRPr="00B57DAB" w:rsidRDefault="00773FC6" w:rsidP="007A1FD8">
            <w:pPr>
              <w:pStyle w:val="a8"/>
              <w:rPr>
                <w:i/>
                <w:lang w:val="hy-AM"/>
              </w:rPr>
            </w:pPr>
            <w:r w:rsidRPr="00B57DAB">
              <w:rPr>
                <w:b/>
                <w:i/>
              </w:rPr>
              <w:t xml:space="preserve">Գծապատկեր 1. </w:t>
            </w:r>
            <w:r w:rsidR="00563135" w:rsidRPr="00B57DAB">
              <w:t xml:space="preserve">ՏԱՑ և տնտեսության ճյուղերի իրական աճերը նախորդ տարվա նույն ժամանակահատվածի նկատմամբ (%) </w:t>
            </w:r>
          </w:p>
          <w:p w:rsidR="00563135" w:rsidRPr="00B57DAB" w:rsidRDefault="00563135" w:rsidP="00AE25A7">
            <w:pPr>
              <w:tabs>
                <w:tab w:val="right" w:pos="0"/>
              </w:tabs>
              <w:spacing w:before="120" w:after="60"/>
              <w:contextualSpacing/>
              <w:rPr>
                <w:rFonts w:ascii="GHEA Grapalat" w:hAnsi="GHEA Grapalat"/>
                <w:sz w:val="16"/>
                <w:szCs w:val="16"/>
                <w:lang w:val="hy-AM"/>
              </w:rPr>
            </w:pPr>
            <w:r w:rsidRPr="00B57DAB">
              <w:rPr>
                <w:rFonts w:ascii="GHEA Grapalat" w:hAnsi="GHEA Grapalat"/>
                <w:noProof/>
              </w:rPr>
              <w:drawing>
                <wp:inline distT="0" distB="0" distL="0" distR="0" wp14:anchorId="0CEF054B" wp14:editId="48AACA7D">
                  <wp:extent cx="3064510" cy="1857121"/>
                  <wp:effectExtent l="0" t="0" r="2540" b="1016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63135" w:rsidRPr="00B57DAB" w:rsidRDefault="00563135" w:rsidP="007B2F12">
            <w:pPr>
              <w:tabs>
                <w:tab w:val="right" w:pos="0"/>
              </w:tabs>
              <w:spacing w:line="240" w:lineRule="auto"/>
              <w:contextualSpacing/>
              <w:jc w:val="both"/>
              <w:rPr>
                <w:rFonts w:ascii="GHEA Grapalat" w:hAnsi="GHEA Grapalat" w:cs="Sylfaen"/>
                <w:i/>
                <w:sz w:val="16"/>
                <w:szCs w:val="16"/>
              </w:rPr>
            </w:pPr>
            <w:r w:rsidRPr="00B57DAB">
              <w:rPr>
                <w:rFonts w:ascii="GHEA Grapalat" w:hAnsi="GHEA Grapalat"/>
                <w:i/>
                <w:sz w:val="16"/>
                <w:szCs w:val="16"/>
              </w:rPr>
              <w:t>Աղբյուրը՝ ՀՀ ՎԿ</w:t>
            </w:r>
          </w:p>
        </w:tc>
        <w:tc>
          <w:tcPr>
            <w:tcW w:w="5008" w:type="dxa"/>
          </w:tcPr>
          <w:p w:rsidR="00563135" w:rsidRPr="00B57DAB" w:rsidRDefault="00773FC6" w:rsidP="007A1FD8">
            <w:pPr>
              <w:pStyle w:val="a8"/>
            </w:pPr>
            <w:r w:rsidRPr="00B57DAB">
              <w:rPr>
                <w:b/>
                <w:i/>
              </w:rPr>
              <w:t xml:space="preserve">Գծապատկեր 2. </w:t>
            </w:r>
            <w:r w:rsidR="00563135" w:rsidRPr="00B57DAB">
              <w:t>ՏԱՑ և տնտեսության ճյուղերի իրական աճերը նախորդ տարվա նույն ամսվա նկատմամբ (%)</w:t>
            </w:r>
          </w:p>
          <w:p w:rsidR="00563135" w:rsidRPr="00B57DAB" w:rsidRDefault="00497B24" w:rsidP="007B2F12">
            <w:pPr>
              <w:spacing w:line="240" w:lineRule="auto"/>
              <w:jc w:val="both"/>
              <w:rPr>
                <w:rFonts w:ascii="GHEA Grapalat" w:hAnsi="GHEA Grapalat"/>
                <w:i/>
                <w:sz w:val="16"/>
                <w:szCs w:val="16"/>
              </w:rPr>
            </w:pPr>
            <w:r w:rsidRPr="00B57DAB">
              <w:rPr>
                <w:rFonts w:ascii="GHEA Grapalat" w:hAnsi="GHEA Grapalat"/>
                <w:noProof/>
                <w:sz w:val="16"/>
                <w:szCs w:val="16"/>
              </w:rPr>
              <w:drawing>
                <wp:anchor distT="0" distB="0" distL="114300" distR="114300" simplePos="0" relativeHeight="251659264" behindDoc="1" locked="0" layoutInCell="1" allowOverlap="1" wp14:anchorId="5B26F8BF" wp14:editId="0121A157">
                  <wp:simplePos x="0" y="0"/>
                  <wp:positionH relativeFrom="column">
                    <wp:posOffset>2540</wp:posOffset>
                  </wp:positionH>
                  <wp:positionV relativeFrom="paragraph">
                    <wp:posOffset>-5715</wp:posOffset>
                  </wp:positionV>
                  <wp:extent cx="3017520" cy="1861820"/>
                  <wp:effectExtent l="0" t="0" r="0" b="5080"/>
                  <wp:wrapTight wrapText="bothSides">
                    <wp:wrapPolygon edited="0">
                      <wp:start x="0" y="0"/>
                      <wp:lineTo x="0" y="21659"/>
                      <wp:lineTo x="21545" y="21659"/>
                      <wp:lineTo x="21545" y="0"/>
                      <wp:lineTo x="0" y="0"/>
                    </wp:wrapPolygon>
                  </wp:wrapTight>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r w:rsidR="00563135" w:rsidRPr="00B57DAB">
              <w:rPr>
                <w:rFonts w:ascii="GHEA Grapalat" w:hAnsi="GHEA Grapalat"/>
                <w:i/>
                <w:sz w:val="16"/>
                <w:szCs w:val="16"/>
              </w:rPr>
              <w:t>Աղբյուրը՝ ՀՀ ՎԿ</w:t>
            </w:r>
            <w:r w:rsidR="00563135" w:rsidRPr="00B57DAB" w:rsidDel="00DA0563">
              <w:rPr>
                <w:rFonts w:ascii="GHEA Grapalat" w:hAnsi="GHEA Grapalat"/>
                <w:i/>
                <w:sz w:val="16"/>
                <w:szCs w:val="16"/>
              </w:rPr>
              <w:t xml:space="preserve"> </w:t>
            </w:r>
          </w:p>
        </w:tc>
      </w:tr>
      <w:tr w:rsidR="00563135" w:rsidRPr="00B57DAB" w:rsidTr="007B2F12">
        <w:trPr>
          <w:trHeight w:val="126"/>
        </w:trPr>
        <w:tc>
          <w:tcPr>
            <w:tcW w:w="5237" w:type="dxa"/>
          </w:tcPr>
          <w:p w:rsidR="00563135" w:rsidRPr="00B57DAB" w:rsidRDefault="00563135" w:rsidP="007B2F12">
            <w:pPr>
              <w:tabs>
                <w:tab w:val="right" w:pos="0"/>
              </w:tabs>
              <w:spacing w:after="60"/>
              <w:contextualSpacing/>
              <w:rPr>
                <w:rFonts w:ascii="GHEA Grapalat" w:hAnsi="GHEA Grapalat" w:cs="Sylfaen"/>
                <w:b/>
                <w:bCs/>
                <w:i/>
                <w:sz w:val="6"/>
                <w:szCs w:val="6"/>
                <w:lang w:val="hy-AM"/>
              </w:rPr>
            </w:pPr>
          </w:p>
          <w:p w:rsidR="00563135" w:rsidRPr="00B57DAB" w:rsidRDefault="00115A51" w:rsidP="007A1FD8">
            <w:pPr>
              <w:pStyle w:val="a8"/>
            </w:pPr>
            <w:r w:rsidRPr="00B57DAB">
              <w:rPr>
                <w:b/>
                <w:i/>
              </w:rPr>
              <w:t xml:space="preserve">Գծապատկեր 3. </w:t>
            </w:r>
            <w:r w:rsidR="00563135" w:rsidRPr="00B57DAB">
              <w:t>Տնտեսության ճյուղերի նպաստումները ՏԱՑ-ին (տ.կ.)</w:t>
            </w:r>
            <w:r w:rsidR="00563135" w:rsidRPr="00B57DAB">
              <w:rPr>
                <w:vertAlign w:val="superscript"/>
              </w:rPr>
              <w:footnoteReference w:id="7"/>
            </w:r>
            <w:r w:rsidR="00563135" w:rsidRPr="00B57DAB">
              <w:t xml:space="preserve"> </w:t>
            </w:r>
            <w:r w:rsidR="007B2F12" w:rsidRPr="00B57DAB">
              <w:rPr>
                <w:i/>
              </w:rPr>
              <w:drawing>
                <wp:inline distT="0" distB="0" distL="0" distR="0" wp14:anchorId="023733F1" wp14:editId="1AD053E9">
                  <wp:extent cx="3100648" cy="1903615"/>
                  <wp:effectExtent l="0" t="0" r="5080" b="1905"/>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63135" w:rsidRPr="00B57DAB" w:rsidRDefault="00563135" w:rsidP="007B2F12">
            <w:pPr>
              <w:spacing w:after="60" w:line="240" w:lineRule="auto"/>
              <w:jc w:val="both"/>
              <w:rPr>
                <w:rFonts w:ascii="GHEA Grapalat" w:hAnsi="GHEA Grapalat" w:cs="Sylfaen"/>
              </w:rPr>
            </w:pPr>
            <w:r w:rsidRPr="00B57DAB">
              <w:rPr>
                <w:rFonts w:ascii="GHEA Grapalat" w:hAnsi="GHEA Grapalat"/>
                <w:i/>
                <w:sz w:val="16"/>
                <w:szCs w:val="16"/>
                <w:lang w:val="hy-AM"/>
              </w:rPr>
              <w:t>Աղբյուրը՝ ՀՀ ՎԿ, ՀՀ ՖՆ հաշվարկներ</w:t>
            </w:r>
          </w:p>
        </w:tc>
        <w:tc>
          <w:tcPr>
            <w:tcW w:w="5008" w:type="dxa"/>
          </w:tcPr>
          <w:p w:rsidR="00563135" w:rsidRPr="00B57DAB" w:rsidRDefault="00115A51" w:rsidP="007A1FD8">
            <w:pPr>
              <w:pStyle w:val="a8"/>
              <w:rPr>
                <w:lang w:val="hy-AM"/>
              </w:rPr>
            </w:pPr>
            <w:r w:rsidRPr="00B57DAB">
              <w:rPr>
                <w:b/>
                <w:i/>
              </w:rPr>
              <w:t xml:space="preserve">Գծապատկեր 4. </w:t>
            </w:r>
            <w:r w:rsidR="00563135" w:rsidRPr="00B57DAB">
              <w:t>Տնտեսության</w:t>
            </w:r>
            <w:r w:rsidR="00563135" w:rsidRPr="00B57DAB">
              <w:rPr>
                <w:lang w:val="hy-AM"/>
              </w:rPr>
              <w:t xml:space="preserve"> ճյուղերի նպաստումները ՏԱՑ-ին նախորդ տարվա նույն ամսվա նկատմամբ</w:t>
            </w:r>
            <w:r w:rsidR="00563135" w:rsidRPr="00B57DAB">
              <w:rPr>
                <w:sz w:val="18"/>
                <w:szCs w:val="18"/>
                <w:lang w:val="hy-AM"/>
              </w:rPr>
              <w:t xml:space="preserve"> </w:t>
            </w:r>
            <w:r w:rsidR="00563135" w:rsidRPr="00B57DAB">
              <w:rPr>
                <w:szCs w:val="18"/>
                <w:lang w:val="hy-AM"/>
              </w:rPr>
              <w:t>(տ.կ.)</w:t>
            </w:r>
            <w:r w:rsidR="00563135" w:rsidRPr="00B57DAB">
              <w:rPr>
                <w:rStyle w:val="FootnoteReference"/>
                <w:rFonts w:cs="Sylfaen"/>
                <w:i/>
                <w:lang w:val="hy-AM"/>
              </w:rPr>
              <w:t xml:space="preserve"> </w:t>
            </w:r>
          </w:p>
          <w:p w:rsidR="00563135" w:rsidRPr="00B57DAB" w:rsidRDefault="00563135" w:rsidP="00AE25A7">
            <w:pPr>
              <w:tabs>
                <w:tab w:val="right" w:pos="0"/>
              </w:tabs>
              <w:spacing w:before="120" w:after="60"/>
              <w:contextualSpacing/>
              <w:rPr>
                <w:rFonts w:ascii="GHEA Grapalat" w:hAnsi="GHEA Grapalat"/>
                <w:lang w:val="hy-AM"/>
              </w:rPr>
            </w:pPr>
            <w:r w:rsidRPr="00B57DAB">
              <w:rPr>
                <w:rFonts w:ascii="GHEA Grapalat" w:hAnsi="GHEA Grapalat"/>
                <w:noProof/>
              </w:rPr>
              <w:drawing>
                <wp:inline distT="0" distB="0" distL="0" distR="0" wp14:anchorId="452FC8D4" wp14:editId="55383A87">
                  <wp:extent cx="3017520" cy="1920240"/>
                  <wp:effectExtent l="0" t="0" r="0" b="381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63135" w:rsidRPr="00B57DAB" w:rsidRDefault="00563135" w:rsidP="00115A51">
            <w:pPr>
              <w:spacing w:line="240" w:lineRule="auto"/>
              <w:jc w:val="both"/>
              <w:rPr>
                <w:rFonts w:ascii="GHEA Grapalat" w:hAnsi="GHEA Grapalat"/>
                <w:i/>
                <w:sz w:val="16"/>
                <w:szCs w:val="16"/>
                <w:lang w:val="hy-AM"/>
              </w:rPr>
            </w:pPr>
            <w:r w:rsidRPr="00B57DAB">
              <w:rPr>
                <w:rFonts w:ascii="GHEA Grapalat" w:hAnsi="GHEA Grapalat"/>
                <w:i/>
                <w:sz w:val="16"/>
                <w:szCs w:val="16"/>
                <w:lang w:val="hy-AM"/>
              </w:rPr>
              <w:t>Աղբյուրը՝ ՀՀ ՎԿ, ՀՀ ՖՆ հաշվարկներ</w:t>
            </w:r>
          </w:p>
        </w:tc>
      </w:tr>
    </w:tbl>
    <w:p w:rsidR="00563135" w:rsidRPr="00B57DAB" w:rsidRDefault="00563135" w:rsidP="00563135">
      <w:pPr>
        <w:spacing w:line="360" w:lineRule="auto"/>
        <w:ind w:firstLine="567"/>
        <w:jc w:val="both"/>
        <w:rPr>
          <w:rFonts w:ascii="GHEA Grapalat" w:eastAsia="GHEA Grapalat" w:hAnsi="GHEA Grapalat" w:cs="GHEA Grapalat"/>
          <w:b/>
          <w:i/>
          <w:sz w:val="22"/>
          <w:szCs w:val="22"/>
        </w:rPr>
      </w:pPr>
    </w:p>
    <w:p w:rsidR="00563135" w:rsidRPr="00B57DAB" w:rsidRDefault="00563135" w:rsidP="00563135">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Համախառն պահանջարկ</w:t>
      </w:r>
      <w:r w:rsidRPr="00B57DAB">
        <w:rPr>
          <w:rFonts w:ascii="GHEA Grapalat" w:hAnsi="GHEA Grapalat"/>
          <w:b/>
          <w:i/>
          <w:sz w:val="22"/>
          <w:szCs w:val="22"/>
          <w:vertAlign w:val="superscript"/>
          <w:lang w:val="hy-AM"/>
        </w:rPr>
        <w:footnoteReference w:id="8"/>
      </w:r>
      <w:r w:rsidRPr="00B57DAB">
        <w:rPr>
          <w:rFonts w:ascii="GHEA Grapalat" w:hAnsi="GHEA Grapalat" w:cs="GHEA Grapalat"/>
          <w:b/>
          <w:i/>
          <w:sz w:val="22"/>
          <w:szCs w:val="22"/>
          <w:lang w:val="hy-AM"/>
        </w:rPr>
        <w:t>:</w:t>
      </w:r>
      <w:r w:rsidRPr="00B57DAB">
        <w:rPr>
          <w:lang w:val="hy-AM"/>
        </w:rPr>
        <w:t xml:space="preserve"> </w:t>
      </w:r>
      <w:r w:rsidRPr="00B57DAB">
        <w:rPr>
          <w:rFonts w:ascii="GHEA Grapalat" w:hAnsi="GHEA Grapalat" w:cs="GHEA Grapalat"/>
          <w:sz w:val="22"/>
          <w:szCs w:val="22"/>
          <w:lang w:val="hy-AM"/>
        </w:rPr>
        <w:t xml:space="preserve">Հունվար-մարտին տնտեսական ակտիվության աճն ուղեկցվել է ներքին պահանջարկի աճով: </w:t>
      </w:r>
    </w:p>
    <w:p w:rsidR="00563135" w:rsidRPr="00B57DAB" w:rsidRDefault="00563135" w:rsidP="00773FC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Սպառում։</w:t>
      </w:r>
      <w:r w:rsidRPr="00B57DAB">
        <w:rPr>
          <w:rFonts w:ascii="GHEA Grapalat" w:hAnsi="GHEA Grapalat" w:cs="GHEA Grapalat"/>
          <w:sz w:val="22"/>
          <w:szCs w:val="22"/>
          <w:lang w:val="hy-AM"/>
        </w:rPr>
        <w:t xml:space="preserve"> Հունվար-մարտին սպառումն իրական արտահայտությամբ աճել է շուրջ 8.5%-ով՝ պայմանավորված մասնավոր հատվածի սպառման աճով, որին նպաստել են բնակչության տնօրինվող եկամտի աճը և համավարակի պայմաններում կուտակված խնայողությունների օգտագործումը: Պետական սպառման նվազումը բացասաբար է ազդել ընդհանուր սպառման աճի</w:t>
      </w:r>
      <w:r w:rsidR="00CE395B">
        <w:rPr>
          <w:rFonts w:ascii="GHEA Grapalat" w:hAnsi="GHEA Grapalat" w:cs="GHEA Grapalat"/>
          <w:sz w:val="22"/>
          <w:szCs w:val="22"/>
        </w:rPr>
        <w:t xml:space="preserve"> վրա</w:t>
      </w:r>
      <w:r w:rsidRPr="00B57DAB">
        <w:rPr>
          <w:rFonts w:ascii="GHEA Grapalat" w:hAnsi="GHEA Grapalat" w:cs="GHEA Grapalat"/>
          <w:sz w:val="22"/>
          <w:szCs w:val="22"/>
          <w:lang w:val="hy-AM"/>
        </w:rPr>
        <w:t xml:space="preserve">։ </w:t>
      </w:r>
    </w:p>
    <w:p w:rsidR="00563135" w:rsidRPr="00B57DAB" w:rsidRDefault="00563135" w:rsidP="00773FC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Ներդրումներ։</w:t>
      </w:r>
      <w:r w:rsidRPr="00B57DAB">
        <w:rPr>
          <w:rFonts w:ascii="GHEA Grapalat" w:hAnsi="GHEA Grapalat" w:cs="GHEA Grapalat"/>
          <w:sz w:val="22"/>
          <w:szCs w:val="22"/>
          <w:lang w:val="hy-AM"/>
        </w:rPr>
        <w:t xml:space="preserve"> Հունվար-մարտին գնահատվում է կապիտալ ներդրումների</w:t>
      </w:r>
      <w:r w:rsidRPr="00B57DAB">
        <w:rPr>
          <w:rFonts w:ascii="GHEA Grapalat" w:hAnsi="GHEA Grapalat" w:cs="GHEA Grapalat"/>
          <w:sz w:val="22"/>
          <w:szCs w:val="22"/>
          <w:lang w:val="hy-AM"/>
        </w:rPr>
        <w:footnoteReference w:id="9"/>
      </w:r>
      <w:r w:rsidRPr="00B57DAB">
        <w:rPr>
          <w:rFonts w:ascii="GHEA Grapalat" w:hAnsi="GHEA Grapalat" w:cs="GHEA Grapalat"/>
          <w:sz w:val="22"/>
          <w:szCs w:val="22"/>
          <w:lang w:val="hy-AM"/>
        </w:rPr>
        <w:t xml:space="preserve"> նախորդ տարվա նույն ժամանակահատվածի նկատմամբ իրական արտահայտությամբ շուրջ 3.7% աճ՝ պայմանավորված մասնավոր ներդրումների աճով: Մասնավոր ներդրումների վրա դրական ազդեցություն են ունեցել հիփոթեքային և շինարարության վարկերի ծավալների աճը: Պետական ներդրումները նվազել են՝ հակազդելով ընդհանուր ներդրումների աճին։ </w:t>
      </w:r>
    </w:p>
    <w:p w:rsidR="00563135" w:rsidRPr="00B57DAB" w:rsidRDefault="00563135" w:rsidP="00773FC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Ներդրումների աճը հիմնականում պայմանավորված է եղել անշարժ գույքի հետ կապված գործունեության, տրանսպորտի, ինչպես նաև տեղեկատվություն և կապ ոլորտներում կատարված ներդրումների աճերով</w:t>
      </w:r>
      <w:r w:rsidRPr="00B57DAB">
        <w:rPr>
          <w:rFonts w:ascii="GHEA Grapalat" w:hAnsi="GHEA Grapalat" w:cs="GHEA Grapalat"/>
          <w:sz w:val="22"/>
          <w:szCs w:val="22"/>
          <w:vertAlign w:val="superscript"/>
          <w:lang w:val="hy-AM"/>
        </w:rPr>
        <w:footnoteReference w:id="10"/>
      </w:r>
      <w:r w:rsidRPr="00B57DAB">
        <w:rPr>
          <w:rFonts w:ascii="GHEA Grapalat" w:hAnsi="GHEA Grapalat" w:cs="GHEA Grapalat"/>
          <w:sz w:val="22"/>
          <w:szCs w:val="22"/>
          <w:lang w:val="hy-AM"/>
        </w:rPr>
        <w:t>:</w:t>
      </w:r>
    </w:p>
    <w:p w:rsidR="00563135" w:rsidRPr="00B57DAB" w:rsidRDefault="00563135" w:rsidP="00773FC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Զուտ արտահանում։</w:t>
      </w:r>
      <w:r w:rsidRPr="00B57DAB">
        <w:rPr>
          <w:rFonts w:ascii="GHEA Grapalat" w:hAnsi="GHEA Grapalat" w:cs="GHEA Grapalat"/>
          <w:sz w:val="22"/>
          <w:szCs w:val="22"/>
          <w:lang w:val="hy-AM"/>
        </w:rPr>
        <w:t xml:space="preserve"> Ապրանքների և ծառայությունների արտահանման իրական ծավալների աճը գնահատվում է մոտ 30%` պայմանավորված արտաքին պահանջարկի աճով (հիմնականում զբոսաշրջիկներին մատուցված ծառայությունների աճեր): Հաշվետու ժամանակահատվածում ապրանքների և ծառայությունների ներմուծման ծավալները նախորդ տարվա նույն ժամանակահատվածի համեմատ աճել են շուրջ 29%-ով` պայմանավորված տնտեսական ակտիվության և ներքին պահանջարկի աճով:</w:t>
      </w:r>
    </w:p>
    <w:p w:rsidR="00563135" w:rsidRPr="00B57DAB" w:rsidRDefault="00563135" w:rsidP="00773FC6">
      <w:pPr>
        <w:spacing w:line="360" w:lineRule="auto"/>
        <w:ind w:firstLine="567"/>
        <w:jc w:val="both"/>
        <w:rPr>
          <w:rFonts w:ascii="GHEA Grapalat" w:hAnsi="GHEA Grapalat" w:cs="GHEA Grapalat"/>
          <w:sz w:val="22"/>
          <w:szCs w:val="22"/>
          <w:lang w:val="hy-AM"/>
        </w:rPr>
      </w:pPr>
    </w:p>
    <w:p w:rsidR="00563135" w:rsidRPr="00B57DAB" w:rsidRDefault="00563135" w:rsidP="00563135">
      <w:pPr>
        <w:pStyle w:val="Heading6"/>
        <w:ind w:left="567"/>
        <w:rPr>
          <w:rFonts w:ascii="GHEA Grapalat" w:hAnsi="GHEA Grapalat"/>
          <w:b/>
          <w:sz w:val="22"/>
          <w:szCs w:val="22"/>
          <w:u w:val="none"/>
        </w:rPr>
      </w:pPr>
      <w:bookmarkStart w:id="20" w:name="_Toc71311883"/>
      <w:r w:rsidRPr="00B57DAB">
        <w:rPr>
          <w:rFonts w:ascii="GHEA Grapalat" w:hAnsi="GHEA Grapalat"/>
          <w:b/>
          <w:sz w:val="22"/>
          <w:szCs w:val="22"/>
          <w:u w:val="none"/>
        </w:rPr>
        <w:t>Աշխատանքի շուկա</w:t>
      </w:r>
      <w:bookmarkEnd w:id="20"/>
      <w:r w:rsidRPr="00B57DAB">
        <w:rPr>
          <w:rFonts w:ascii="GHEA Grapalat" w:hAnsi="GHEA Grapalat"/>
          <w:b/>
          <w:sz w:val="22"/>
          <w:szCs w:val="22"/>
          <w:u w:val="none"/>
        </w:rPr>
        <w:t xml:space="preserve"> </w:t>
      </w:r>
    </w:p>
    <w:p w:rsidR="00AE25A7" w:rsidRPr="00B57DAB" w:rsidRDefault="00AE25A7" w:rsidP="00773FC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Տնտեսական բարձր ակտիվության պայմաններում առաջին եռամսյակում գործազրկությունը նվազել է, իսկ իրական աշխատավարձերը՝ աճել։ 2022 թվականի հունվար-մարտ ամիսներին պաշտոնապես գրանցված գործազուրկների միջին ամսական թվաքանակը նախորդ տարվա նույն ժամանակահատվածի նկատմամբ նվազել է 8.3%-ով՝ կազմելով 57242 մարդ: Միևնույն ժամանակ վարձու աշխատողների թվաքանակն աճել է շուրջ 6.0%-ով՝ կազմելով 658,804 մարդ։</w:t>
      </w:r>
    </w:p>
    <w:p w:rsidR="00AE25A7" w:rsidRPr="00B57DAB" w:rsidRDefault="00AE25A7" w:rsidP="00773FC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lastRenderedPageBreak/>
        <w:t>2022 թվականի առաջին եռամսյակում միջին ամսական անվանական աշխատավարձը նախորդ տարվա նույն ժամանակահատվածում գրանցված ցուցանիշի նկատմամբ աճել է 9.6%-ով` կազմելով 212,767 դրամ: Միջին ամսական անվանական աշխատավարձը պետական հատվածում աճել է 4.1%-ով` կազմելով 173,717 դրամ, իսկ ոչ պետականում` 11.2%-ով և կազմել է 230,567 դրամ: Իրական աշխատավարձը՝ 7.0% գնաճի պայմաններում, 2021 թվականի նույն ժամանակահատվածի համեմատ աճել է 2.4%-ով:</w:t>
      </w:r>
    </w:p>
    <w:p w:rsidR="00563135" w:rsidRPr="00B57DAB" w:rsidRDefault="00563135" w:rsidP="00773FC6">
      <w:pPr>
        <w:spacing w:line="360" w:lineRule="auto"/>
        <w:ind w:firstLine="567"/>
        <w:jc w:val="both"/>
        <w:rPr>
          <w:rFonts w:ascii="GHEA Grapalat" w:hAnsi="GHEA Grapalat" w:cs="GHEA Grapalat"/>
          <w:sz w:val="22"/>
          <w:szCs w:val="22"/>
          <w:lang w:val="hy-AM"/>
        </w:rPr>
      </w:pPr>
    </w:p>
    <w:p w:rsidR="00563135" w:rsidRPr="00B57DAB" w:rsidRDefault="00563135" w:rsidP="00563135">
      <w:pPr>
        <w:pStyle w:val="Heading6"/>
        <w:ind w:left="567"/>
        <w:rPr>
          <w:rFonts w:ascii="GHEA Grapalat" w:hAnsi="GHEA Grapalat"/>
          <w:b/>
          <w:sz w:val="22"/>
          <w:szCs w:val="22"/>
          <w:u w:val="none"/>
          <w:lang w:val="en-US"/>
        </w:rPr>
      </w:pPr>
      <w:bookmarkStart w:id="21" w:name="_Toc6389321"/>
      <w:bookmarkStart w:id="22" w:name="_Toc37763588"/>
      <w:bookmarkStart w:id="23" w:name="_Toc71311884"/>
      <w:r w:rsidRPr="00B57DAB">
        <w:rPr>
          <w:rFonts w:ascii="GHEA Grapalat" w:hAnsi="GHEA Grapalat"/>
          <w:b/>
          <w:sz w:val="22"/>
          <w:szCs w:val="22"/>
          <w:u w:val="none"/>
        </w:rPr>
        <w:t>Գնաճ</w:t>
      </w:r>
      <w:bookmarkEnd w:id="21"/>
      <w:bookmarkEnd w:id="22"/>
      <w:r w:rsidRPr="00B57DAB">
        <w:rPr>
          <w:rFonts w:ascii="GHEA Grapalat" w:hAnsi="GHEA Grapalat"/>
          <w:b/>
          <w:sz w:val="22"/>
          <w:szCs w:val="22"/>
          <w:u w:val="none"/>
        </w:rPr>
        <w:t xml:space="preserve"> և դրամավարկային քաղաքականություն</w:t>
      </w:r>
      <w:bookmarkEnd w:id="23"/>
    </w:p>
    <w:p w:rsidR="00AE25A7" w:rsidRPr="00B57DAB" w:rsidRDefault="00AE25A7" w:rsidP="00773FC6">
      <w:pPr>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lang w:val="hy-AM"/>
        </w:rPr>
        <w:t>2022 թվականի առաջին եռամսյակում, չնայած տարեսկզբի որոշակի դանդաղմանը, գնաճի բարձր տեմպերը պահպանվել են, որի պայմաններում ՀՀ ԿԲ-ն շարունակել</w:t>
      </w:r>
      <w:r w:rsidR="00315B98">
        <w:rPr>
          <w:rFonts w:ascii="GHEA Grapalat" w:hAnsi="GHEA Grapalat" w:cs="GHEA Grapalat"/>
          <w:sz w:val="22"/>
          <w:szCs w:val="22"/>
        </w:rPr>
        <w:t xml:space="preserve"> է</w:t>
      </w:r>
      <w:r w:rsidRPr="00B57DAB">
        <w:rPr>
          <w:rFonts w:ascii="GHEA Grapalat" w:hAnsi="GHEA Grapalat" w:cs="GHEA Grapalat"/>
          <w:sz w:val="22"/>
          <w:szCs w:val="22"/>
          <w:lang w:val="hy-AM"/>
        </w:rPr>
        <w:t xml:space="preserve"> խստացնել դրամավարկային պայմանները՝ բարձրացնելով վերաֆինանսավորման տոկոսադրույքը:</w:t>
      </w:r>
      <w:r w:rsidR="00CE395B">
        <w:rPr>
          <w:rFonts w:ascii="GHEA Grapalat" w:hAnsi="GHEA Grapalat" w:cs="GHEA Grapalat"/>
          <w:sz w:val="22"/>
          <w:szCs w:val="22"/>
          <w:lang w:val="hy-AM"/>
        </w:rPr>
        <w:t xml:space="preserve"> </w:t>
      </w:r>
      <w:r w:rsidRPr="00B57DAB">
        <w:rPr>
          <w:rFonts w:ascii="GHEA Grapalat" w:hAnsi="GHEA Grapalat" w:cs="GHEA Grapalat"/>
          <w:sz w:val="22"/>
          <w:szCs w:val="22"/>
          <w:lang w:val="hy-AM"/>
        </w:rPr>
        <w:t>Եռամսյակի առաջին երկու ամիսների ընթացքում դիտվել է 12 ամսյա գնաճի տեմպերի դանդաղման գործընթաց, մինչդեռ մարտ ամսին, պայմանավորված ռուս-ուկրաինական հակամարտության սրման արդյունքում միջազգային ապրանքահումքային շուկաներում դիտված գների կտրուկ աճով, ՀՀ դրամի փոփարժեքի տատանողականությամբ, գնաճային սպասումների ավելացմամբ, ինչպես նաև համախառն պահանջարկի աճով (այդ թվում՝ օտարերկյա այցելուների կտրուկ աճով պայմանավորված)</w:t>
      </w:r>
      <w:r w:rsidR="00CE395B">
        <w:rPr>
          <w:rFonts w:ascii="GHEA Grapalat" w:hAnsi="GHEA Grapalat" w:cs="GHEA Grapalat"/>
          <w:sz w:val="22"/>
          <w:szCs w:val="22"/>
          <w:lang w:val="hy-AM"/>
        </w:rPr>
        <w:t xml:space="preserve"> </w:t>
      </w:r>
      <w:r w:rsidRPr="00B57DAB">
        <w:rPr>
          <w:rFonts w:ascii="GHEA Grapalat" w:hAnsi="GHEA Grapalat" w:cs="GHEA Grapalat"/>
          <w:sz w:val="22"/>
          <w:szCs w:val="22"/>
          <w:lang w:val="hy-AM"/>
        </w:rPr>
        <w:t>12 ամսյա գնաճ</w:t>
      </w:r>
      <w:r w:rsidR="00315B98">
        <w:rPr>
          <w:rFonts w:ascii="GHEA Grapalat" w:hAnsi="GHEA Grapalat" w:cs="GHEA Grapalat"/>
          <w:sz w:val="22"/>
          <w:szCs w:val="22"/>
          <w:lang w:val="hy-AM"/>
        </w:rPr>
        <w:t>ը կազմել է 7.4%, իսկ միջին գնաճ</w:t>
      </w:r>
      <w:r w:rsidR="00315B98">
        <w:rPr>
          <w:rFonts w:ascii="GHEA Grapalat" w:hAnsi="GHEA Grapalat" w:cs="GHEA Grapalat"/>
          <w:sz w:val="22"/>
          <w:szCs w:val="22"/>
        </w:rPr>
        <w:t>ն</w:t>
      </w:r>
      <w:r w:rsidRPr="00B57DAB">
        <w:rPr>
          <w:rFonts w:ascii="GHEA Grapalat" w:hAnsi="GHEA Grapalat" w:cs="GHEA Grapalat"/>
          <w:sz w:val="22"/>
          <w:szCs w:val="22"/>
          <w:lang w:val="hy-AM"/>
        </w:rPr>
        <w:t xml:space="preserve"> առաջին եռամսյակում՝ 7%: </w:t>
      </w:r>
    </w:p>
    <w:p w:rsidR="00773FC6" w:rsidRPr="00B57DAB" w:rsidRDefault="00773FC6" w:rsidP="00773FC6">
      <w:pPr>
        <w:spacing w:line="360" w:lineRule="auto"/>
        <w:ind w:firstLine="567"/>
        <w:jc w:val="both"/>
        <w:rPr>
          <w:rFonts w:ascii="GHEA Grapalat" w:hAnsi="GHEA Grapalat" w:cs="GHEA Grapalat"/>
          <w:sz w:val="22"/>
          <w:szCs w:val="22"/>
        </w:rPr>
      </w:pPr>
    </w:p>
    <w:p w:rsidR="00AE25A7" w:rsidRPr="00B57DAB" w:rsidRDefault="00AE25A7" w:rsidP="005D5E98">
      <w:pPr>
        <w:pStyle w:val="a8"/>
        <w:numPr>
          <w:ilvl w:val="0"/>
          <w:numId w:val="30"/>
        </w:numPr>
        <w:ind w:left="0" w:firstLine="0"/>
        <w:jc w:val="both"/>
        <w:rPr>
          <w:sz w:val="22"/>
          <w:szCs w:val="22"/>
        </w:rPr>
      </w:pPr>
      <w:r w:rsidRPr="00B57DAB">
        <w:rPr>
          <w:sz w:val="22"/>
          <w:szCs w:val="22"/>
        </w:rPr>
        <w:t>2022 թվականի առաջին եռամսյակի գնաճի նպաստումները խոշոր</w:t>
      </w:r>
      <w:r w:rsidR="00773FC6" w:rsidRPr="00B57DAB">
        <w:rPr>
          <w:sz w:val="22"/>
          <w:szCs w:val="22"/>
        </w:rPr>
        <w:t xml:space="preserve"> </w:t>
      </w:r>
      <w:r w:rsidRPr="00B57DAB">
        <w:rPr>
          <w:sz w:val="22"/>
          <w:szCs w:val="22"/>
        </w:rPr>
        <w:t>ապրանքախմբերով, տոկոսային կետ</w:t>
      </w:r>
      <w:r w:rsidRPr="00B57DAB">
        <w:rPr>
          <w:rStyle w:val="FootnoteReference"/>
          <w:sz w:val="22"/>
          <w:szCs w:val="22"/>
        </w:rPr>
        <w:footnoteReference w:id="11"/>
      </w:r>
    </w:p>
    <w:p w:rsidR="00AE25A7" w:rsidRPr="00B57DAB" w:rsidRDefault="00AE25A7" w:rsidP="00AE25A7">
      <w:pPr>
        <w:pStyle w:val="BodyText"/>
        <w:rPr>
          <w:rFonts w:ascii="GHEA Grapalat" w:hAnsi="GHEA Grapalat" w:cs="Sylfaen"/>
          <w:b w:val="0"/>
          <w:sz w:val="22"/>
          <w:szCs w:val="22"/>
        </w:rPr>
      </w:pPr>
      <w:r w:rsidRPr="00B57DAB">
        <w:rPr>
          <w:rFonts w:ascii="GHEA Grapalat" w:hAnsi="GHEA Grapalat" w:cs="Sylfaen"/>
          <w:b w:val="0"/>
          <w:noProof/>
          <w:szCs w:val="22"/>
        </w:rPr>
        <w:drawing>
          <wp:inline distT="0" distB="0" distL="0" distR="0" wp14:anchorId="692A368A" wp14:editId="137B42BF">
            <wp:extent cx="3171825" cy="2276475"/>
            <wp:effectExtent l="0" t="0" r="9525"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B57DAB">
        <w:rPr>
          <w:rFonts w:ascii="GHEA Grapalat" w:hAnsi="GHEA Grapalat" w:cs="Sylfaen"/>
          <w:b w:val="0"/>
          <w:noProof/>
          <w:szCs w:val="22"/>
        </w:rPr>
        <w:drawing>
          <wp:inline distT="0" distB="0" distL="0" distR="0" wp14:anchorId="7ABC6177" wp14:editId="27F40865">
            <wp:extent cx="3171825" cy="2276475"/>
            <wp:effectExtent l="0" t="0" r="9525"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B57DAB">
        <w:rPr>
          <w:rFonts w:ascii="GHEA Grapalat" w:hAnsi="GHEA Grapalat" w:cs="Sylfaen"/>
          <w:b w:val="0"/>
          <w:noProof/>
          <w:szCs w:val="22"/>
        </w:rPr>
        <w:drawing>
          <wp:inline distT="0" distB="0" distL="0" distR="0" wp14:anchorId="57F2CF66" wp14:editId="190B6B8D">
            <wp:extent cx="6362700" cy="581025"/>
            <wp:effectExtent l="0" t="0" r="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73FC6" w:rsidRPr="00B57DAB" w:rsidRDefault="00773FC6" w:rsidP="00773FC6">
      <w:pPr>
        <w:spacing w:line="360" w:lineRule="auto"/>
        <w:ind w:firstLine="567"/>
        <w:jc w:val="both"/>
        <w:rPr>
          <w:rFonts w:ascii="GHEA Grapalat" w:hAnsi="GHEA Grapalat" w:cs="GHEA Grapalat"/>
          <w:sz w:val="22"/>
          <w:szCs w:val="22"/>
        </w:rPr>
      </w:pPr>
    </w:p>
    <w:p w:rsidR="00AE25A7" w:rsidRPr="00B57DAB" w:rsidRDefault="00AE25A7" w:rsidP="00773FC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lastRenderedPageBreak/>
        <w:t>Միջին գնաճին առավելապես նպաստել է «Սննդամթերք և ոչ ալկոհոլային խմիչքներ» ապրանքախմբում արձանագրված 12.1% գների աճը (նպաստումը գնաճին` 4.5 տոկոսային կետ)՝ հիմնականում պայմանավորված առաջին անհրաժեշտության պարենային ապրանքների (բանջարեղեն, հացաբուլկեղեն և ձավարեղեն, միս, կաթնամթերք և այլն) գների աճերով: «Ալկոհոլային խմիչքներ, ծխախոտային արտադրատեսակներ» խմբում արձանագրվել է 7</w:t>
      </w:r>
      <w:r w:rsidR="00315B98">
        <w:rPr>
          <w:rFonts w:ascii="GHEA Grapalat" w:hAnsi="GHEA Grapalat" w:cs="GHEA Grapalat"/>
          <w:sz w:val="22"/>
          <w:szCs w:val="22"/>
        </w:rPr>
        <w:t>.</w:t>
      </w:r>
      <w:r w:rsidRPr="00B57DAB">
        <w:rPr>
          <w:rFonts w:ascii="GHEA Grapalat" w:hAnsi="GHEA Grapalat" w:cs="GHEA Grapalat"/>
          <w:sz w:val="22"/>
          <w:szCs w:val="22"/>
          <w:lang w:val="hy-AM"/>
        </w:rPr>
        <w:t>9% գնաճ (նպաստումը գնաճին` 0.4 տոկոսային կետ), իսկ «Ոչ պարենային ապրանքների» խմբում արձանագրվել է 5</w:t>
      </w:r>
      <w:r w:rsidR="00315B98">
        <w:rPr>
          <w:rFonts w:ascii="GHEA Grapalat" w:hAnsi="GHEA Grapalat" w:cs="GHEA Grapalat"/>
          <w:sz w:val="22"/>
          <w:szCs w:val="22"/>
        </w:rPr>
        <w:t>.</w:t>
      </w:r>
      <w:r w:rsidRPr="00B57DAB">
        <w:rPr>
          <w:rFonts w:ascii="GHEA Grapalat" w:hAnsi="GHEA Grapalat" w:cs="GHEA Grapalat"/>
          <w:sz w:val="22"/>
          <w:szCs w:val="22"/>
          <w:lang w:val="hy-AM"/>
        </w:rPr>
        <w:t>5% գնաճ (նպաստումը գնաճին` 1.2 տոկոսային կետ), ինչը հիմնականում պայմանավորված է էլեկտրաէներգիայի և վառելիքի գների աճով։ Բնակչությանը մատուցված ծառայությունների գծով արձանագրվել է 2.5% գնաճ (դրական նպաստումը գնաճին` 0.9 տոկոսային կետ), ինչի վրա իր անմիջական ազդեցությունն է թողել տրանսպորտային և բնակարանային ծառայությունների սակագների</w:t>
      </w:r>
      <w:r w:rsidR="00CE395B">
        <w:rPr>
          <w:rFonts w:ascii="GHEA Grapalat" w:hAnsi="GHEA Grapalat" w:cs="GHEA Grapalat"/>
          <w:sz w:val="22"/>
          <w:szCs w:val="22"/>
          <w:lang w:val="hy-AM"/>
        </w:rPr>
        <w:t xml:space="preserve"> </w:t>
      </w:r>
      <w:r w:rsidRPr="00B57DAB">
        <w:rPr>
          <w:rFonts w:ascii="GHEA Grapalat" w:hAnsi="GHEA Grapalat" w:cs="GHEA Grapalat"/>
          <w:sz w:val="22"/>
          <w:szCs w:val="22"/>
          <w:lang w:val="hy-AM"/>
        </w:rPr>
        <w:t>աճը։</w:t>
      </w:r>
    </w:p>
    <w:p w:rsidR="00AE25A7" w:rsidRPr="00B57DAB" w:rsidRDefault="00AE25A7" w:rsidP="00773FC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2022 թվականի հունվար-մարտ ամիսներին, հաշվի առնելով միջազգային պարենային շուկաներում գնաճային զարգացումները և գնաճային սպասումների որոշակի արագացումը, ՀՀ ԿԲ-ն բարձրացրել է վերաֆինանսավորման տոկոսադրույքը ընդհանուր առմամբ 1.5 տոկոսային կետով՝ սահմանելով այն 9.25%:</w:t>
      </w:r>
    </w:p>
    <w:p w:rsidR="00563135" w:rsidRPr="00B57DAB" w:rsidRDefault="00563135" w:rsidP="00773FC6">
      <w:pPr>
        <w:spacing w:line="360" w:lineRule="auto"/>
        <w:ind w:firstLine="567"/>
        <w:jc w:val="both"/>
        <w:rPr>
          <w:rFonts w:ascii="GHEA Grapalat" w:hAnsi="GHEA Grapalat" w:cs="GHEA Grapalat"/>
          <w:sz w:val="22"/>
          <w:szCs w:val="22"/>
          <w:lang w:val="hy-AM"/>
        </w:rPr>
      </w:pPr>
    </w:p>
    <w:p w:rsidR="00563135" w:rsidRPr="00B57DAB" w:rsidRDefault="00563135" w:rsidP="00563135">
      <w:pPr>
        <w:pStyle w:val="Heading6"/>
        <w:ind w:left="567"/>
        <w:rPr>
          <w:rFonts w:ascii="GHEA Grapalat" w:hAnsi="GHEA Grapalat"/>
          <w:b/>
          <w:sz w:val="22"/>
          <w:szCs w:val="22"/>
          <w:u w:val="none"/>
        </w:rPr>
      </w:pPr>
      <w:bookmarkStart w:id="24" w:name="_Toc71311885"/>
      <w:r w:rsidRPr="00B57DAB">
        <w:rPr>
          <w:rFonts w:ascii="GHEA Grapalat" w:hAnsi="GHEA Grapalat"/>
          <w:b/>
          <w:sz w:val="22"/>
          <w:szCs w:val="22"/>
          <w:u w:val="none"/>
        </w:rPr>
        <w:t>Արտաքին առևտուր, արտահանում և ներմուծում</w:t>
      </w:r>
      <w:bookmarkEnd w:id="24"/>
    </w:p>
    <w:p w:rsidR="00AE25A7" w:rsidRPr="00B57DAB" w:rsidRDefault="00AE25A7" w:rsidP="00773FC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Արտաքին առևտուր (դոլարային արտահայտությամբ)</w:t>
      </w:r>
      <w:r w:rsidRPr="00B57DAB">
        <w:rPr>
          <w:rFonts w:ascii="GHEA Grapalat" w:hAnsi="GHEA Grapalat" w:cs="GHEA Grapalat"/>
          <w:b/>
          <w:i/>
          <w:sz w:val="22"/>
          <w:szCs w:val="22"/>
          <w:vertAlign w:val="superscript"/>
          <w:lang w:val="hy-AM"/>
        </w:rPr>
        <w:footnoteReference w:id="12"/>
      </w:r>
      <w:r w:rsidRPr="00B57DAB">
        <w:rPr>
          <w:rFonts w:ascii="GHEA Grapalat" w:hAnsi="GHEA Grapalat" w:cs="GHEA Grapalat"/>
          <w:b/>
          <w:i/>
          <w:sz w:val="22"/>
          <w:szCs w:val="22"/>
          <w:lang w:val="hy-AM"/>
        </w:rPr>
        <w:t>:</w:t>
      </w:r>
      <w:r w:rsidRPr="00B57DAB">
        <w:rPr>
          <w:rFonts w:ascii="GHEA Grapalat" w:hAnsi="GHEA Grapalat" w:cs="GHEA Grapalat"/>
          <w:sz w:val="22"/>
          <w:szCs w:val="22"/>
          <w:lang w:val="hy-AM"/>
        </w:rPr>
        <w:t xml:space="preserve"> 2022 թվականի առաջին եռամսյակում ներքին և արտաքին պահանջարկի վերականգնման պայմաններում գրանցվել է արտաքին ապրանքաշրջանառության երկնիշ աճ։ Արտաքին ապրանքաշրջանառությունը 2022 թվականի առաջին եռամսյակում կազմել է 2098 մլն ԱՄՆ դոլար` նախորդ տարվա համեմատ աճելով 38.5%-ով: Հաշվետու ժամանակահատվածում արձանագրվել է դոլարային արտահայտությամբ արտահանման և ներմուծման աճ. արտահանումն աճել է 26.9%</w:t>
      </w:r>
      <w:r w:rsidRPr="00B57DAB">
        <w:rPr>
          <w:rFonts w:ascii="GHEA Grapalat" w:hAnsi="GHEA Grapalat" w:cs="GHEA Grapalat"/>
          <w:sz w:val="22"/>
          <w:szCs w:val="22"/>
          <w:lang w:val="hy-AM"/>
        </w:rPr>
        <w:noBreakHyphen/>
        <w:t>ով` կազմելով 731.8 մլն ԱՄՆ դոլար, իսկ ներմուծումը` 45.6%-ով և կազմել 1336.2 մլն ԱՄՆ դոլար: Տարեսկզբից արձանագրված ա</w:t>
      </w:r>
      <w:r w:rsidR="00315B98">
        <w:rPr>
          <w:rFonts w:ascii="GHEA Grapalat" w:hAnsi="GHEA Grapalat" w:cs="GHEA Grapalat"/>
          <w:sz w:val="22"/>
          <w:szCs w:val="22"/>
          <w:lang w:val="hy-AM"/>
        </w:rPr>
        <w:t>րտաքին առևտրի աճի բարձր տեմպերը</w:t>
      </w:r>
      <w:r w:rsidR="00315B98">
        <w:rPr>
          <w:rFonts w:ascii="GHEA Grapalat" w:hAnsi="GHEA Grapalat" w:cs="GHEA Grapalat"/>
          <w:sz w:val="22"/>
          <w:szCs w:val="22"/>
        </w:rPr>
        <w:t>,</w:t>
      </w:r>
      <w:r w:rsidRPr="00B57DAB">
        <w:rPr>
          <w:rFonts w:ascii="GHEA Grapalat" w:hAnsi="GHEA Grapalat" w:cs="GHEA Grapalat"/>
          <w:sz w:val="22"/>
          <w:szCs w:val="22"/>
          <w:lang w:val="hy-AM"/>
        </w:rPr>
        <w:t xml:space="preserve"> ՌԴ-ի և Ուկրաինայի միջև հակամարտության և ՌԴ-ի նկատմամբ կիրառվող աննախադեպ պատժամիջոցների բացասական ազդեցություններով պայմանավորված</w:t>
      </w:r>
      <w:r w:rsidR="00315B98">
        <w:rPr>
          <w:rFonts w:ascii="GHEA Grapalat" w:hAnsi="GHEA Grapalat" w:cs="GHEA Grapalat"/>
          <w:sz w:val="22"/>
          <w:szCs w:val="22"/>
        </w:rPr>
        <w:t>,</w:t>
      </w:r>
      <w:r w:rsidRPr="00B57DAB">
        <w:rPr>
          <w:rFonts w:ascii="GHEA Grapalat" w:hAnsi="GHEA Grapalat" w:cs="GHEA Grapalat"/>
          <w:sz w:val="22"/>
          <w:szCs w:val="22"/>
          <w:lang w:val="hy-AM"/>
        </w:rPr>
        <w:t xml:space="preserve"> մարտ ամսից սկսել են դանդաղել, և արդեն իսկ մարտին նախորդ՝ 2021 թվականի մարտի համեմատ արտահանումն աճել է ընդամենը 4.0%</w:t>
      </w:r>
      <w:r w:rsidR="00315B98">
        <w:rPr>
          <w:rFonts w:ascii="GHEA Grapalat" w:hAnsi="GHEA Grapalat" w:cs="GHEA Grapalat"/>
          <w:sz w:val="22"/>
          <w:szCs w:val="22"/>
        </w:rPr>
        <w:t>-ով</w:t>
      </w:r>
      <w:r w:rsidRPr="00B57DAB">
        <w:rPr>
          <w:rFonts w:ascii="GHEA Grapalat" w:hAnsi="GHEA Grapalat" w:cs="GHEA Grapalat"/>
          <w:sz w:val="22"/>
          <w:szCs w:val="22"/>
          <w:lang w:val="hy-AM"/>
        </w:rPr>
        <w:t>, իսկ ներմուծումը՝ 22.5%</w:t>
      </w:r>
      <w:r w:rsidR="00315B98">
        <w:rPr>
          <w:rFonts w:ascii="GHEA Grapalat" w:hAnsi="GHEA Grapalat" w:cs="GHEA Grapalat"/>
          <w:sz w:val="22"/>
          <w:szCs w:val="22"/>
        </w:rPr>
        <w:t>-ով</w:t>
      </w:r>
      <w:r w:rsidRPr="00B57DAB">
        <w:rPr>
          <w:rFonts w:ascii="GHEA Grapalat" w:hAnsi="GHEA Grapalat" w:cs="GHEA Grapalat"/>
          <w:sz w:val="22"/>
          <w:szCs w:val="22"/>
          <w:lang w:val="hy-AM"/>
        </w:rPr>
        <w:t xml:space="preserve">։ </w:t>
      </w:r>
    </w:p>
    <w:p w:rsidR="00AE25A7" w:rsidRPr="00B57DAB" w:rsidRDefault="00AE25A7" w:rsidP="00773FC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Արտահանման համեմատ ներմուծման առաջանցիկ աճով պայմանավորված` ընթացիկ տարվա առաջին երեք ամիսներին ապրանքների գծով արտաքին առևտրի բացասական մնացորդը նախորդ տարվա նկատմամբ վատթարացել է (75.5%-ով) և կազմել 634.5 մլն ԱՄՆ դոլար:</w:t>
      </w:r>
    </w:p>
    <w:p w:rsidR="00AE25A7" w:rsidRPr="00B57DAB" w:rsidRDefault="00AE25A7" w:rsidP="007A1FD8">
      <w:pPr>
        <w:pStyle w:val="a8"/>
        <w:numPr>
          <w:ilvl w:val="0"/>
          <w:numId w:val="30"/>
        </w:numPr>
        <w:ind w:left="0" w:firstLine="0"/>
        <w:jc w:val="both"/>
        <w:rPr>
          <w:sz w:val="22"/>
          <w:szCs w:val="22"/>
        </w:rPr>
      </w:pPr>
      <w:r w:rsidRPr="00B57DAB">
        <w:rPr>
          <w:sz w:val="22"/>
          <w:szCs w:val="22"/>
        </w:rPr>
        <w:lastRenderedPageBreak/>
        <w:t>Առևտրային հաշվեկշռի դինամիկան հունվար-մարտ ամիսներին (մլն ԱՄՆ դոլար)</w:t>
      </w:r>
      <w:r w:rsidRPr="00B57DAB">
        <w:rPr>
          <w:sz w:val="22"/>
          <w:szCs w:val="22"/>
          <w:vertAlign w:val="superscript"/>
        </w:rPr>
        <w:footnoteReference w:id="13"/>
      </w:r>
    </w:p>
    <w:p w:rsidR="00AE25A7" w:rsidRPr="00B57DAB" w:rsidRDefault="00AE25A7" w:rsidP="00AE25A7">
      <w:pPr>
        <w:spacing w:line="360" w:lineRule="auto"/>
        <w:jc w:val="center"/>
        <w:rPr>
          <w:rFonts w:ascii="GHEA Grapalat" w:eastAsia="GHEA Grapalat" w:hAnsi="GHEA Grapalat" w:cs="GHEA Grapalat"/>
          <w:sz w:val="22"/>
          <w:szCs w:val="22"/>
        </w:rPr>
      </w:pPr>
      <w:r w:rsidRPr="00B57DAB">
        <w:rPr>
          <w:rFonts w:ascii="GHEA Grapalat" w:hAnsi="GHEA Grapalat" w:cs="Sylfaen"/>
          <w:noProof/>
          <w:sz w:val="22"/>
          <w:szCs w:val="22"/>
        </w:rPr>
        <w:drawing>
          <wp:inline distT="0" distB="0" distL="0" distR="0" wp14:anchorId="6629BE7C" wp14:editId="6A7D9913">
            <wp:extent cx="6147880" cy="2217906"/>
            <wp:effectExtent l="0" t="0" r="24765" b="1143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D5E98" w:rsidRPr="00B57DAB" w:rsidRDefault="005D5E98" w:rsidP="005D5E98">
      <w:pPr>
        <w:spacing w:line="360" w:lineRule="auto"/>
        <w:ind w:firstLine="567"/>
        <w:jc w:val="both"/>
        <w:rPr>
          <w:rFonts w:ascii="GHEA Grapalat" w:hAnsi="GHEA Grapalat" w:cs="GHEA Grapalat"/>
          <w:sz w:val="22"/>
          <w:szCs w:val="22"/>
        </w:rPr>
      </w:pPr>
    </w:p>
    <w:p w:rsidR="00AE25A7" w:rsidRPr="00B57DAB" w:rsidRDefault="00AE25A7" w:rsidP="005D5E98">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Արտահանում:</w:t>
      </w:r>
      <w:r w:rsidRPr="00B57DAB">
        <w:rPr>
          <w:rFonts w:ascii="GHEA Grapalat" w:hAnsi="GHEA Grapalat" w:cs="GHEA Grapalat"/>
          <w:sz w:val="22"/>
          <w:szCs w:val="22"/>
          <w:lang w:val="hy-AM"/>
        </w:rPr>
        <w:t xml:space="preserve"> 2022 թվականի առաջին եռամսյակում արձանագրվել է արտահանման 26.9% աճ` հիմնականում պայմանավորված արտաքին պահանջարկի վերականգնմամբ և միջազգային շուկայում մետաղների գների բարձր մակարդակով: 2022 թվականի մարտ ամսին՝ ՌԴ-ի և Ուկրիանիայի միջև հակամարտության և ՌԴ-ի նկատմամբ կիրառվող պատժամիջոցների բացասական ազդեցությունների, արդյունքում ՌԴ տնտեսական աճի դանդաղման, մարտ ամսին ռուբլու նկատմամբ դրամի արժևորման, մատակարարման շղթաների որոշակի խաթարման, ինչպես նաև Թեղուտի հանքավայրի շահագործման ժամանակավոր կասեցման արդյունքում արձանագրվել է արտահանման աճի տեմպերի զգալի դանդաղում</w:t>
      </w:r>
      <w:r w:rsidR="005D5E98" w:rsidRPr="00B57DAB">
        <w:rPr>
          <w:rFonts w:ascii="GHEA Grapalat" w:hAnsi="GHEA Grapalat" w:cs="GHEA Grapalat"/>
          <w:sz w:val="22"/>
          <w:szCs w:val="22"/>
        </w:rPr>
        <w:t>.</w:t>
      </w:r>
      <w:r w:rsidRPr="00B57DAB">
        <w:rPr>
          <w:rFonts w:ascii="GHEA Grapalat" w:hAnsi="GHEA Grapalat" w:cs="GHEA Grapalat"/>
          <w:sz w:val="22"/>
          <w:szCs w:val="22"/>
          <w:lang w:val="hy-AM"/>
        </w:rPr>
        <w:t xml:space="preserve"> ընթացիկ տարվա մարտ ամսին արտահանումն աճել է ընդամենը 4%-ով (տե՛ս ստորև ներկայացված գծապատկերը): 2022 թվականի առաջին եռամսյակի ընթացքում ՀՀ ապրանքների արտահանման 26.9% անվանական դոլարային աճը հիմնականում պայմանավորվել է իրական ծավալների աճով:</w:t>
      </w:r>
      <w:r w:rsidR="00CE395B">
        <w:rPr>
          <w:rFonts w:ascii="GHEA Grapalat" w:hAnsi="GHEA Grapalat" w:cs="GHEA Grapalat"/>
          <w:sz w:val="22"/>
          <w:szCs w:val="22"/>
          <w:lang w:val="hy-AM"/>
        </w:rPr>
        <w:t xml:space="preserve"> </w:t>
      </w:r>
    </w:p>
    <w:p w:rsidR="00AE25A7" w:rsidRPr="00B57DAB" w:rsidRDefault="00AE25A7" w:rsidP="005D5E98">
      <w:pPr>
        <w:spacing w:line="360" w:lineRule="auto"/>
        <w:ind w:firstLine="567"/>
        <w:jc w:val="both"/>
        <w:rPr>
          <w:rFonts w:ascii="GHEA Grapalat" w:hAnsi="GHEA Grapalat" w:cs="GHEA Grapalat"/>
          <w:sz w:val="22"/>
          <w:szCs w:val="22"/>
        </w:rPr>
      </w:pPr>
    </w:p>
    <w:p w:rsidR="005D5E98" w:rsidRPr="00B57DAB" w:rsidRDefault="005D5E98" w:rsidP="005D5E98">
      <w:pPr>
        <w:spacing w:line="360" w:lineRule="auto"/>
        <w:ind w:firstLine="567"/>
        <w:jc w:val="both"/>
        <w:rPr>
          <w:rFonts w:ascii="GHEA Grapalat" w:hAnsi="GHEA Grapalat" w:cs="GHEA Grapalat"/>
          <w:sz w:val="22"/>
          <w:szCs w:val="22"/>
        </w:rPr>
      </w:pPr>
    </w:p>
    <w:p w:rsidR="005D5E98" w:rsidRPr="00B57DAB" w:rsidRDefault="005D5E98" w:rsidP="005D5E98">
      <w:pPr>
        <w:spacing w:line="360" w:lineRule="auto"/>
        <w:ind w:firstLine="567"/>
        <w:jc w:val="both"/>
        <w:rPr>
          <w:rFonts w:ascii="GHEA Grapalat" w:hAnsi="GHEA Grapalat" w:cs="GHEA Grapalat"/>
          <w:sz w:val="22"/>
          <w:szCs w:val="22"/>
        </w:rPr>
      </w:pPr>
    </w:p>
    <w:p w:rsidR="00AE25A7" w:rsidRPr="00B57DAB" w:rsidRDefault="00AE25A7" w:rsidP="005D5E98">
      <w:pPr>
        <w:pStyle w:val="a8"/>
        <w:numPr>
          <w:ilvl w:val="0"/>
          <w:numId w:val="30"/>
        </w:numPr>
        <w:ind w:left="0" w:firstLine="0"/>
        <w:jc w:val="both"/>
        <w:rPr>
          <w:sz w:val="22"/>
          <w:szCs w:val="22"/>
        </w:rPr>
      </w:pPr>
      <w:r w:rsidRPr="00B57DAB">
        <w:rPr>
          <w:sz w:val="22"/>
          <w:szCs w:val="22"/>
        </w:rPr>
        <w:lastRenderedPageBreak/>
        <w:t>Ապրանքների արտահանման միտումները հունվար-մարտ ամիսներին</w:t>
      </w:r>
      <w:r w:rsidRPr="00B57DAB">
        <w:rPr>
          <w:sz w:val="22"/>
          <w:szCs w:val="22"/>
          <w:vertAlign w:val="superscript"/>
        </w:rPr>
        <w:footnoteReference w:id="14"/>
      </w:r>
    </w:p>
    <w:p w:rsidR="00AE25A7" w:rsidRPr="00B57DAB" w:rsidRDefault="00AE25A7" w:rsidP="00AE25A7">
      <w:pPr>
        <w:keepNext/>
        <w:spacing w:line="276" w:lineRule="auto"/>
        <w:jc w:val="both"/>
        <w:rPr>
          <w:rFonts w:ascii="GHEA Grapalat" w:eastAsia="GHEA Grapalat" w:hAnsi="GHEA Grapalat" w:cs="GHEA Grapalat"/>
          <w:b/>
          <w:sz w:val="22"/>
          <w:szCs w:val="22"/>
          <w:lang w:val="ru-RU"/>
        </w:rPr>
      </w:pPr>
      <w:r w:rsidRPr="00B57DAB">
        <w:rPr>
          <w:rFonts w:ascii="GHEA Grapalat" w:eastAsia="Calibri" w:hAnsi="GHEA Grapalat"/>
          <w:bCs/>
          <w:i/>
          <w:iCs/>
          <w:noProof/>
          <w:szCs w:val="22"/>
        </w:rPr>
        <w:drawing>
          <wp:anchor distT="0" distB="0" distL="114300" distR="114300" simplePos="0" relativeHeight="251662336" behindDoc="1" locked="0" layoutInCell="1" allowOverlap="1" wp14:anchorId="6F665BAB" wp14:editId="44D7B34B">
            <wp:simplePos x="0" y="0"/>
            <wp:positionH relativeFrom="margin">
              <wp:align>right</wp:align>
            </wp:positionH>
            <wp:positionV relativeFrom="paragraph">
              <wp:posOffset>7961</wp:posOffset>
            </wp:positionV>
            <wp:extent cx="3200400" cy="2227580"/>
            <wp:effectExtent l="0" t="0" r="0" b="1270"/>
            <wp:wrapTight wrapText="bothSides">
              <wp:wrapPolygon edited="0">
                <wp:start x="0" y="0"/>
                <wp:lineTo x="0" y="21612"/>
                <wp:lineTo x="21600" y="21612"/>
                <wp:lineTo x="21600" y="0"/>
                <wp:lineTo x="0" y="0"/>
              </wp:wrapPolygon>
            </wp:wrapTight>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B57DAB">
        <w:rPr>
          <w:rFonts w:ascii="GHEA Grapalat" w:hAnsi="GHEA Grapalat"/>
          <w:noProof/>
          <w:sz w:val="22"/>
          <w:szCs w:val="22"/>
        </w:rPr>
        <w:drawing>
          <wp:inline distT="0" distB="0" distL="0" distR="0" wp14:anchorId="22062DF9" wp14:editId="621E683F">
            <wp:extent cx="3156439" cy="2268415"/>
            <wp:effectExtent l="0" t="0" r="6350" b="1778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D5E98" w:rsidRPr="00B57DAB" w:rsidRDefault="005D5E98" w:rsidP="005D5E98">
      <w:pPr>
        <w:spacing w:line="360" w:lineRule="auto"/>
        <w:ind w:firstLine="567"/>
        <w:jc w:val="both"/>
        <w:rPr>
          <w:rFonts w:ascii="GHEA Grapalat" w:hAnsi="GHEA Grapalat" w:cs="GHEA Grapalat"/>
          <w:sz w:val="22"/>
          <w:szCs w:val="22"/>
          <w:lang w:val="hy-AM"/>
        </w:rPr>
      </w:pPr>
    </w:p>
    <w:p w:rsidR="00AE25A7" w:rsidRPr="00B57DAB" w:rsidRDefault="00AE25A7" w:rsidP="005D5E98">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2022 թվականի առաջին եռամսյակի արտահանման աճին գրեթե բոլոր ապրանքախմբերը դրական նպաստում են ունեցել, մասնավորապես դրական են նպաստել հետևյալ ապրանքախմբերը</w:t>
      </w:r>
      <w:r w:rsidR="005D5E98" w:rsidRPr="00B57DAB">
        <w:rPr>
          <w:rFonts w:ascii="GHEA Grapalat" w:hAnsi="GHEA Grapalat" w:cs="GHEA Grapalat"/>
          <w:sz w:val="22"/>
          <w:szCs w:val="22"/>
        </w:rPr>
        <w:t>.</w:t>
      </w:r>
      <w:r w:rsidRPr="00B57DAB">
        <w:rPr>
          <w:rFonts w:ascii="GHEA Grapalat" w:hAnsi="GHEA Grapalat" w:cs="GHEA Grapalat"/>
          <w:sz w:val="22"/>
          <w:szCs w:val="22"/>
          <w:lang w:val="hy-AM"/>
        </w:rPr>
        <w:t xml:space="preserve"> «Ոչ թանկարժեք մետաղներ և դրանցից պատրաստված իրեր» (6.1 տոկոսային կետով), «Թանկարժեք և կիսաթանկարժեք քարեր, թանկարժեք մետաղներ դրանցից իրեր» (5.6 տոկոսային կետով), «Հանքահումքային արտադրանք» (4.6 տոկոսային կետով), «Պատրաստի սննդի արտադրանք» (4 տոկոսային կետով)</w:t>
      </w:r>
      <w:r w:rsidRPr="00B57DAB">
        <w:rPr>
          <w:rFonts w:ascii="GHEA Grapalat" w:hAnsi="GHEA Grapalat"/>
          <w:sz w:val="22"/>
          <w:szCs w:val="22"/>
          <w:vertAlign w:val="superscript"/>
          <w:lang w:val="hy-AM"/>
        </w:rPr>
        <w:footnoteReference w:id="15"/>
      </w:r>
      <w:r w:rsidRPr="00B57DAB">
        <w:rPr>
          <w:rFonts w:ascii="GHEA Grapalat" w:hAnsi="GHEA Grapalat" w:cs="GHEA Grapalat"/>
          <w:sz w:val="22"/>
          <w:szCs w:val="22"/>
          <w:lang w:val="hy-AM"/>
        </w:rPr>
        <w:t xml:space="preserve">: Իսկ ընթացիկ տարվա մարտ ամսին վերը նշված խմբերից նպաստումները բացասական են դարձել «Հանքահումքային արտադրանք» (-5.3 տոկոսային կետով) և «Պատրաստի սննդի արտադրանք» (-2.1 տոկոսային կետով) ապրանքախմբերի մասով։ Հիմնականում ՌԴ-ի պահանջարկի նվազման հետևանքով բացասական էր նաև «Կենդանի կենդանիներ և կենդանական ծագման արտադրանք» (-1.6 տոկոսային կետով) ապրանքախմբի նպաստումը: Ընդ որում՝ մարտ ամսին </w:t>
      </w:r>
      <w:r w:rsidR="00F54FA3">
        <w:rPr>
          <w:rFonts w:ascii="GHEA Grapalat" w:hAnsi="GHEA Grapalat" w:cs="GHEA Grapalat"/>
          <w:sz w:val="22"/>
          <w:szCs w:val="22"/>
          <w:lang w:val="hy-AM"/>
        </w:rPr>
        <w:t>արտահանման տեմպերի նվազմանը մեծ</w:t>
      </w:r>
      <w:r w:rsidR="00F54FA3">
        <w:rPr>
          <w:rFonts w:ascii="GHEA Grapalat" w:hAnsi="GHEA Grapalat" w:cs="GHEA Grapalat"/>
          <w:sz w:val="22"/>
          <w:szCs w:val="22"/>
        </w:rPr>
        <w:t xml:space="preserve"> </w:t>
      </w:r>
      <w:r w:rsidRPr="00B57DAB">
        <w:rPr>
          <w:rFonts w:ascii="GHEA Grapalat" w:hAnsi="GHEA Grapalat" w:cs="GHEA Grapalat"/>
          <w:sz w:val="22"/>
          <w:szCs w:val="22"/>
          <w:lang w:val="hy-AM"/>
        </w:rPr>
        <w:t>մասամբ նպաստել է դեպի ՌԴ արտահանման 22.5%-ով նվազումը։</w:t>
      </w:r>
    </w:p>
    <w:p w:rsidR="00AE25A7" w:rsidRPr="00B57DAB" w:rsidRDefault="00AE25A7" w:rsidP="005D5E98">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Ներմուծում:</w:t>
      </w:r>
      <w:r w:rsidRPr="00B57DAB">
        <w:rPr>
          <w:rFonts w:ascii="GHEA Grapalat" w:hAnsi="GHEA Grapalat" w:cs="GHEA Grapalat"/>
          <w:sz w:val="22"/>
          <w:szCs w:val="22"/>
          <w:lang w:val="hy-AM"/>
        </w:rPr>
        <w:t xml:space="preserve"> 2022 թվականի առաջին եռամսյակում արձանագրվել է ներմուծման երկնիշ աճ` հիմնականում պայմանավորված տնտեսական ակտիվությամբ և ներքին պահանջարկի վերականգնմամբ: Դոլարային արտահայտությամբ ապրանքների ներմուծման աճը 2022 թվականի առաջին եռամսյակում կազմել է 45.6%: Այդուհանդերձ՝ եռամսյակի ընթացքում նկատվել է ներմուծման աճի տեմպի դանդաղում, և արդեն իսկ մարտ ամսին աճը կազմել է 22.5% (տե՛ս ստորև ներկայացված գծապատկերը): 2022 թվականի հունվար-մարտ ամիսների ՀՀ ապրանքների ներմուծման անվանական դուլարային աճը հիմնականում պայմանավորվել է իրական ծավալների աճով: </w:t>
      </w:r>
    </w:p>
    <w:p w:rsidR="00AE25A7" w:rsidRPr="00B57DAB" w:rsidRDefault="00AE25A7" w:rsidP="005D5E98">
      <w:pPr>
        <w:pStyle w:val="a8"/>
        <w:numPr>
          <w:ilvl w:val="0"/>
          <w:numId w:val="30"/>
        </w:numPr>
        <w:ind w:left="0" w:firstLine="0"/>
        <w:jc w:val="both"/>
        <w:rPr>
          <w:sz w:val="22"/>
          <w:szCs w:val="22"/>
        </w:rPr>
      </w:pPr>
      <w:r w:rsidRPr="00B57DAB">
        <w:rPr>
          <w:sz w:val="22"/>
          <w:szCs w:val="22"/>
        </w:rPr>
        <w:lastRenderedPageBreak/>
        <w:t>Ապրանքների ներմուծման միտումները հունվար-մարտ ամիսներին</w:t>
      </w:r>
      <w:r w:rsidRPr="00B57DAB">
        <w:rPr>
          <w:sz w:val="22"/>
          <w:szCs w:val="22"/>
          <w:vertAlign w:val="superscript"/>
        </w:rPr>
        <w:footnoteReference w:id="16"/>
      </w:r>
    </w:p>
    <w:p w:rsidR="00AE25A7" w:rsidRPr="00B57DAB" w:rsidRDefault="00AE25A7" w:rsidP="00AE25A7">
      <w:pPr>
        <w:spacing w:before="240" w:line="360" w:lineRule="auto"/>
        <w:jc w:val="both"/>
        <w:rPr>
          <w:rFonts w:ascii="GHEA Grapalat" w:eastAsia="GHEA Grapalat" w:hAnsi="GHEA Grapalat" w:cs="GHEA Grapalat"/>
          <w:sz w:val="22"/>
          <w:szCs w:val="22"/>
        </w:rPr>
      </w:pPr>
      <w:r w:rsidRPr="00B57DAB">
        <w:rPr>
          <w:rFonts w:ascii="GHEA Grapalat" w:eastAsia="Calibri" w:hAnsi="GHEA Grapalat"/>
          <w:i/>
          <w:noProof/>
          <w:sz w:val="22"/>
          <w:szCs w:val="22"/>
        </w:rPr>
        <w:drawing>
          <wp:anchor distT="0" distB="0" distL="114300" distR="114300" simplePos="0" relativeHeight="251661312" behindDoc="1" locked="0" layoutInCell="1" allowOverlap="1" wp14:anchorId="43921AF8" wp14:editId="57216D04">
            <wp:simplePos x="0" y="0"/>
            <wp:positionH relativeFrom="page">
              <wp:posOffset>4065270</wp:posOffset>
            </wp:positionH>
            <wp:positionV relativeFrom="paragraph">
              <wp:posOffset>31750</wp:posOffset>
            </wp:positionV>
            <wp:extent cx="3174365" cy="2125345"/>
            <wp:effectExtent l="0" t="0" r="6985" b="8255"/>
            <wp:wrapTight wrapText="bothSides">
              <wp:wrapPolygon edited="0">
                <wp:start x="0" y="0"/>
                <wp:lineTo x="0" y="21684"/>
                <wp:lineTo x="21648" y="21684"/>
                <wp:lineTo x="21648" y="0"/>
                <wp:lineTo x="0" y="0"/>
              </wp:wrapPolygon>
            </wp:wrapTight>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B57DAB">
        <w:rPr>
          <w:rFonts w:ascii="GHEA Grapalat" w:hAnsi="GHEA Grapalat"/>
          <w:noProof/>
          <w:sz w:val="22"/>
          <w:szCs w:val="22"/>
        </w:rPr>
        <w:drawing>
          <wp:inline distT="0" distB="0" distL="0" distR="0" wp14:anchorId="386012E3" wp14:editId="58C15F89">
            <wp:extent cx="3183775" cy="2119746"/>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D5E98" w:rsidRPr="00B57DAB" w:rsidRDefault="005D5E98" w:rsidP="005D5E98">
      <w:pPr>
        <w:spacing w:line="360" w:lineRule="auto"/>
        <w:ind w:firstLine="567"/>
        <w:jc w:val="both"/>
        <w:rPr>
          <w:rFonts w:ascii="GHEA Grapalat" w:hAnsi="GHEA Grapalat" w:cs="GHEA Grapalat"/>
          <w:sz w:val="22"/>
          <w:szCs w:val="22"/>
          <w:lang w:val="hy-AM"/>
        </w:rPr>
      </w:pPr>
    </w:p>
    <w:p w:rsidR="00AE25A7" w:rsidRPr="00B57DAB" w:rsidRDefault="00AE25A7" w:rsidP="005D5E98">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2022 թվականի հունվար-մարտ ամիսներին գրեթե բոլոր ապրանքախմբերով տեղի է ունեցել ներմուծման՝ դոլարային արտահայտությամբ ծավալների աճ: Աճին ամենամեծ նպաստումն են ունեցել «Հանքահումքային արտադրանք» (8 տոկոսային կետ, հիմնականում՝ բնական գազ), «Վերգետնյա, օդային և ջրային տրանսպորտի միջոցներ»</w:t>
      </w:r>
      <w:r w:rsidR="00CE395B">
        <w:rPr>
          <w:rFonts w:ascii="GHEA Grapalat" w:hAnsi="GHEA Grapalat" w:cs="GHEA Grapalat"/>
          <w:sz w:val="22"/>
          <w:szCs w:val="22"/>
          <w:lang w:val="hy-AM"/>
        </w:rPr>
        <w:t xml:space="preserve"> </w:t>
      </w:r>
      <w:r w:rsidRPr="00B57DAB">
        <w:rPr>
          <w:rFonts w:ascii="GHEA Grapalat" w:hAnsi="GHEA Grapalat" w:cs="GHEA Grapalat"/>
          <w:sz w:val="22"/>
          <w:szCs w:val="22"/>
          <w:lang w:val="hy-AM"/>
        </w:rPr>
        <w:t>(6 տոկոսային կետ), «Քիմիայի և դրա հետ կապված արդյունաբերության ճյուղերի արտադրանք» (5.3 տոկոսային կետ), «Մեքենաներ, սարքավորումներ և մեխանիզմներ» (4.9 տոկոսային կետ), «Ոչ թանկարժեք մետաղներ և դրանցից պատրաստված իրեր» (4.9 տոկոսային կետ) ապրանքախմբերը</w:t>
      </w:r>
      <w:r w:rsidRPr="00B57DAB">
        <w:rPr>
          <w:rFonts w:ascii="GHEA Grapalat" w:hAnsi="GHEA Grapalat"/>
          <w:sz w:val="22"/>
          <w:szCs w:val="22"/>
          <w:vertAlign w:val="superscript"/>
          <w:lang w:val="hy-AM"/>
        </w:rPr>
        <w:footnoteReference w:id="17"/>
      </w:r>
      <w:r w:rsidRPr="00B57DAB">
        <w:rPr>
          <w:rFonts w:ascii="GHEA Grapalat" w:hAnsi="GHEA Grapalat" w:cs="GHEA Grapalat"/>
          <w:sz w:val="22"/>
          <w:szCs w:val="22"/>
          <w:lang w:val="hy-AM"/>
        </w:rPr>
        <w:t xml:space="preserve">։ </w:t>
      </w:r>
    </w:p>
    <w:p w:rsidR="00AE25A7" w:rsidRPr="00B57DAB" w:rsidRDefault="00AE25A7" w:rsidP="005D5E98">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Ըստ ապրանքների լայն տնտեսական դասակարգման</w:t>
      </w:r>
      <w:r w:rsidRPr="00B57DAB">
        <w:rPr>
          <w:rFonts w:ascii="GHEA Grapalat" w:hAnsi="GHEA Grapalat" w:cs="GHEA Grapalat"/>
          <w:sz w:val="22"/>
          <w:szCs w:val="22"/>
          <w:vertAlign w:val="superscript"/>
          <w:lang w:val="hy-AM"/>
        </w:rPr>
        <w:footnoteReference w:id="18"/>
      </w:r>
      <w:r w:rsidRPr="00B57DAB">
        <w:rPr>
          <w:rFonts w:ascii="GHEA Grapalat" w:hAnsi="GHEA Grapalat" w:cs="GHEA Grapalat"/>
          <w:sz w:val="22"/>
          <w:szCs w:val="22"/>
          <w:lang w:val="hy-AM"/>
        </w:rPr>
        <w:t xml:space="preserve"> ներմուծման հունվար-մարտ ամիսների աճին նպաստել են «Միջանկյալ սպառման ապրանքները» (25.5 տոկոսային կետով, այդ թվում՝ արդյունաբերական մատակարարումները՝ 13.5 տոկոսային կետով), «Վերջնական սպառման ապրանքները» (10.5 տոկոսային կետով), «Կապիտալ ապրանքները» (5 տոկոսային կետով) և «Մարդատար ավտոմեքենաները» (4.7 տոկոսային կետով)</w:t>
      </w:r>
      <w:r w:rsidRPr="00B57DAB">
        <w:rPr>
          <w:rFonts w:ascii="GHEA Grapalat" w:hAnsi="GHEA Grapalat"/>
          <w:sz w:val="22"/>
          <w:szCs w:val="22"/>
          <w:vertAlign w:val="superscript"/>
          <w:lang w:val="hy-AM"/>
        </w:rPr>
        <w:footnoteReference w:id="19"/>
      </w:r>
      <w:r w:rsidRPr="00B57DAB">
        <w:rPr>
          <w:rFonts w:ascii="GHEA Grapalat" w:hAnsi="GHEA Grapalat" w:cs="GHEA Grapalat"/>
          <w:sz w:val="22"/>
          <w:szCs w:val="22"/>
          <w:lang w:val="hy-AM"/>
        </w:rPr>
        <w:t xml:space="preserve">: </w:t>
      </w:r>
    </w:p>
    <w:p w:rsidR="00AE25A7" w:rsidRPr="00B57DAB" w:rsidRDefault="00AE25A7" w:rsidP="005D5E98">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Ներմուծման ծածկման գործակից:</w:t>
      </w:r>
      <w:r w:rsidRPr="00B57DAB">
        <w:rPr>
          <w:rFonts w:ascii="GHEA Grapalat" w:hAnsi="GHEA Grapalat" w:cs="GHEA Grapalat"/>
          <w:sz w:val="22"/>
          <w:szCs w:val="22"/>
          <w:lang w:val="hy-AM"/>
        </w:rPr>
        <w:t xml:space="preserve"> Ներմուծման ծածկման գործակ</w:t>
      </w:r>
      <w:sdt>
        <w:sdtPr>
          <w:rPr>
            <w:rFonts w:ascii="GHEA Grapalat" w:hAnsi="GHEA Grapalat" w:cs="GHEA Grapalat"/>
            <w:sz w:val="22"/>
            <w:szCs w:val="22"/>
            <w:lang w:val="hy-AM"/>
          </w:rPr>
          <w:tag w:val="goog_rdk_99"/>
          <w:id w:val="-1759356997"/>
        </w:sdtPr>
        <w:sdtEndPr/>
        <w:sdtContent>
          <w:r w:rsidRPr="00B57DAB">
            <w:rPr>
              <w:rFonts w:ascii="GHEA Grapalat" w:hAnsi="GHEA Grapalat" w:cs="GHEA Grapalat"/>
              <w:sz w:val="22"/>
              <w:szCs w:val="22"/>
              <w:lang w:val="hy-AM"/>
            </w:rPr>
            <w:t>ի</w:t>
          </w:r>
        </w:sdtContent>
      </w:sdt>
      <w:r w:rsidRPr="00B57DAB">
        <w:rPr>
          <w:rFonts w:ascii="GHEA Grapalat" w:hAnsi="GHEA Grapalat" w:cs="GHEA Grapalat"/>
          <w:sz w:val="22"/>
          <w:szCs w:val="22"/>
          <w:lang w:val="hy-AM"/>
        </w:rPr>
        <w:t>ցը 2022 թվականի առաջին եռամսյակում նախորդ տարվա նույն ժամանակահատվածի նկատմամբ վատթարացել է. 2022 թվականի հունվար-մարտին արտահանման հաշվին ֆինան</w:t>
      </w:r>
      <w:r w:rsidR="005D5E98" w:rsidRPr="00B57DAB">
        <w:rPr>
          <w:rFonts w:ascii="GHEA Grapalat" w:hAnsi="GHEA Grapalat" w:cs="GHEA Grapalat"/>
          <w:sz w:val="22"/>
          <w:szCs w:val="22"/>
          <w:lang w:val="hy-AM"/>
        </w:rPr>
        <w:t>սավորվել է ներմուծման շուրջ 64%</w:t>
      </w:r>
      <w:r w:rsidR="005D5E98" w:rsidRPr="00B57DAB">
        <w:rPr>
          <w:rFonts w:ascii="GHEA Grapalat" w:hAnsi="GHEA Grapalat" w:cs="GHEA Grapalat"/>
          <w:sz w:val="22"/>
          <w:szCs w:val="22"/>
        </w:rPr>
        <w:noBreakHyphen/>
      </w:r>
      <w:r w:rsidRPr="00B57DAB">
        <w:rPr>
          <w:rFonts w:ascii="GHEA Grapalat" w:hAnsi="GHEA Grapalat" w:cs="GHEA Grapalat"/>
          <w:sz w:val="22"/>
          <w:szCs w:val="22"/>
          <w:lang w:val="hy-AM"/>
        </w:rPr>
        <w:t>ը:</w:t>
      </w:r>
    </w:p>
    <w:p w:rsidR="00AE25A7" w:rsidRPr="00B57DAB" w:rsidRDefault="00AE25A7" w:rsidP="00F533F8">
      <w:pPr>
        <w:spacing w:line="360" w:lineRule="auto"/>
        <w:ind w:firstLine="567"/>
        <w:jc w:val="both"/>
        <w:rPr>
          <w:rFonts w:ascii="GHEA Grapalat" w:hAnsi="GHEA Grapalat" w:cs="GHEA Grapalat"/>
          <w:sz w:val="22"/>
          <w:szCs w:val="22"/>
          <w:lang w:val="hy-AM"/>
        </w:rPr>
      </w:pPr>
    </w:p>
    <w:p w:rsidR="00AE25A7" w:rsidRPr="00B57DAB" w:rsidRDefault="00AE25A7" w:rsidP="005D5E98">
      <w:pPr>
        <w:pStyle w:val="a8"/>
        <w:numPr>
          <w:ilvl w:val="0"/>
          <w:numId w:val="30"/>
        </w:numPr>
        <w:ind w:left="0" w:firstLine="0"/>
        <w:jc w:val="both"/>
        <w:rPr>
          <w:sz w:val="22"/>
          <w:szCs w:val="22"/>
        </w:rPr>
      </w:pPr>
      <w:r w:rsidRPr="00B57DAB">
        <w:rPr>
          <w:sz w:val="22"/>
          <w:szCs w:val="22"/>
        </w:rPr>
        <w:lastRenderedPageBreak/>
        <w:t>Ներմուծման ծածկման գործակիցը հունվար-մարտ ամիսներին</w:t>
      </w:r>
      <w:r w:rsidRPr="00B57DAB">
        <w:rPr>
          <w:sz w:val="22"/>
          <w:szCs w:val="22"/>
          <w:vertAlign w:val="superscript"/>
        </w:rPr>
        <w:footnoteReference w:id="20"/>
      </w:r>
    </w:p>
    <w:p w:rsidR="00AE25A7" w:rsidRPr="00B57DAB" w:rsidRDefault="00AE25A7" w:rsidP="00AE25A7">
      <w:pPr>
        <w:jc w:val="center"/>
        <w:rPr>
          <w:rFonts w:ascii="GHEA Grapalat" w:eastAsia="GHEA Grapalat" w:hAnsi="GHEA Grapalat" w:cs="GHEA Grapalat"/>
          <w:i/>
          <w:color w:val="000000"/>
          <w:sz w:val="22"/>
          <w:szCs w:val="22"/>
        </w:rPr>
      </w:pPr>
      <w:r w:rsidRPr="00B57DAB">
        <w:rPr>
          <w:rFonts w:ascii="GHEA Grapalat" w:hAnsi="GHEA Grapalat"/>
          <w:i/>
          <w:noProof/>
          <w:sz w:val="22"/>
          <w:szCs w:val="22"/>
        </w:rPr>
        <w:drawing>
          <wp:inline distT="0" distB="0" distL="0" distR="0" wp14:anchorId="0D7AF924" wp14:editId="41B4A2E9">
            <wp:extent cx="6365631" cy="2083777"/>
            <wp:effectExtent l="0" t="0" r="16510" b="12065"/>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E25A7" w:rsidRPr="00B57DAB" w:rsidRDefault="00AE25A7" w:rsidP="00606D99">
      <w:pPr>
        <w:spacing w:line="360" w:lineRule="auto"/>
        <w:ind w:firstLine="567"/>
        <w:jc w:val="both"/>
        <w:rPr>
          <w:rFonts w:ascii="GHEA Grapalat" w:hAnsi="GHEA Grapalat" w:cs="GHEA Grapalat"/>
          <w:sz w:val="22"/>
          <w:szCs w:val="22"/>
          <w:lang w:val="hy-AM"/>
        </w:rPr>
      </w:pPr>
    </w:p>
    <w:p w:rsidR="00AE25A7" w:rsidRPr="00B57DAB" w:rsidRDefault="00AE25A7" w:rsidP="00A40FA7">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Արտաքին առևտուրն ըստ գործընկեր երկրների:</w:t>
      </w:r>
      <w:r w:rsidRPr="00B57DAB">
        <w:rPr>
          <w:rFonts w:ascii="GHEA Grapalat" w:hAnsi="GHEA Grapalat" w:cs="GHEA Grapalat"/>
          <w:sz w:val="22"/>
          <w:szCs w:val="22"/>
          <w:lang w:val="hy-AM"/>
        </w:rPr>
        <w:t xml:space="preserve"> 2022 թվականի առաջին եռամսյակում արտաքին առևտրաշրջանառության աշխարհագրական կառուցվածքում էական փոփոխություններ տեղի չեն ունեցել: ՀՀ արտաքին առևտրաշրջանառության 32.9%-ը բաժին է ընկել ԱՊՀ (որից 31.1%</w:t>
      </w:r>
      <w:r w:rsidRPr="00B57DAB">
        <w:rPr>
          <w:rFonts w:ascii="GHEA Grapalat" w:hAnsi="GHEA Grapalat" w:cs="GHEA Grapalat"/>
          <w:sz w:val="22"/>
          <w:szCs w:val="22"/>
          <w:lang w:val="hy-AM"/>
        </w:rPr>
        <w:noBreakHyphen/>
        <w:t>ը` ԵԱՏՄ), 19.4%-ը` ԵՄ և 47.7%-ը` այլ երկրներին: ՀՀ արտաքին առևտրաշրջանառության մեջ ԱՊՀ երկրների կշիռ</w:t>
      </w:r>
      <w:r w:rsidR="00F54FA3">
        <w:rPr>
          <w:rFonts w:ascii="GHEA Grapalat" w:hAnsi="GHEA Grapalat" w:cs="GHEA Grapalat"/>
          <w:sz w:val="22"/>
          <w:szCs w:val="22"/>
        </w:rPr>
        <w:t>ն</w:t>
      </w:r>
      <w:r w:rsidRPr="00B57DAB">
        <w:rPr>
          <w:rFonts w:ascii="GHEA Grapalat" w:hAnsi="GHEA Grapalat" w:cs="GHEA Grapalat"/>
          <w:sz w:val="22"/>
          <w:szCs w:val="22"/>
          <w:lang w:val="hy-AM"/>
        </w:rPr>
        <w:t xml:space="preserve"> ավելացել է 0</w:t>
      </w:r>
      <w:r w:rsidR="00A40FA7" w:rsidRPr="00B57DAB">
        <w:rPr>
          <w:rFonts w:ascii="GHEA Grapalat" w:hAnsi="GHEA Grapalat" w:cs="GHEA Grapalat"/>
          <w:sz w:val="22"/>
          <w:szCs w:val="22"/>
        </w:rPr>
        <w:t>.</w:t>
      </w:r>
      <w:r w:rsidRPr="00B57DAB">
        <w:rPr>
          <w:rFonts w:ascii="GHEA Grapalat" w:hAnsi="GHEA Grapalat" w:cs="GHEA Grapalat"/>
          <w:sz w:val="22"/>
          <w:szCs w:val="22"/>
          <w:lang w:val="hy-AM"/>
        </w:rPr>
        <w:t>1, այլ երկրներինը՝ 1.7 տոկոսային կետով, իս</w:t>
      </w:r>
      <w:r w:rsidR="00F54FA3">
        <w:rPr>
          <w:rFonts w:ascii="GHEA Grapalat" w:hAnsi="GHEA Grapalat" w:cs="GHEA Grapalat"/>
          <w:sz w:val="22"/>
          <w:szCs w:val="22"/>
          <w:lang w:val="hy-AM"/>
        </w:rPr>
        <w:t>կ ԵՄ-ի կշիռը նվազել է 1.8 տոկոս</w:t>
      </w:r>
      <w:r w:rsidRPr="00B57DAB">
        <w:rPr>
          <w:rFonts w:ascii="GHEA Grapalat" w:hAnsi="GHEA Grapalat" w:cs="GHEA Grapalat"/>
          <w:sz w:val="22"/>
          <w:szCs w:val="22"/>
          <w:lang w:val="hy-AM"/>
        </w:rPr>
        <w:t>ա</w:t>
      </w:r>
      <w:r w:rsidR="00F54FA3">
        <w:rPr>
          <w:rFonts w:ascii="GHEA Grapalat" w:hAnsi="GHEA Grapalat" w:cs="GHEA Grapalat"/>
          <w:sz w:val="22"/>
          <w:szCs w:val="22"/>
        </w:rPr>
        <w:t>յ</w:t>
      </w:r>
      <w:r w:rsidRPr="00B57DAB">
        <w:rPr>
          <w:rFonts w:ascii="GHEA Grapalat" w:hAnsi="GHEA Grapalat" w:cs="GHEA Grapalat"/>
          <w:sz w:val="22"/>
          <w:szCs w:val="22"/>
          <w:lang w:val="hy-AM"/>
        </w:rPr>
        <w:t xml:space="preserve">ին կետով։ </w:t>
      </w:r>
    </w:p>
    <w:p w:rsidR="00AE25A7" w:rsidRPr="00B57DAB" w:rsidRDefault="00AE25A7" w:rsidP="00A40FA7">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ՀՀ խոշոր առևտրային գործընկեր՝ ՌԴ-ի հետ առևտրաշրջանառության ծավալները ռուս-ուկրաինական հակամարտության արդյունքում սկսել են նվազել, մասնավորապես՝ մարտ ամսին արտահանումը դեպի ՌԴ նվազել է 22.5%-ով, իսկ ներմուծումը ՌԴ-ից ցուցաբերել է աճի տեմպի դանդաղման միտում: 2022 թվականի առաջին եռամսյակում ՌԴ-ի կշիռը կազմել է ՀՀ առևտրաշրջանառության 30.2%: ՀՀ խոշոր առևտրային գործընկերների շրջանակում ընդգրկված էին նաև Չինաստանը (14.9%), Իրանը (6.7%), Գերմանիան (4.2%) և այլն:</w:t>
      </w:r>
    </w:p>
    <w:p w:rsidR="00AE25A7" w:rsidRPr="00B57DAB" w:rsidRDefault="00AE25A7" w:rsidP="00606D99">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Դրամական փոխանցումներ</w:t>
      </w:r>
      <w:r w:rsidRPr="00B57DAB">
        <w:rPr>
          <w:rFonts w:ascii="GHEA Grapalat" w:hAnsi="GHEA Grapalat" w:cs="GHEA Grapalat"/>
          <w:b/>
          <w:i/>
          <w:sz w:val="22"/>
          <w:szCs w:val="22"/>
          <w:vertAlign w:val="superscript"/>
          <w:lang w:val="hy-AM"/>
        </w:rPr>
        <w:footnoteReference w:id="21"/>
      </w:r>
      <w:r w:rsidRPr="00B57DAB">
        <w:rPr>
          <w:rFonts w:ascii="GHEA Grapalat" w:hAnsi="GHEA Grapalat" w:cs="GHEA Grapalat"/>
          <w:b/>
          <w:i/>
          <w:sz w:val="22"/>
          <w:szCs w:val="22"/>
          <w:lang w:val="hy-AM"/>
        </w:rPr>
        <w:t>:</w:t>
      </w:r>
      <w:r w:rsidRPr="00B57DAB">
        <w:rPr>
          <w:rFonts w:ascii="GHEA Grapalat" w:hAnsi="GHEA Grapalat" w:cs="GHEA Grapalat"/>
          <w:sz w:val="22"/>
          <w:szCs w:val="22"/>
          <w:lang w:val="hy-AM"/>
        </w:rPr>
        <w:t xml:space="preserve"> Չնայած տարեսկզբի բարձր աճի տեմպերին՝ մարտ ամսին ռուս-ուկրաինական հակամարտության արդյունքում նկատվել է դրամական փոխանցումների զուտ ներհոսքի նվազում։ Տնտեսություն ներհոսող դրամական զուտ փոխանցումները (առևտրային և ոչ առևտրային բնույթի) 2022 թվականի հունվար-մարտ ամիսներին աճ</w:t>
      </w:r>
      <w:r w:rsidR="00606D99" w:rsidRPr="00B57DAB">
        <w:rPr>
          <w:rFonts w:ascii="GHEA Grapalat" w:hAnsi="GHEA Grapalat" w:cs="GHEA Grapalat"/>
          <w:sz w:val="22"/>
          <w:szCs w:val="22"/>
          <w:lang w:val="hy-AM"/>
        </w:rPr>
        <w:t>ել են մոտ 44.9%-ով, հիմնականում</w:t>
      </w:r>
      <w:r w:rsidR="00606D99" w:rsidRPr="00B57DAB">
        <w:rPr>
          <w:rFonts w:ascii="GHEA Grapalat" w:hAnsi="GHEA Grapalat" w:cs="GHEA Grapalat"/>
          <w:sz w:val="22"/>
          <w:szCs w:val="22"/>
        </w:rPr>
        <w:t>`</w:t>
      </w:r>
      <w:r w:rsidRPr="00B57DAB">
        <w:rPr>
          <w:rFonts w:ascii="GHEA Grapalat" w:hAnsi="GHEA Grapalat" w:cs="GHEA Grapalat"/>
          <w:sz w:val="22"/>
          <w:szCs w:val="22"/>
          <w:lang w:val="hy-AM"/>
        </w:rPr>
        <w:t xml:space="preserve"> ՌԴ-ի հաշվին: Այդուհանդերձ գնահատվում է, որ ռուս-ուկրաինական հակամարտության և ՌԴ-ի նկատմամբ կիրառվող պատժամիջոցների պայմաններում դրամական </w:t>
      </w:r>
      <w:r w:rsidRPr="00B57DAB">
        <w:rPr>
          <w:rFonts w:ascii="GHEA Grapalat" w:hAnsi="GHEA Grapalat" w:cs="GHEA Grapalat"/>
          <w:sz w:val="22"/>
          <w:szCs w:val="22"/>
          <w:lang w:val="hy-AM"/>
        </w:rPr>
        <w:lastRenderedPageBreak/>
        <w:t xml:space="preserve">փոխանցումների կառուցվածքում ոչ առևտրային բնույթի դրամական փոխանցումների անկում է արձանագրվել, հատկապես՝ մարտ ամսին, ինչին նպաստել է նաև ռուսական ռուբլու կտրուկ արժեզրկումը: </w:t>
      </w:r>
    </w:p>
    <w:p w:rsidR="00563135" w:rsidRPr="00B57DAB" w:rsidRDefault="00563135" w:rsidP="00606D99">
      <w:pPr>
        <w:spacing w:line="360" w:lineRule="auto"/>
        <w:ind w:firstLine="567"/>
        <w:jc w:val="both"/>
        <w:rPr>
          <w:rFonts w:ascii="GHEA Grapalat" w:hAnsi="GHEA Grapalat" w:cs="GHEA Grapalat"/>
          <w:sz w:val="22"/>
          <w:szCs w:val="22"/>
          <w:lang w:val="hy-AM"/>
        </w:rPr>
      </w:pPr>
    </w:p>
    <w:p w:rsidR="00563135" w:rsidRPr="00B57DAB" w:rsidRDefault="00563135" w:rsidP="00563135">
      <w:pPr>
        <w:pStyle w:val="Heading6"/>
        <w:ind w:left="567"/>
        <w:rPr>
          <w:rFonts w:ascii="GHEA Grapalat" w:hAnsi="GHEA Grapalat"/>
          <w:b/>
          <w:sz w:val="22"/>
          <w:szCs w:val="22"/>
          <w:u w:val="none"/>
        </w:rPr>
      </w:pPr>
      <w:bookmarkStart w:id="25" w:name="_Toc71311886"/>
      <w:r w:rsidRPr="00B57DAB">
        <w:rPr>
          <w:rFonts w:ascii="GHEA Grapalat" w:hAnsi="GHEA Grapalat"/>
          <w:b/>
          <w:sz w:val="22"/>
          <w:szCs w:val="22"/>
          <w:u w:val="none"/>
        </w:rPr>
        <w:t>Փոխարժեքներ</w:t>
      </w:r>
      <w:bookmarkEnd w:id="25"/>
    </w:p>
    <w:p w:rsidR="00AE25A7" w:rsidRPr="00B57DAB" w:rsidRDefault="00AE25A7" w:rsidP="00606D99">
      <w:pPr>
        <w:spacing w:line="360" w:lineRule="auto"/>
        <w:ind w:firstLine="567"/>
        <w:jc w:val="both"/>
        <w:rPr>
          <w:rFonts w:ascii="GHEA Grapalat" w:hAnsi="GHEA Grapalat" w:cs="GHEA Grapalat"/>
          <w:sz w:val="22"/>
          <w:szCs w:val="22"/>
          <w:lang w:val="hy-AM"/>
        </w:rPr>
      </w:pPr>
      <w:bookmarkStart w:id="26" w:name="_Toc6389323"/>
      <w:bookmarkStart w:id="27" w:name="_Toc37763590"/>
      <w:r w:rsidRPr="00B57DAB">
        <w:rPr>
          <w:rFonts w:ascii="GHEA Grapalat" w:hAnsi="GHEA Grapalat" w:cs="GHEA Grapalat"/>
          <w:b/>
          <w:i/>
          <w:sz w:val="22"/>
          <w:szCs w:val="22"/>
          <w:lang w:val="hy-AM"/>
        </w:rPr>
        <w:t>Երկկողմանի փոխարժեքներ։</w:t>
      </w:r>
      <w:r w:rsidRPr="00B57DAB">
        <w:rPr>
          <w:rFonts w:ascii="GHEA Grapalat" w:hAnsi="GHEA Grapalat" w:cs="GHEA Grapalat"/>
          <w:sz w:val="22"/>
          <w:szCs w:val="22"/>
          <w:lang w:val="hy-AM"/>
        </w:rPr>
        <w:t xml:space="preserve"> 2022 թվականի առաջին եռամսյակում ՀՀ դրամը շարունակել է դրսևորել կայուն վարքագիծ, բացառությամբ մարտ ամսի, երբ ռուս-ուկրաինական հակամարտության հետևանքով ռուբլու ժամանակավոր տատանումը որոշ չափով փոխանցվել է նաև ՀՀ արտարժութային շուկա։ ԱՄՆ դոլարի, Եվրոյի և ռուսական ռուբլու նկատմամբ ՀՀ դրամը 2022 թվականի առաջին եռամսյակում պահպանվել է 2021 թվականի տարեվերջի մակարդակներին մոտ, իսկ առաջին եռամսյակի</w:t>
      </w:r>
      <w:r w:rsidR="00F54FA3">
        <w:rPr>
          <w:rFonts w:ascii="GHEA Grapalat" w:hAnsi="GHEA Grapalat" w:cs="GHEA Grapalat"/>
          <w:sz w:val="22"/>
          <w:szCs w:val="22"/>
        </w:rPr>
        <w:t xml:space="preserve"> համեմատ</w:t>
      </w:r>
      <w:r w:rsidRPr="00B57DAB">
        <w:rPr>
          <w:rFonts w:ascii="GHEA Grapalat" w:hAnsi="GHEA Grapalat" w:cs="GHEA Grapalat"/>
          <w:sz w:val="22"/>
          <w:szCs w:val="22"/>
          <w:lang w:val="hy-AM"/>
        </w:rPr>
        <w:t xml:space="preserve"> արժևորվել է համապատասխանաբար 7.8%</w:t>
      </w:r>
      <w:r w:rsidR="00606D99" w:rsidRPr="00B57DAB">
        <w:rPr>
          <w:rFonts w:ascii="GHEA Grapalat" w:hAnsi="GHEA Grapalat" w:cs="GHEA Grapalat"/>
          <w:sz w:val="22"/>
          <w:szCs w:val="22"/>
        </w:rPr>
        <w:t>-ով</w:t>
      </w:r>
      <w:r w:rsidRPr="00B57DAB">
        <w:rPr>
          <w:rFonts w:ascii="GHEA Grapalat" w:hAnsi="GHEA Grapalat" w:cs="GHEA Grapalat"/>
          <w:sz w:val="22"/>
          <w:szCs w:val="22"/>
          <w:lang w:val="hy-AM"/>
        </w:rPr>
        <w:t>, 15</w:t>
      </w:r>
      <w:r w:rsidR="00606D99" w:rsidRPr="00B57DAB">
        <w:rPr>
          <w:rFonts w:ascii="GHEA Grapalat" w:hAnsi="GHEA Grapalat" w:cs="GHEA Grapalat"/>
          <w:sz w:val="22"/>
          <w:szCs w:val="22"/>
        </w:rPr>
        <w:t>.</w:t>
      </w:r>
      <w:r w:rsidRPr="00B57DAB">
        <w:rPr>
          <w:rFonts w:ascii="GHEA Grapalat" w:hAnsi="GHEA Grapalat" w:cs="GHEA Grapalat"/>
          <w:sz w:val="22"/>
          <w:szCs w:val="22"/>
          <w:lang w:val="hy-AM"/>
        </w:rPr>
        <w:t>6%</w:t>
      </w:r>
      <w:r w:rsidR="00606D99" w:rsidRPr="00B57DAB">
        <w:rPr>
          <w:rFonts w:ascii="GHEA Grapalat" w:hAnsi="GHEA Grapalat" w:cs="GHEA Grapalat"/>
          <w:sz w:val="22"/>
          <w:szCs w:val="22"/>
        </w:rPr>
        <w:t>-ով</w:t>
      </w:r>
      <w:r w:rsidRPr="00B57DAB">
        <w:rPr>
          <w:rFonts w:ascii="GHEA Grapalat" w:hAnsi="GHEA Grapalat" w:cs="GHEA Grapalat"/>
          <w:sz w:val="22"/>
          <w:szCs w:val="22"/>
          <w:lang w:val="hy-AM"/>
        </w:rPr>
        <w:t xml:space="preserve"> և 22.1%-ով։ </w:t>
      </w:r>
    </w:p>
    <w:p w:rsidR="00AE25A7" w:rsidRPr="00B57DAB" w:rsidRDefault="00AE25A7" w:rsidP="00606D99">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Տարվա առաջին եռամսյակում ԱՄՆ դոլարի և եվրոյի նկատմամբ ՀՀ դրամը տարեսկզբից մինչև փետրվարի վերջ հարաբերականորեն կայուն վարքագիծ է դրսևորել, որից հետո ռուս-ուկրաինական</w:t>
      </w:r>
      <w:r w:rsidR="00F54FA3">
        <w:rPr>
          <w:rFonts w:ascii="GHEA Grapalat" w:hAnsi="GHEA Grapalat" w:cs="GHEA Grapalat"/>
          <w:sz w:val="22"/>
          <w:szCs w:val="22"/>
          <w:lang w:val="hy-AM"/>
        </w:rPr>
        <w:t xml:space="preserve"> հակամարտությ</w:t>
      </w:r>
      <w:r w:rsidR="00F54FA3">
        <w:rPr>
          <w:rFonts w:ascii="GHEA Grapalat" w:hAnsi="GHEA Grapalat" w:cs="GHEA Grapalat"/>
          <w:sz w:val="22"/>
          <w:szCs w:val="22"/>
        </w:rPr>
        <w:t>ա</w:t>
      </w:r>
      <w:r w:rsidR="00B57DAB">
        <w:rPr>
          <w:rFonts w:ascii="GHEA Grapalat" w:hAnsi="GHEA Grapalat" w:cs="GHEA Grapalat"/>
          <w:sz w:val="22"/>
          <w:szCs w:val="22"/>
          <w:lang w:val="hy-AM"/>
        </w:rPr>
        <w:t>ն և ՌԴ-ի նկատմամ</w:t>
      </w:r>
      <w:r w:rsidRPr="00B57DAB">
        <w:rPr>
          <w:rFonts w:ascii="GHEA Grapalat" w:hAnsi="GHEA Grapalat" w:cs="GHEA Grapalat"/>
          <w:sz w:val="22"/>
          <w:szCs w:val="22"/>
          <w:lang w:val="hy-AM"/>
        </w:rPr>
        <w:t>բ կիրառված պատժամիջոցների հետևանքով ձևավորված անորոշություններով</w:t>
      </w:r>
      <w:r w:rsidR="00F54FA3">
        <w:rPr>
          <w:rFonts w:ascii="GHEA Grapalat" w:hAnsi="GHEA Grapalat" w:cs="GHEA Grapalat"/>
          <w:sz w:val="22"/>
          <w:szCs w:val="22"/>
        </w:rPr>
        <w:t xml:space="preserve"> </w:t>
      </w:r>
      <w:r w:rsidRPr="00B57DAB">
        <w:rPr>
          <w:rFonts w:ascii="GHEA Grapalat" w:hAnsi="GHEA Grapalat" w:cs="GHEA Grapalat"/>
          <w:sz w:val="22"/>
          <w:szCs w:val="22"/>
          <w:lang w:val="hy-AM"/>
        </w:rPr>
        <w:t>պայմանավորված</w:t>
      </w:r>
      <w:r w:rsidR="00F54FA3">
        <w:rPr>
          <w:rFonts w:ascii="GHEA Grapalat" w:hAnsi="GHEA Grapalat" w:cs="GHEA Grapalat"/>
          <w:sz w:val="22"/>
          <w:szCs w:val="22"/>
        </w:rPr>
        <w:t>՝</w:t>
      </w:r>
      <w:r w:rsidRPr="00B57DAB">
        <w:rPr>
          <w:rFonts w:ascii="GHEA Grapalat" w:hAnsi="GHEA Grapalat" w:cs="GHEA Grapalat"/>
          <w:sz w:val="22"/>
          <w:szCs w:val="22"/>
          <w:lang w:val="hy-AM"/>
        </w:rPr>
        <w:t xml:space="preserve"> կարճատև արժեզրկվել է, այնուհետև կայունացման միտումներ է դրսևորել։</w:t>
      </w:r>
    </w:p>
    <w:p w:rsidR="00AE25A7" w:rsidRPr="00B57DAB" w:rsidRDefault="00B57DAB" w:rsidP="00606D99">
      <w:pPr>
        <w:spacing w:line="360" w:lineRule="auto"/>
        <w:ind w:firstLine="567"/>
        <w:jc w:val="both"/>
        <w:rPr>
          <w:rFonts w:ascii="GHEA Grapalat" w:hAnsi="GHEA Grapalat" w:cs="GHEA Grapalat"/>
          <w:sz w:val="22"/>
          <w:szCs w:val="22"/>
          <w:lang w:val="hy-AM"/>
        </w:rPr>
      </w:pPr>
      <w:r>
        <w:rPr>
          <w:rFonts w:ascii="GHEA Grapalat" w:hAnsi="GHEA Grapalat" w:cs="GHEA Grapalat"/>
          <w:sz w:val="22"/>
          <w:szCs w:val="22"/>
          <w:lang w:val="hy-AM"/>
        </w:rPr>
        <w:t>Ռուբլու նկատմամ</w:t>
      </w:r>
      <w:r w:rsidR="00AE25A7" w:rsidRPr="00B57DAB">
        <w:rPr>
          <w:rFonts w:ascii="GHEA Grapalat" w:hAnsi="GHEA Grapalat" w:cs="GHEA Grapalat"/>
          <w:sz w:val="22"/>
          <w:szCs w:val="22"/>
          <w:lang w:val="hy-AM"/>
        </w:rPr>
        <w:t>բ դրամը դրսևորել է հայելային պատկեր</w:t>
      </w:r>
      <w:r w:rsidR="00606D99" w:rsidRPr="00B57DAB">
        <w:rPr>
          <w:rFonts w:ascii="GHEA Grapalat" w:hAnsi="GHEA Grapalat" w:cs="GHEA Grapalat"/>
          <w:sz w:val="22"/>
          <w:szCs w:val="22"/>
        </w:rPr>
        <w:t>.</w:t>
      </w:r>
      <w:r w:rsidR="00AE25A7" w:rsidRPr="00B57DAB">
        <w:rPr>
          <w:rFonts w:ascii="GHEA Grapalat" w:hAnsi="GHEA Grapalat" w:cs="GHEA Grapalat"/>
          <w:sz w:val="22"/>
          <w:szCs w:val="22"/>
          <w:lang w:val="hy-AM"/>
        </w:rPr>
        <w:t xml:space="preserve"> տարեսկզբից կայուն վարքագիծ է նկատվել, այնուհետև փետրվարի վերջին տասնօրյակից մինչև մարտի առաջին տասնօրյակը կտրուկ արժևորվել է՝ միջազգային շուկայում ռուսական ռուբլու դիրքի թուլացմամբ պայմանավորված, այնուհետև արժեզրկվել է՝ վերադառնալով գրեթե մինչև ռուս-ուկրաինական հակամարտությունը դրսևորած</w:t>
      </w:r>
      <w:r w:rsidR="00CE395B">
        <w:rPr>
          <w:rFonts w:ascii="GHEA Grapalat" w:hAnsi="GHEA Grapalat" w:cs="GHEA Grapalat"/>
          <w:sz w:val="22"/>
          <w:szCs w:val="22"/>
          <w:lang w:val="hy-AM"/>
        </w:rPr>
        <w:t xml:space="preserve"> </w:t>
      </w:r>
      <w:r w:rsidR="00AE25A7" w:rsidRPr="00B57DAB">
        <w:rPr>
          <w:rFonts w:ascii="GHEA Grapalat" w:hAnsi="GHEA Grapalat" w:cs="GHEA Grapalat"/>
          <w:sz w:val="22"/>
          <w:szCs w:val="22"/>
          <w:lang w:val="hy-AM"/>
        </w:rPr>
        <w:t>նախապատերազմական մակարդակին։</w:t>
      </w:r>
      <w:r w:rsidR="00CE395B">
        <w:rPr>
          <w:rFonts w:ascii="GHEA Grapalat" w:hAnsi="GHEA Grapalat" w:cs="GHEA Grapalat"/>
          <w:sz w:val="22"/>
          <w:szCs w:val="22"/>
          <w:lang w:val="hy-AM"/>
        </w:rPr>
        <w:t xml:space="preserve"> </w:t>
      </w:r>
    </w:p>
    <w:p w:rsidR="00AE25A7" w:rsidRPr="00B57DAB" w:rsidRDefault="00AE25A7" w:rsidP="00606D99">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Ընթացիկ տարվա առաջին եռամսյակում ԱՄՆ դոլարի նկատմամբ դրամի առավելագույն տատանումը կազմել է 13.2%, իսկ փոխարժեքի առավելագույն՝ 5</w:t>
      </w:r>
      <w:r w:rsidR="00606D99" w:rsidRPr="00B57DAB">
        <w:rPr>
          <w:rFonts w:ascii="GHEA Grapalat" w:hAnsi="GHEA Grapalat" w:cs="GHEA Grapalat"/>
          <w:sz w:val="22"/>
          <w:szCs w:val="22"/>
          <w:lang w:val="hy-AM"/>
        </w:rPr>
        <w:t>18.3 արժեքը գրանցվել է մարտի 11</w:t>
      </w:r>
      <w:r w:rsidR="00606D99" w:rsidRPr="00B57DAB">
        <w:rPr>
          <w:rFonts w:ascii="GHEA Grapalat" w:hAnsi="GHEA Grapalat" w:cs="GHEA Grapalat"/>
          <w:sz w:val="22"/>
          <w:szCs w:val="22"/>
        </w:rPr>
        <w:noBreakHyphen/>
      </w:r>
      <w:r w:rsidRPr="00B57DAB">
        <w:rPr>
          <w:rFonts w:ascii="GHEA Grapalat" w:hAnsi="GHEA Grapalat" w:cs="GHEA Grapalat"/>
          <w:sz w:val="22"/>
          <w:szCs w:val="22"/>
          <w:lang w:val="hy-AM"/>
        </w:rPr>
        <w:t>ին</w:t>
      </w:r>
      <w:r w:rsidR="00606D99" w:rsidRPr="00B57DAB">
        <w:rPr>
          <w:rFonts w:ascii="GHEA Grapalat" w:hAnsi="GHEA Grapalat" w:cs="GHEA Grapalat"/>
          <w:sz w:val="22"/>
          <w:szCs w:val="22"/>
        </w:rPr>
        <w:t>,</w:t>
      </w:r>
      <w:r w:rsidRPr="00B57DAB">
        <w:rPr>
          <w:rFonts w:ascii="GHEA Grapalat" w:hAnsi="GHEA Grapalat" w:cs="GHEA Grapalat"/>
          <w:sz w:val="22"/>
          <w:szCs w:val="22"/>
          <w:lang w:val="hy-AM"/>
        </w:rPr>
        <w:t xml:space="preserve"> եռամսյակի միջին փոխարժեքը կազմել է 48</w:t>
      </w:r>
      <w:r w:rsidR="00354C6A" w:rsidRPr="00B57DAB">
        <w:rPr>
          <w:rFonts w:ascii="GHEA Grapalat" w:hAnsi="GHEA Grapalat" w:cs="GHEA Grapalat"/>
          <w:sz w:val="22"/>
          <w:szCs w:val="22"/>
          <w:lang w:val="hy-AM"/>
        </w:rPr>
        <w:t>6.4</w:t>
      </w:r>
      <w:r w:rsidRPr="00B57DAB">
        <w:rPr>
          <w:rFonts w:ascii="GHEA Grapalat" w:hAnsi="GHEA Grapalat" w:cs="GHEA Grapalat"/>
          <w:sz w:val="22"/>
          <w:szCs w:val="22"/>
          <w:lang w:val="hy-AM"/>
        </w:rPr>
        <w:t>, ռուսական ռուբլու տատանումը կազմել է 43</w:t>
      </w:r>
      <w:r w:rsidR="00606D99" w:rsidRPr="00B57DAB">
        <w:rPr>
          <w:rFonts w:ascii="GHEA Grapalat" w:hAnsi="GHEA Grapalat" w:cs="GHEA Grapalat"/>
          <w:sz w:val="22"/>
          <w:szCs w:val="22"/>
        </w:rPr>
        <w:t>.</w:t>
      </w:r>
      <w:r w:rsidRPr="00B57DAB">
        <w:rPr>
          <w:rFonts w:ascii="GHEA Grapalat" w:hAnsi="GHEA Grapalat" w:cs="GHEA Grapalat"/>
          <w:sz w:val="22"/>
          <w:szCs w:val="22"/>
          <w:lang w:val="hy-AM"/>
        </w:rPr>
        <w:t xml:space="preserve">4%, իսկ եվրոյինը՝ շուրջ 17%։ </w:t>
      </w:r>
    </w:p>
    <w:p w:rsidR="00AE25A7" w:rsidRPr="00B57DAB" w:rsidRDefault="00AE25A7" w:rsidP="00606D99">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Արդյունավետ փոխարժեքներ:</w:t>
      </w:r>
      <w:r w:rsidRPr="00B57DAB">
        <w:rPr>
          <w:rFonts w:ascii="GHEA Grapalat" w:hAnsi="GHEA Grapalat" w:cs="GHEA Grapalat"/>
          <w:sz w:val="22"/>
          <w:szCs w:val="22"/>
          <w:lang w:val="hy-AM"/>
        </w:rPr>
        <w:t xml:space="preserve"> ՀՀ արտաքին առևտրի տեսանկյունից առավել կարևոր արժույթներից բաղկացած զամբյուղի նկատմամբ ՀՀ ազգային արժույթն անվանական արտահայտությամբ 2022 թվականի առաջին երկու ամիսներին արժևորվել է 13.1%-ով, իսկ իրակա</w:t>
      </w:r>
      <w:r w:rsidR="00F54FA3">
        <w:rPr>
          <w:rFonts w:ascii="GHEA Grapalat" w:hAnsi="GHEA Grapalat" w:cs="GHEA Grapalat"/>
          <w:sz w:val="22"/>
          <w:szCs w:val="22"/>
          <w:lang w:val="hy-AM"/>
        </w:rPr>
        <w:t>ն արտահայտությամբ՝ 9.6%-ով, ինչ</w:t>
      </w:r>
      <w:r w:rsidR="00F54FA3">
        <w:rPr>
          <w:rFonts w:ascii="GHEA Grapalat" w:hAnsi="GHEA Grapalat" w:cs="GHEA Grapalat"/>
          <w:sz w:val="22"/>
          <w:szCs w:val="22"/>
        </w:rPr>
        <w:t>ն</w:t>
      </w:r>
      <w:r w:rsidRPr="00B57DAB">
        <w:rPr>
          <w:rFonts w:ascii="GHEA Grapalat" w:hAnsi="GHEA Grapalat" w:cs="GHEA Grapalat"/>
          <w:sz w:val="22"/>
          <w:szCs w:val="22"/>
          <w:lang w:val="hy-AM"/>
        </w:rPr>
        <w:t xml:space="preserve"> իր բացասական ազդեցությունն է թողել</w:t>
      </w:r>
      <w:r w:rsidRPr="00B57DAB" w:rsidDel="00A327AB">
        <w:rPr>
          <w:rFonts w:ascii="GHEA Grapalat" w:hAnsi="GHEA Grapalat" w:cs="GHEA Grapalat"/>
          <w:sz w:val="22"/>
          <w:szCs w:val="22"/>
          <w:lang w:val="hy-AM"/>
        </w:rPr>
        <w:t xml:space="preserve"> </w:t>
      </w:r>
      <w:r w:rsidRPr="00B57DAB">
        <w:rPr>
          <w:rFonts w:ascii="GHEA Grapalat" w:hAnsi="GHEA Grapalat" w:cs="GHEA Grapalat"/>
          <w:sz w:val="22"/>
          <w:szCs w:val="22"/>
          <w:lang w:val="hy-AM"/>
        </w:rPr>
        <w:t>առևտրային հաշվեկշռի վրա։</w:t>
      </w:r>
    </w:p>
    <w:tbl>
      <w:tblPr>
        <w:tblStyle w:val="TableGrid912"/>
        <w:tblW w:w="10602" w:type="dxa"/>
        <w:tblInd w:w="-5" w:type="dxa"/>
        <w:tblLayout w:type="fixed"/>
        <w:tblLook w:val="04A0" w:firstRow="1" w:lastRow="0" w:firstColumn="1" w:lastColumn="0" w:noHBand="0" w:noVBand="1"/>
      </w:tblPr>
      <w:tblGrid>
        <w:gridCol w:w="5358"/>
        <w:gridCol w:w="5244"/>
      </w:tblGrid>
      <w:tr w:rsidR="00AE25A7" w:rsidRPr="00B57DAB" w:rsidTr="00606D99">
        <w:trPr>
          <w:trHeight w:val="309"/>
        </w:trPr>
        <w:tc>
          <w:tcPr>
            <w:tcW w:w="5358" w:type="dxa"/>
          </w:tcPr>
          <w:p w:rsidR="00606D99" w:rsidRPr="00B57DAB" w:rsidRDefault="00AE25A7" w:rsidP="00AE25A7">
            <w:pPr>
              <w:ind w:right="-267"/>
              <w:jc w:val="both"/>
              <w:rPr>
                <w:rFonts w:ascii="GHEA Grapalat" w:hAnsi="GHEA Grapalat" w:cs="Sylfaen"/>
                <w:sz w:val="18"/>
                <w:szCs w:val="18"/>
              </w:rPr>
            </w:pPr>
            <w:r w:rsidRPr="00B57DAB">
              <w:rPr>
                <w:rStyle w:val="Char0"/>
                <w:b/>
                <w:i/>
              </w:rPr>
              <w:lastRenderedPageBreak/>
              <w:t>Գծապատկեր 10.</w:t>
            </w:r>
            <w:r w:rsidRPr="00B57DAB">
              <w:rPr>
                <w:rFonts w:ascii="GHEA Grapalat" w:hAnsi="GHEA Grapalat" w:cs="Sylfaen"/>
                <w:b/>
                <w:i/>
                <w:sz w:val="18"/>
                <w:szCs w:val="18"/>
                <w:lang w:val="hy-AM"/>
              </w:rPr>
              <w:t xml:space="preserve"> </w:t>
            </w:r>
            <w:r w:rsidRPr="00B57DAB">
              <w:rPr>
                <w:rFonts w:ascii="GHEA Grapalat" w:hAnsi="GHEA Grapalat" w:cs="Sylfaen"/>
                <w:sz w:val="18"/>
                <w:szCs w:val="18"/>
                <w:lang w:val="hy-AM"/>
              </w:rPr>
              <w:t>ՀՀ դրամի անվանական</w:t>
            </w:r>
            <w:r w:rsidR="00606D99" w:rsidRPr="00B57DAB">
              <w:rPr>
                <w:rFonts w:ascii="GHEA Grapalat" w:hAnsi="GHEA Grapalat" w:cs="Sylfaen"/>
                <w:sz w:val="18"/>
                <w:szCs w:val="18"/>
              </w:rPr>
              <w:t xml:space="preserve"> </w:t>
            </w:r>
            <w:r w:rsidRPr="00B57DAB">
              <w:rPr>
                <w:rFonts w:ascii="GHEA Grapalat" w:hAnsi="GHEA Grapalat" w:cs="Sylfaen"/>
                <w:sz w:val="18"/>
                <w:szCs w:val="18"/>
                <w:lang w:val="hy-AM"/>
              </w:rPr>
              <w:t>փոխարժեքի</w:t>
            </w:r>
          </w:p>
          <w:p w:rsidR="00606D99" w:rsidRPr="00B57DAB" w:rsidRDefault="00AE25A7" w:rsidP="00AE25A7">
            <w:pPr>
              <w:ind w:right="-267"/>
              <w:jc w:val="both"/>
              <w:rPr>
                <w:rFonts w:ascii="GHEA Grapalat" w:hAnsi="GHEA Grapalat" w:cs="Sylfaen"/>
                <w:sz w:val="18"/>
                <w:szCs w:val="18"/>
              </w:rPr>
            </w:pPr>
            <w:r w:rsidRPr="00B57DAB">
              <w:rPr>
                <w:rFonts w:ascii="GHEA Grapalat" w:hAnsi="GHEA Grapalat" w:cs="Sylfaen"/>
                <w:sz w:val="18"/>
                <w:szCs w:val="18"/>
                <w:lang w:val="hy-AM"/>
              </w:rPr>
              <w:t xml:space="preserve"> օրական դինամիկան</w:t>
            </w:r>
            <w:r w:rsidR="00606D99" w:rsidRPr="00B57DAB">
              <w:rPr>
                <w:rFonts w:ascii="GHEA Grapalat" w:hAnsi="GHEA Grapalat" w:cs="Sylfaen"/>
                <w:sz w:val="18"/>
                <w:szCs w:val="18"/>
              </w:rPr>
              <w:t xml:space="preserve"> </w:t>
            </w:r>
            <w:r w:rsidRPr="00B57DAB">
              <w:rPr>
                <w:rFonts w:ascii="GHEA Grapalat" w:hAnsi="GHEA Grapalat" w:cs="Sylfaen"/>
                <w:sz w:val="18"/>
                <w:szCs w:val="18"/>
                <w:lang w:val="hy-AM"/>
              </w:rPr>
              <w:t>հիմնական արժույթների նկատմամբ</w:t>
            </w:r>
          </w:p>
          <w:p w:rsidR="00AE25A7" w:rsidRPr="00B57DAB" w:rsidRDefault="00AE25A7" w:rsidP="00AE25A7">
            <w:pPr>
              <w:ind w:right="-267"/>
              <w:jc w:val="both"/>
              <w:rPr>
                <w:rFonts w:ascii="GHEA Grapalat" w:hAnsi="GHEA Grapalat" w:cs="Sylfaen"/>
                <w:i/>
                <w:sz w:val="18"/>
                <w:szCs w:val="18"/>
                <w:lang w:val="hy-AM"/>
              </w:rPr>
            </w:pPr>
            <w:r w:rsidRPr="00B57DAB">
              <w:rPr>
                <w:rFonts w:ascii="GHEA Grapalat" w:hAnsi="GHEA Grapalat" w:cs="Sylfaen"/>
                <w:sz w:val="18"/>
                <w:szCs w:val="18"/>
                <w:lang w:val="hy-AM"/>
              </w:rPr>
              <w:t>(աճ՝ դրամի արժևորում</w:t>
            </w:r>
            <w:r w:rsidRPr="00B57DAB">
              <w:rPr>
                <w:rFonts w:ascii="GHEA Grapalat" w:hAnsi="GHEA Grapalat" w:cs="Sylfaen"/>
                <w:i/>
                <w:sz w:val="18"/>
                <w:szCs w:val="18"/>
                <w:lang w:val="hy-AM"/>
              </w:rPr>
              <w:t>)</w:t>
            </w:r>
          </w:p>
          <w:p w:rsidR="00AE25A7" w:rsidRPr="00B57DAB" w:rsidRDefault="00606D99" w:rsidP="00AE25A7">
            <w:pPr>
              <w:spacing w:line="276" w:lineRule="auto"/>
              <w:ind w:right="-268"/>
              <w:jc w:val="both"/>
              <w:rPr>
                <w:rFonts w:ascii="GHEA Grapalat" w:hAnsi="GHEA Grapalat" w:cs="Sylfaen"/>
                <w:i/>
                <w:sz w:val="18"/>
                <w:szCs w:val="18"/>
                <w:lang w:val="hy-AM"/>
              </w:rPr>
            </w:pPr>
            <w:r w:rsidRPr="00B57DAB">
              <w:rPr>
                <w:rFonts w:ascii="GHEA Grapalat" w:hAnsi="GHEA Grapalat" w:cs="Sylfaen"/>
                <w:noProof/>
                <w:sz w:val="18"/>
                <w:szCs w:val="18"/>
              </w:rPr>
              <w:drawing>
                <wp:anchor distT="0" distB="0" distL="114300" distR="114300" simplePos="0" relativeHeight="251664384" behindDoc="1" locked="0" layoutInCell="1" allowOverlap="1" wp14:anchorId="49DA8D66" wp14:editId="606F6A34">
                  <wp:simplePos x="0" y="0"/>
                  <wp:positionH relativeFrom="margin">
                    <wp:posOffset>43180</wp:posOffset>
                  </wp:positionH>
                  <wp:positionV relativeFrom="paragraph">
                    <wp:posOffset>65405</wp:posOffset>
                  </wp:positionV>
                  <wp:extent cx="3177540" cy="1790700"/>
                  <wp:effectExtent l="0" t="0" r="3810" b="0"/>
                  <wp:wrapTight wrapText="bothSides">
                    <wp:wrapPolygon edited="0">
                      <wp:start x="0" y="0"/>
                      <wp:lineTo x="0" y="21600"/>
                      <wp:lineTo x="21626" y="21600"/>
                      <wp:lineTo x="21626" y="0"/>
                      <wp:lineTo x="0" y="0"/>
                    </wp:wrapPolygon>
                  </wp:wrapTight>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AE25A7" w:rsidRPr="00B57DAB">
              <w:rPr>
                <w:rFonts w:ascii="GHEA Grapalat" w:hAnsi="GHEA Grapalat" w:cs="Sylfaen"/>
                <w:i/>
                <w:sz w:val="18"/>
                <w:szCs w:val="18"/>
                <w:lang w:val="hy-AM"/>
              </w:rPr>
              <w:t>Աղբյուրը՝ ՀՀ ԿԲ, ՀՀ ՖՆ հաշվարկներ</w:t>
            </w:r>
          </w:p>
        </w:tc>
        <w:tc>
          <w:tcPr>
            <w:tcW w:w="5244" w:type="dxa"/>
          </w:tcPr>
          <w:p w:rsidR="00AE25A7" w:rsidRPr="00B57DAB" w:rsidRDefault="00AE25A7" w:rsidP="00AE25A7">
            <w:pPr>
              <w:ind w:right="217"/>
              <w:jc w:val="both"/>
              <w:rPr>
                <w:rFonts w:ascii="GHEA Grapalat" w:hAnsi="GHEA Grapalat" w:cs="Sylfaen"/>
                <w:sz w:val="18"/>
                <w:szCs w:val="18"/>
              </w:rPr>
            </w:pPr>
            <w:r w:rsidRPr="00B57DAB">
              <w:rPr>
                <w:rStyle w:val="Char0"/>
                <w:b/>
                <w:i/>
              </w:rPr>
              <w:drawing>
                <wp:anchor distT="0" distB="0" distL="114300" distR="114300" simplePos="0" relativeHeight="251665408" behindDoc="1" locked="0" layoutInCell="1" allowOverlap="1" wp14:anchorId="2D4A392A" wp14:editId="137FC5CB">
                  <wp:simplePos x="0" y="0"/>
                  <wp:positionH relativeFrom="column">
                    <wp:posOffset>-1270</wp:posOffset>
                  </wp:positionH>
                  <wp:positionV relativeFrom="paragraph">
                    <wp:posOffset>536308</wp:posOffset>
                  </wp:positionV>
                  <wp:extent cx="3276600" cy="1781175"/>
                  <wp:effectExtent l="0" t="0" r="0" b="9525"/>
                  <wp:wrapTight wrapText="bothSides">
                    <wp:wrapPolygon edited="0">
                      <wp:start x="0" y="0"/>
                      <wp:lineTo x="0" y="21484"/>
                      <wp:lineTo x="21474" y="21484"/>
                      <wp:lineTo x="21474" y="0"/>
                      <wp:lineTo x="0" y="0"/>
                    </wp:wrapPolygon>
                  </wp:wrapTight>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B57DAB">
              <w:rPr>
                <w:rStyle w:val="Char0"/>
                <w:b/>
                <w:i/>
              </w:rPr>
              <w:t>Գծապատկեր 11.</w:t>
            </w:r>
            <w:r w:rsidRPr="00B57DAB">
              <w:rPr>
                <w:rFonts w:ascii="GHEA Grapalat" w:hAnsi="GHEA Grapalat" w:cs="Sylfaen"/>
                <w:i/>
                <w:sz w:val="18"/>
                <w:szCs w:val="18"/>
                <w:lang w:val="hy-AM"/>
              </w:rPr>
              <w:t xml:space="preserve"> </w:t>
            </w:r>
            <w:r w:rsidRPr="00B57DAB">
              <w:rPr>
                <w:rFonts w:ascii="GHEA Grapalat" w:hAnsi="GHEA Grapalat" w:cs="Sylfaen"/>
                <w:sz w:val="18"/>
                <w:szCs w:val="18"/>
                <w:lang w:val="hy-AM"/>
              </w:rPr>
              <w:t>ՀՀ իրական և անվանական արդյունավետ փոխարժեքների կուտակային տ/տ աճերի դինամիկան (աճ՝ արժևորում</w:t>
            </w:r>
            <w:r w:rsidR="00606D99" w:rsidRPr="00B57DAB">
              <w:rPr>
                <w:rFonts w:ascii="GHEA Grapalat" w:hAnsi="GHEA Grapalat" w:cs="Sylfaen"/>
                <w:sz w:val="18"/>
                <w:szCs w:val="18"/>
                <w:lang w:val="hy-AM"/>
              </w:rPr>
              <w:t>)</w:t>
            </w:r>
          </w:p>
          <w:p w:rsidR="00AE25A7" w:rsidRPr="00B57DAB" w:rsidRDefault="00AE25A7" w:rsidP="00AE25A7">
            <w:pPr>
              <w:spacing w:line="276" w:lineRule="auto"/>
              <w:ind w:right="-268"/>
              <w:jc w:val="both"/>
              <w:rPr>
                <w:rFonts w:ascii="GHEA Grapalat" w:hAnsi="GHEA Grapalat" w:cs="Sylfaen"/>
                <w:sz w:val="16"/>
                <w:szCs w:val="16"/>
                <w:lang w:val="hy-AM"/>
              </w:rPr>
            </w:pPr>
            <w:r w:rsidRPr="00B57DAB">
              <w:rPr>
                <w:rFonts w:ascii="GHEA Grapalat" w:hAnsi="GHEA Grapalat" w:cs="Sylfaen"/>
                <w:i/>
                <w:sz w:val="18"/>
                <w:szCs w:val="18"/>
                <w:lang w:val="hy-AM"/>
              </w:rPr>
              <w:t>Աղբյուրը՝ ՀՀ ԿԲ, ՀՀ ՖՆ հաշվարկներ</w:t>
            </w:r>
          </w:p>
        </w:tc>
      </w:tr>
    </w:tbl>
    <w:p w:rsidR="00AE25A7" w:rsidRPr="00B57DAB" w:rsidRDefault="00AE25A7" w:rsidP="00F533F8">
      <w:pPr>
        <w:spacing w:line="360" w:lineRule="auto"/>
        <w:ind w:firstLine="567"/>
        <w:jc w:val="both"/>
        <w:rPr>
          <w:rFonts w:ascii="GHEA Grapalat" w:hAnsi="GHEA Grapalat" w:cs="GHEA Grapalat"/>
          <w:sz w:val="22"/>
          <w:szCs w:val="22"/>
          <w:lang w:val="hy-AM"/>
        </w:rPr>
      </w:pPr>
    </w:p>
    <w:p w:rsidR="00606D99" w:rsidRPr="00B57DAB" w:rsidRDefault="00606D99" w:rsidP="00606D99">
      <w:pPr>
        <w:spacing w:line="360" w:lineRule="auto"/>
        <w:ind w:firstLine="567"/>
        <w:jc w:val="both"/>
        <w:rPr>
          <w:rFonts w:ascii="GHEA Grapalat" w:hAnsi="GHEA Grapalat" w:cs="GHEA Grapalat"/>
          <w:sz w:val="22"/>
          <w:szCs w:val="22"/>
          <w:lang w:val="hy-AM"/>
        </w:rPr>
      </w:pPr>
      <w:bookmarkStart w:id="28" w:name="_Toc71311887"/>
    </w:p>
    <w:p w:rsidR="00563135" w:rsidRPr="00B57DAB" w:rsidRDefault="00563135" w:rsidP="00563135">
      <w:pPr>
        <w:pStyle w:val="Heading6"/>
        <w:ind w:left="567"/>
        <w:rPr>
          <w:rFonts w:ascii="GHEA Grapalat" w:hAnsi="GHEA Grapalat"/>
          <w:b/>
          <w:sz w:val="22"/>
          <w:szCs w:val="22"/>
          <w:u w:val="none"/>
        </w:rPr>
      </w:pPr>
      <w:r w:rsidRPr="00B57DAB">
        <w:rPr>
          <w:rFonts w:ascii="GHEA Grapalat" w:hAnsi="GHEA Grapalat"/>
          <w:b/>
          <w:sz w:val="22"/>
          <w:szCs w:val="22"/>
          <w:u w:val="none"/>
        </w:rPr>
        <w:t>Ֆինանսական շուկա</w:t>
      </w:r>
      <w:bookmarkEnd w:id="26"/>
      <w:bookmarkEnd w:id="27"/>
      <w:r w:rsidRPr="00B57DAB">
        <w:rPr>
          <w:rFonts w:ascii="GHEA Grapalat" w:hAnsi="GHEA Grapalat"/>
          <w:b/>
          <w:sz w:val="22"/>
          <w:szCs w:val="22"/>
          <w:u w:val="none"/>
        </w:rPr>
        <w:t>ներ</w:t>
      </w:r>
      <w:r w:rsidRPr="00B57DAB">
        <w:rPr>
          <w:rFonts w:ascii="GHEA Grapalat" w:hAnsi="GHEA Grapalat"/>
          <w:b/>
          <w:sz w:val="22"/>
          <w:szCs w:val="22"/>
          <w:u w:val="none"/>
          <w:vertAlign w:val="superscript"/>
        </w:rPr>
        <w:footnoteReference w:id="22"/>
      </w:r>
      <w:bookmarkEnd w:id="28"/>
    </w:p>
    <w:p w:rsidR="00AE25A7" w:rsidRPr="00B57DAB" w:rsidRDefault="00AE25A7" w:rsidP="00606D99">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Վարկեր և ավանդներ:</w:t>
      </w:r>
      <w:r w:rsidRPr="00B57DAB">
        <w:rPr>
          <w:rFonts w:ascii="GHEA Grapalat" w:hAnsi="GHEA Grapalat" w:cs="GHEA Grapalat"/>
          <w:sz w:val="22"/>
          <w:szCs w:val="22"/>
          <w:lang w:val="hy-AM"/>
        </w:rPr>
        <w:t xml:space="preserve"> 2022 թվականի առաջին եռամսյակում բանկային համակարգի վարկերի ծավալը շարունակել է նախորդ տարվա նույն ժամանակահատվածի համեմատ նվազման</w:t>
      </w:r>
      <w:r w:rsidR="00F54FA3">
        <w:rPr>
          <w:rFonts w:ascii="GHEA Grapalat" w:hAnsi="GHEA Grapalat" w:cs="GHEA Grapalat"/>
          <w:sz w:val="22"/>
          <w:szCs w:val="22"/>
          <w:lang w:val="hy-AM"/>
        </w:rPr>
        <w:t xml:space="preserve"> դինամիկա ցուցաբերել, սակայն աճ</w:t>
      </w:r>
      <w:r w:rsidR="00F54FA3">
        <w:rPr>
          <w:rFonts w:ascii="GHEA Grapalat" w:hAnsi="GHEA Grapalat" w:cs="GHEA Grapalat"/>
          <w:sz w:val="22"/>
          <w:szCs w:val="22"/>
        </w:rPr>
        <w:t>ել</w:t>
      </w:r>
      <w:r w:rsidRPr="00B57DAB">
        <w:rPr>
          <w:rFonts w:ascii="GHEA Grapalat" w:hAnsi="GHEA Grapalat" w:cs="GHEA Grapalat"/>
          <w:sz w:val="22"/>
          <w:szCs w:val="22"/>
          <w:lang w:val="hy-AM"/>
        </w:rPr>
        <w:t xml:space="preserve"> է 2021</w:t>
      </w:r>
      <w:r w:rsidR="00F54FA3">
        <w:rPr>
          <w:rFonts w:ascii="GHEA Grapalat" w:hAnsi="GHEA Grapalat" w:cs="GHEA Grapalat"/>
          <w:sz w:val="22"/>
          <w:szCs w:val="22"/>
        </w:rPr>
        <w:t xml:space="preserve"> </w:t>
      </w:r>
      <w:r w:rsidRPr="00B57DAB">
        <w:rPr>
          <w:rFonts w:ascii="GHEA Grapalat" w:hAnsi="GHEA Grapalat" w:cs="GHEA Grapalat"/>
          <w:sz w:val="22"/>
          <w:szCs w:val="22"/>
          <w:lang w:val="hy-AM"/>
        </w:rPr>
        <w:t>թ</w:t>
      </w:r>
      <w:r w:rsidR="00F54FA3">
        <w:rPr>
          <w:rFonts w:ascii="GHEA Grapalat" w:hAnsi="GHEA Grapalat" w:cs="GHEA Grapalat"/>
          <w:sz w:val="22"/>
          <w:szCs w:val="22"/>
        </w:rPr>
        <w:t>վական</w:t>
      </w:r>
      <w:r w:rsidRPr="00B57DAB">
        <w:rPr>
          <w:rFonts w:ascii="GHEA Grapalat" w:hAnsi="GHEA Grapalat" w:cs="GHEA Grapalat"/>
          <w:sz w:val="22"/>
          <w:szCs w:val="22"/>
          <w:lang w:val="hy-AM"/>
        </w:rPr>
        <w:t>ի վերջի համեմատությամբ՝ արտացոլելով տնտեսության վերականգնման արագացման պայմաններում վարկերի նկատմամբ պահանջարկի վերականգնումը։ 2022</w:t>
      </w:r>
      <w:r w:rsidR="00F54FA3">
        <w:rPr>
          <w:rFonts w:ascii="GHEA Grapalat" w:hAnsi="GHEA Grapalat" w:cs="GHEA Grapalat"/>
          <w:sz w:val="22"/>
          <w:szCs w:val="22"/>
        </w:rPr>
        <w:t xml:space="preserve"> </w:t>
      </w:r>
      <w:r w:rsidRPr="00B57DAB">
        <w:rPr>
          <w:rFonts w:ascii="GHEA Grapalat" w:hAnsi="GHEA Grapalat" w:cs="GHEA Grapalat"/>
          <w:sz w:val="22"/>
          <w:szCs w:val="22"/>
          <w:lang w:val="hy-AM"/>
        </w:rPr>
        <w:t>թ</w:t>
      </w:r>
      <w:r w:rsidR="00F54FA3">
        <w:rPr>
          <w:rFonts w:ascii="GHEA Grapalat" w:hAnsi="GHEA Grapalat" w:cs="GHEA Grapalat"/>
          <w:sz w:val="22"/>
          <w:szCs w:val="22"/>
        </w:rPr>
        <w:t>վական</w:t>
      </w:r>
      <w:r w:rsidRPr="00B57DAB">
        <w:rPr>
          <w:rFonts w:ascii="GHEA Grapalat" w:hAnsi="GHEA Grapalat" w:cs="GHEA Grapalat"/>
          <w:sz w:val="22"/>
          <w:szCs w:val="22"/>
          <w:lang w:val="hy-AM"/>
        </w:rPr>
        <w:t>ի մարտին առևտրային բանկերի կողմից ռեզիդենտներին տրամադրված վարկերի ծավալների նվազումը կազմել է 0.4%</w:t>
      </w:r>
      <w:r w:rsidRPr="00B57DAB">
        <w:rPr>
          <w:rFonts w:ascii="GHEA Grapalat" w:hAnsi="GHEA Grapalat" w:cs="GHEA Grapalat"/>
          <w:sz w:val="22"/>
          <w:szCs w:val="22"/>
          <w:vertAlign w:val="superscript"/>
          <w:lang w:val="hy-AM"/>
        </w:rPr>
        <w:footnoteReference w:id="23"/>
      </w:r>
      <w:r w:rsidRPr="00B57DAB">
        <w:rPr>
          <w:rFonts w:ascii="GHEA Grapalat" w:hAnsi="GHEA Grapalat" w:cs="GHEA Grapalat"/>
          <w:sz w:val="22"/>
          <w:szCs w:val="22"/>
          <w:lang w:val="hy-AM"/>
        </w:rPr>
        <w:t>՝ 2021 թվականի մարտին արձանագրված 8.2% աճի համեմատ: Վարկերի նվազմանը 5.3 տոկոսային կետով նպաստել է արտարժութային վարկերի նվազումը, իսկ դրամային վարկերն ունեցել են դրական նպաստում՝ 4.9 տոկոսային կետով: Վարկերի նվազումը հիմնականում պայմանավորվել է արդյունաբերության ոլորտի (նպաստումը՝ 2.3 տոկոսային կետ), սպառողական (նպաստումը՝ 2.2 տոկոսային կետ), առևտրի (0.8 տոկոսային կետ) և սպասարկման (0.5 տոկոսային կետ) ոլորտների վարկերի նվազմամբ, իսկ հիփոթեքային, շինարարության և գյուղատնտեսության ոլորտներին տրամադրված վարկերը դրական նպաստում են ունեցել (համապատասխանաբար 4.9, 1.2 և 0.7 տոկոսային կետ):</w:t>
      </w:r>
    </w:p>
    <w:p w:rsidR="00AE25A7" w:rsidRPr="00B57DAB" w:rsidRDefault="00AE25A7" w:rsidP="00606D99">
      <w:pPr>
        <w:spacing w:line="360" w:lineRule="auto"/>
        <w:ind w:firstLine="567"/>
        <w:jc w:val="both"/>
        <w:rPr>
          <w:rFonts w:ascii="GHEA Grapalat" w:hAnsi="GHEA Grapalat" w:cs="GHEA Grapalat"/>
          <w:sz w:val="22"/>
          <w:szCs w:val="22"/>
          <w:lang w:val="hy-AM"/>
        </w:rPr>
      </w:pPr>
    </w:p>
    <w:p w:rsidR="00AE25A7" w:rsidRPr="00B57DAB" w:rsidRDefault="00AE25A7" w:rsidP="00EA58C0">
      <w:pPr>
        <w:pStyle w:val="a8"/>
        <w:numPr>
          <w:ilvl w:val="0"/>
          <w:numId w:val="32"/>
        </w:numPr>
        <w:ind w:left="0" w:firstLine="0"/>
        <w:jc w:val="both"/>
        <w:rPr>
          <w:sz w:val="22"/>
          <w:szCs w:val="22"/>
        </w:rPr>
      </w:pPr>
      <w:r w:rsidRPr="00B57DAB">
        <w:rPr>
          <w:rFonts w:eastAsia="Times New Roman"/>
          <w:noProof w:val="0"/>
          <w:sz w:val="22"/>
          <w:szCs w:val="22"/>
          <w:lang w:val="hy-AM"/>
        </w:rPr>
        <w:lastRenderedPageBreak/>
        <w:t>Ռեզիդենտների վարկերի և ավանդների ծավալների աճը (նախորդ տարվա</w:t>
      </w:r>
      <w:r w:rsidRPr="00B57DAB">
        <w:rPr>
          <w:sz w:val="22"/>
          <w:szCs w:val="22"/>
        </w:rPr>
        <w:t xml:space="preserve"> նկատմամբ, %)</w:t>
      </w:r>
      <w:r w:rsidRPr="00B57DAB">
        <w:rPr>
          <w:sz w:val="22"/>
          <w:szCs w:val="22"/>
          <w:vertAlign w:val="superscript"/>
        </w:rPr>
        <w:footnoteReference w:id="24"/>
      </w:r>
    </w:p>
    <w:p w:rsidR="00AE25A7" w:rsidRPr="00B57DAB" w:rsidRDefault="00AE25A7" w:rsidP="00AE25A7">
      <w:pPr>
        <w:spacing w:line="360" w:lineRule="auto"/>
        <w:jc w:val="both"/>
        <w:rPr>
          <w:rFonts w:ascii="GHEA Grapalat" w:eastAsia="Calibri" w:hAnsi="GHEA Grapalat" w:cs="Sylfaen"/>
          <w:sz w:val="22"/>
          <w:szCs w:val="22"/>
        </w:rPr>
      </w:pPr>
      <w:r w:rsidRPr="00B57DAB">
        <w:rPr>
          <w:rFonts w:ascii="GHEA Grapalat" w:hAnsi="GHEA Grapalat"/>
          <w:noProof/>
          <w:sz w:val="28"/>
        </w:rPr>
        <w:drawing>
          <wp:inline distT="0" distB="0" distL="0" distR="0" wp14:anchorId="27D3C5CE" wp14:editId="02582723">
            <wp:extent cx="3067050" cy="2619375"/>
            <wp:effectExtent l="57150" t="0" r="38100" b="85725"/>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B57DAB">
        <w:rPr>
          <w:rFonts w:ascii="GHEA Grapalat" w:hAnsi="GHEA Grapalat"/>
          <w:noProof/>
          <w:sz w:val="28"/>
        </w:rPr>
        <w:drawing>
          <wp:inline distT="0" distB="0" distL="0" distR="0" wp14:anchorId="0AE21F24" wp14:editId="1FD16F1D">
            <wp:extent cx="2952750" cy="2609850"/>
            <wp:effectExtent l="57150" t="0" r="38100" b="9525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533F8" w:rsidRPr="00B57DAB" w:rsidRDefault="00F533F8" w:rsidP="00F533F8">
      <w:pPr>
        <w:spacing w:line="360" w:lineRule="auto"/>
        <w:ind w:firstLine="567"/>
        <w:jc w:val="both"/>
        <w:rPr>
          <w:rFonts w:ascii="GHEA Grapalat" w:hAnsi="GHEA Grapalat" w:cs="GHEA Grapalat"/>
          <w:sz w:val="22"/>
          <w:szCs w:val="22"/>
          <w:lang w:val="hy-AM"/>
        </w:rPr>
      </w:pPr>
    </w:p>
    <w:p w:rsidR="00AE25A7" w:rsidRPr="00B57DAB" w:rsidRDefault="00AE25A7" w:rsidP="00EA58C0">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2022 թվականի առաջին եռամսյակում ավանդների ծավալների աճի տեմպը նախորդ տարվա նույն ժամանակահա</w:t>
      </w:r>
      <w:r w:rsidR="00EA58C0" w:rsidRPr="00B57DAB">
        <w:rPr>
          <w:rFonts w:ascii="GHEA Grapalat" w:hAnsi="GHEA Grapalat" w:cs="GHEA Grapalat"/>
          <w:sz w:val="22"/>
          <w:szCs w:val="22"/>
        </w:rPr>
        <w:t>տ</w:t>
      </w:r>
      <w:r w:rsidRPr="00B57DAB">
        <w:rPr>
          <w:rFonts w:ascii="GHEA Grapalat" w:hAnsi="GHEA Grapalat" w:cs="GHEA Grapalat"/>
          <w:sz w:val="22"/>
          <w:szCs w:val="22"/>
          <w:lang w:val="hy-AM"/>
        </w:rPr>
        <w:t>վ</w:t>
      </w:r>
      <w:r w:rsidR="00EA58C0" w:rsidRPr="00B57DAB">
        <w:rPr>
          <w:rFonts w:ascii="GHEA Grapalat" w:hAnsi="GHEA Grapalat" w:cs="GHEA Grapalat"/>
          <w:sz w:val="22"/>
          <w:szCs w:val="22"/>
        </w:rPr>
        <w:t>ա</w:t>
      </w:r>
      <w:r w:rsidRPr="00B57DAB">
        <w:rPr>
          <w:rFonts w:ascii="GHEA Grapalat" w:hAnsi="GHEA Grapalat" w:cs="GHEA Grapalat"/>
          <w:sz w:val="22"/>
          <w:szCs w:val="22"/>
          <w:lang w:val="hy-AM"/>
        </w:rPr>
        <w:t>ծի նկատմամբ շարունակել է աճել բարձր տեմպերով, թեպետ աճի տեմպը աստիճանաբար դանդաղել է։ Առևտրային բանկերի կողմից ռեզիդենտներից ներգրավված ավանդներն աճել են 13.0%</w:t>
      </w:r>
      <w:r w:rsidRPr="00B57DAB">
        <w:rPr>
          <w:rFonts w:ascii="GHEA Grapalat" w:hAnsi="GHEA Grapalat" w:cs="GHEA Grapalat"/>
          <w:sz w:val="22"/>
          <w:szCs w:val="22"/>
          <w:lang w:val="hy-AM"/>
        </w:rPr>
        <w:noBreakHyphen/>
        <w:t>ով, որին նպաստել են ինչպես տնային տնտեսությունների, այնպես էլ ձեռնարկությունների ավանդների աճը՝ համապատասխանաբար 5.8 և 3.3 տոկոսային կետով։ Արժութային կառուցվածքի տեսակետից 8 տոկոսային կետով դրական նպաստում է ունեցել դրամային ավանդների աճը, իսկ արտարժութային ավանդների նպաստումը կազմել է 5.1 տոկոսային կետ:</w:t>
      </w:r>
    </w:p>
    <w:p w:rsidR="00AE25A7" w:rsidRPr="00B57DAB" w:rsidRDefault="00670025" w:rsidP="00EA58C0">
      <w:pPr>
        <w:spacing w:line="360" w:lineRule="auto"/>
        <w:ind w:firstLine="567"/>
        <w:jc w:val="both"/>
        <w:rPr>
          <w:rFonts w:ascii="GHEA Grapalat" w:hAnsi="GHEA Grapalat" w:cs="GHEA Grapalat"/>
          <w:sz w:val="22"/>
          <w:szCs w:val="22"/>
          <w:lang w:val="hy-AM"/>
        </w:rPr>
      </w:pPr>
      <w:r>
        <w:rPr>
          <w:rFonts w:ascii="GHEA Grapalat" w:hAnsi="GHEA Grapalat" w:cs="GHEA Grapalat"/>
          <w:sz w:val="22"/>
          <w:szCs w:val="22"/>
          <w:lang w:val="hy-AM"/>
        </w:rPr>
        <w:t>202</w:t>
      </w:r>
      <w:r>
        <w:rPr>
          <w:rFonts w:ascii="GHEA Grapalat" w:hAnsi="GHEA Grapalat" w:cs="GHEA Grapalat"/>
          <w:sz w:val="22"/>
          <w:szCs w:val="22"/>
        </w:rPr>
        <w:t>2</w:t>
      </w:r>
      <w:r w:rsidR="00AE25A7" w:rsidRPr="00B57DAB">
        <w:rPr>
          <w:rFonts w:ascii="GHEA Grapalat" w:hAnsi="GHEA Grapalat" w:cs="GHEA Grapalat"/>
          <w:sz w:val="22"/>
          <w:szCs w:val="22"/>
          <w:lang w:val="hy-AM"/>
        </w:rPr>
        <w:t xml:space="preserve"> թվականի առաջին եռամսյակում դոլարայնացման մակարդակը նվազել է: Ռեզիդենտների արտարժութային ավանդներ/ընդամենը ավանդներ հարաբերակցությունը նախորդ տարվա համեմատ նվազել է 0.6 տոկոսային կետով՝ կազմելով 43.3%, իսկ ռեզիդենտների վարկավորման ընդհանուր կառուցվածքում արտարժույթով վարկերի կշիռը նվազել է 5.1 տոկոսային կետով՝ կազմելով 44.2%։</w:t>
      </w:r>
    </w:p>
    <w:p w:rsidR="00AE25A7" w:rsidRPr="00B57DAB" w:rsidRDefault="00AE25A7" w:rsidP="00EA58C0">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Վարկերի և ավանդների տոկոսադրույքներ:</w:t>
      </w:r>
      <w:r w:rsidRPr="00B57DAB">
        <w:rPr>
          <w:rFonts w:ascii="GHEA Grapalat" w:hAnsi="GHEA Grapalat" w:cs="GHEA Grapalat"/>
          <w:sz w:val="22"/>
          <w:szCs w:val="22"/>
          <w:lang w:val="hy-AM"/>
        </w:rPr>
        <w:t xml:space="preserve"> 2022</w:t>
      </w:r>
      <w:r w:rsidR="00EA58C0" w:rsidRPr="00B57DAB">
        <w:rPr>
          <w:rFonts w:ascii="GHEA Grapalat" w:hAnsi="GHEA Grapalat" w:cs="GHEA Grapalat"/>
          <w:sz w:val="22"/>
          <w:szCs w:val="22"/>
        </w:rPr>
        <w:t xml:space="preserve"> </w:t>
      </w:r>
      <w:r w:rsidRPr="00B57DAB">
        <w:rPr>
          <w:rFonts w:ascii="GHEA Grapalat" w:hAnsi="GHEA Grapalat" w:cs="GHEA Grapalat"/>
          <w:sz w:val="22"/>
          <w:szCs w:val="22"/>
          <w:lang w:val="hy-AM"/>
        </w:rPr>
        <w:t>թ</w:t>
      </w:r>
      <w:r w:rsidR="00EA58C0" w:rsidRPr="00B57DAB">
        <w:rPr>
          <w:rFonts w:ascii="GHEA Grapalat" w:hAnsi="GHEA Grapalat" w:cs="GHEA Grapalat"/>
          <w:sz w:val="22"/>
          <w:szCs w:val="22"/>
        </w:rPr>
        <w:t>վական</w:t>
      </w:r>
      <w:r w:rsidRPr="00B57DAB">
        <w:rPr>
          <w:rFonts w:ascii="GHEA Grapalat" w:hAnsi="GHEA Grapalat" w:cs="GHEA Grapalat"/>
          <w:sz w:val="22"/>
          <w:szCs w:val="22"/>
          <w:lang w:val="hy-AM"/>
        </w:rPr>
        <w:t>ի առաջին եռամսյակում ՀՀ դրամով վարկերի և ավանդների տոկոսադրույքները աճի միտում են դրսևորել: Տոկոսադրույքների աճին նպաստել են գնաճի և գնաճային սպասումների ավելացումը, ԿԲ-ի կողմից դրամավարկային պայմանների կոշտացումը (վերջին 12 ամիսների ընթացքում վերաֆինանսավորման տոկոսադրույքը բարձրացել է 3.75 տոկոսային կետով), ինչպես նաև տարածաշրջանի և ՀՀ երկրի ռիսկի հավե</w:t>
      </w:r>
      <w:r w:rsidR="007723D5">
        <w:rPr>
          <w:rFonts w:ascii="GHEA Grapalat" w:hAnsi="GHEA Grapalat" w:cs="GHEA Grapalat"/>
          <w:sz w:val="22"/>
          <w:szCs w:val="22"/>
          <w:lang w:val="hy-AM"/>
        </w:rPr>
        <w:t>լավճարի դեպի վեր ճշգրտումը: 202</w:t>
      </w:r>
      <w:r w:rsidR="007723D5">
        <w:rPr>
          <w:rFonts w:ascii="GHEA Grapalat" w:hAnsi="GHEA Grapalat" w:cs="GHEA Grapalat"/>
          <w:sz w:val="22"/>
          <w:szCs w:val="22"/>
        </w:rPr>
        <w:t>2</w:t>
      </w:r>
      <w:r w:rsidRPr="00B57DAB">
        <w:rPr>
          <w:rFonts w:ascii="GHEA Grapalat" w:hAnsi="GHEA Grapalat" w:cs="GHEA Grapalat"/>
          <w:sz w:val="22"/>
          <w:szCs w:val="22"/>
          <w:lang w:val="hy-AM"/>
        </w:rPr>
        <w:t xml:space="preserve"> թվականի հունվար-մարտին ՀՀ դրամով վարկավորման </w:t>
      </w:r>
      <w:r w:rsidRPr="00B57DAB">
        <w:rPr>
          <w:rFonts w:ascii="GHEA Grapalat" w:hAnsi="GHEA Grapalat" w:cs="GHEA Grapalat"/>
          <w:sz w:val="22"/>
          <w:szCs w:val="22"/>
          <w:lang w:val="hy-AM"/>
        </w:rPr>
        <w:lastRenderedPageBreak/>
        <w:t>(մինչև մեկ տարի ժամկետով) միջին տարեկան տոկոսադրույքը կազմել է 12.3%՝ նախորդ տարվա նկատմամբ աճելով 0.4 տոկոսային կետով: ՀՀ դրամային ավանդների (մինչև մեկ տարի ժամկետով) միջին տոկոսադրույքը կազմել է 8.7%՝ նախորդ տարվա համեմատ աճելով 0.4 տոկոսային կետով:</w:t>
      </w:r>
    </w:p>
    <w:p w:rsidR="00AE25A7" w:rsidRPr="00B57DAB" w:rsidRDefault="00AE25A7" w:rsidP="00EA58C0">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Արտարժույթով վարկերի և ավանդների տոկոսադրույքները հակառակ ուղղություններով են փոփոխվել, ինչը հանգեցրել է սփրեդի նվազմանը: Արտարժույթով ավանդների (մինչև մեկ տարի ժամկետով) միջին տարեկան տոկոսադրույքը 2022 թվականի հունվար-մարտին կազմել է 2.0%՝ նախորդ տարվա նույն ժամանակահատվածի նկատմամբ աճելով 0.6 տոկոսային կետով: Իսկ արտարժույթով վարկավորման (մինչև մեկ տարի ժամկետով) միջին տարեկան տոկոսադրույքը կազմել է 7.8%՝ նվազելով</w:t>
      </w:r>
      <w:r w:rsidRPr="00B57DAB" w:rsidDel="00AB244F">
        <w:rPr>
          <w:rFonts w:ascii="GHEA Grapalat" w:hAnsi="GHEA Grapalat" w:cs="GHEA Grapalat"/>
          <w:sz w:val="22"/>
          <w:szCs w:val="22"/>
          <w:lang w:val="hy-AM"/>
        </w:rPr>
        <w:t xml:space="preserve"> </w:t>
      </w:r>
      <w:r w:rsidRPr="00B57DAB">
        <w:rPr>
          <w:rFonts w:ascii="GHEA Grapalat" w:hAnsi="GHEA Grapalat" w:cs="GHEA Grapalat"/>
          <w:sz w:val="22"/>
          <w:szCs w:val="22"/>
          <w:lang w:val="hy-AM"/>
        </w:rPr>
        <w:t xml:space="preserve">0.3 տոկոսային կետով: </w:t>
      </w:r>
    </w:p>
    <w:p w:rsidR="00AE25A7" w:rsidRPr="00B57DAB" w:rsidRDefault="00AE25A7" w:rsidP="00EA58C0">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Ֆինանսական շուկայում արտարժույթով և դրամով միջին կշռված մինչև 1 տարի ժամկետով տոկոսադրույքների միջև միջին սպրեդը 2022 թվականի առաջին եռամսյակում նախորդ համադրելի ժամանակահատվածի նկատմամբ նվազել է 0.8 տոկոսային կետով` կազմելով 4.7: Դրամով վարկերի և ավանդների միջև տոկոսադրույքների սպրեդը նվազել է 0.3 տոկոսային</w:t>
      </w:r>
      <w:r w:rsidR="00F54FA3">
        <w:rPr>
          <w:rFonts w:ascii="GHEA Grapalat" w:hAnsi="GHEA Grapalat" w:cs="GHEA Grapalat"/>
          <w:sz w:val="22"/>
          <w:szCs w:val="22"/>
          <w:lang w:val="hy-AM"/>
        </w:rPr>
        <w:t xml:space="preserve"> կետով՝ մինչև 3.5 տոկոսային կետ</w:t>
      </w:r>
      <w:r w:rsidRPr="00B57DAB">
        <w:rPr>
          <w:rFonts w:ascii="GHEA Grapalat" w:hAnsi="GHEA Grapalat" w:cs="GHEA Grapalat"/>
          <w:sz w:val="22"/>
          <w:szCs w:val="22"/>
          <w:lang w:val="hy-AM"/>
        </w:rPr>
        <w:t>, իսկ արտարժույթով վարկերի և ավանդների սպրեդը՝ 0.9 տոկոսային կետով` կազմելով 5.8 տոկոսային կետ:</w:t>
      </w:r>
    </w:p>
    <w:p w:rsidR="00AE25A7" w:rsidRPr="00B57DAB" w:rsidRDefault="00AE25A7" w:rsidP="00EA58C0">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ՀՀ պետական պարտատոմսերի շուկա:</w:t>
      </w:r>
      <w:r w:rsidRPr="00B57DAB">
        <w:rPr>
          <w:rFonts w:ascii="GHEA Grapalat" w:hAnsi="GHEA Grapalat" w:cs="GHEA Grapalat"/>
          <w:sz w:val="22"/>
          <w:szCs w:val="22"/>
          <w:lang w:val="hy-AM"/>
        </w:rPr>
        <w:t xml:space="preserve"> ՀՀ պետական պարտատոմսերի շուկայում նկատվել է ՊՊ տեղաբաշխման միջին կշռված եկամտաբերության որոշակի աճ, ինչը կարող է բացատրվել գնաճի և գնաճային սպասումների ավելացմամբ, ՀՀ ԿԲ կողմից վերաֆինանսավորման տոկոսադրույքի, ինչպես նաև մարտ ամսին ռուս-ուկրաինական հակամարտությունից բխող ռազմաքաղաքական և տնտեսական ճգնաժամով պայմանավորված՝ տարածաշրջանի և ՀՀ երկրի ռիսկի հավելավճարի ճշգրտմամբ: Եթե 2021 թվականի առաջին եռամսյակում տեղաբաշխված պետական պարտատոմսերի միջին կշռված եկամտաբերությունը կազմել էր 8.3%, ապա 2022 թվականի նույն ժամանակահատվածում այն կազմել է 10.2% կամ շուրջ 1.9 տոկոսային կետով ավելի:</w:t>
      </w:r>
    </w:p>
    <w:p w:rsidR="00AE25A7" w:rsidRPr="00B57DAB" w:rsidRDefault="00670025" w:rsidP="00EA58C0">
      <w:pPr>
        <w:spacing w:line="360" w:lineRule="auto"/>
        <w:ind w:firstLine="567"/>
        <w:jc w:val="both"/>
        <w:rPr>
          <w:rFonts w:ascii="GHEA Grapalat" w:hAnsi="GHEA Grapalat" w:cs="GHEA Grapalat"/>
          <w:sz w:val="22"/>
          <w:szCs w:val="22"/>
          <w:lang w:val="hy-AM"/>
        </w:rPr>
      </w:pPr>
      <w:r>
        <w:rPr>
          <w:rFonts w:ascii="GHEA Grapalat" w:hAnsi="GHEA Grapalat" w:cs="GHEA Grapalat"/>
          <w:sz w:val="22"/>
          <w:szCs w:val="22"/>
          <w:lang w:val="hy-AM"/>
        </w:rPr>
        <w:t>202</w:t>
      </w:r>
      <w:r>
        <w:rPr>
          <w:rFonts w:ascii="GHEA Grapalat" w:hAnsi="GHEA Grapalat" w:cs="GHEA Grapalat"/>
          <w:sz w:val="22"/>
          <w:szCs w:val="22"/>
        </w:rPr>
        <w:t>2</w:t>
      </w:r>
      <w:r w:rsidR="00AE25A7" w:rsidRPr="00B57DAB">
        <w:rPr>
          <w:rFonts w:ascii="GHEA Grapalat" w:hAnsi="GHEA Grapalat" w:cs="GHEA Grapalat"/>
          <w:sz w:val="22"/>
          <w:szCs w:val="22"/>
          <w:lang w:val="hy-AM"/>
        </w:rPr>
        <w:t xml:space="preserve"> թվականի առաջին եռամսյակում տեղաբաշխված պետական պարտատոմսերի ծավալը կազմել է 109.1 մլրդ դրամ՝ 2021 թվականի առաջին եռամսյակի 72.4 մլրդ դրամի դիմաց, իսկ տեղաբաշխման միջին կշ</w:t>
      </w:r>
      <w:r w:rsidR="00F54FA3">
        <w:rPr>
          <w:rFonts w:ascii="GHEA Grapalat" w:hAnsi="GHEA Grapalat" w:cs="GHEA Grapalat"/>
          <w:sz w:val="22"/>
          <w:szCs w:val="22"/>
          <w:lang w:val="hy-AM"/>
        </w:rPr>
        <w:t>ռված ժամկետայնությունը` 2102 օր</w:t>
      </w:r>
      <w:r w:rsidR="00F54FA3">
        <w:rPr>
          <w:rFonts w:ascii="GHEA Grapalat" w:hAnsi="GHEA Grapalat" w:cs="GHEA Grapalat"/>
          <w:sz w:val="22"/>
          <w:szCs w:val="22"/>
        </w:rPr>
        <w:t>՝</w:t>
      </w:r>
      <w:r w:rsidR="00AE25A7" w:rsidRPr="00B57DAB">
        <w:rPr>
          <w:rFonts w:ascii="GHEA Grapalat" w:hAnsi="GHEA Grapalat" w:cs="GHEA Grapalat"/>
          <w:sz w:val="22"/>
          <w:szCs w:val="22"/>
          <w:lang w:val="hy-AM"/>
        </w:rPr>
        <w:t xml:space="preserve"> 2021 թվականի նույն ժամանակահատվածի 1820 օր ցուցանիշի համեմատ:</w:t>
      </w:r>
    </w:p>
    <w:p w:rsidR="00AE25A7" w:rsidRPr="00B57DAB" w:rsidRDefault="00AE25A7" w:rsidP="00EA58C0">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202</w:t>
      </w:r>
      <w:r w:rsidR="00177A7D">
        <w:rPr>
          <w:rFonts w:ascii="GHEA Grapalat" w:hAnsi="GHEA Grapalat" w:cs="GHEA Grapalat"/>
          <w:sz w:val="22"/>
          <w:szCs w:val="22"/>
        </w:rPr>
        <w:t>2</w:t>
      </w:r>
      <w:r w:rsidRPr="00B57DAB">
        <w:rPr>
          <w:rFonts w:ascii="GHEA Grapalat" w:hAnsi="GHEA Grapalat" w:cs="GHEA Grapalat"/>
          <w:sz w:val="22"/>
          <w:szCs w:val="22"/>
          <w:lang w:val="hy-AM"/>
        </w:rPr>
        <w:t xml:space="preserve"> թվականի հունվար-մարտին պետական (շուկայական) պարտատոմսերի նկատմամբ պահանջարկը գերազանցել է տեղաբաշխման ցուցանիշը 1.8 անգամ (2021 թվականի առաջին եռամսյակում՝ 1.5 անգամ), իսկ տեղաբաշխման ենթակա ծավալ/տեղաբաշխված ծավալ միջին հարաբերակցությունը կազմել է 1.06 (2021 թվականի առաջին եռամսյակում` 1.06): </w:t>
      </w:r>
    </w:p>
    <w:p w:rsidR="00AE25A7" w:rsidRPr="00B57DAB" w:rsidRDefault="00AE25A7" w:rsidP="00EA58C0">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ՀՀ եվրապարտատոմսերի երկրորդային շուկա:</w:t>
      </w:r>
      <w:r w:rsidRPr="00B57DAB">
        <w:rPr>
          <w:rFonts w:ascii="GHEA Grapalat" w:hAnsi="GHEA Grapalat" w:cs="GHEA Grapalat"/>
          <w:sz w:val="22"/>
          <w:szCs w:val="22"/>
          <w:lang w:val="hy-AM"/>
        </w:rPr>
        <w:t xml:space="preserve"> ՀՀ եվրապարտատոմսերի երկրորդային շուկայում եկամտաբերությունները 2022 թվականի առաջին եռամսյակում զգալի աճ են գրանցել՝ </w:t>
      </w:r>
      <w:r w:rsidRPr="00B57DAB">
        <w:rPr>
          <w:rFonts w:ascii="GHEA Grapalat" w:hAnsi="GHEA Grapalat" w:cs="GHEA Grapalat"/>
          <w:sz w:val="22"/>
          <w:szCs w:val="22"/>
          <w:lang w:val="hy-AM"/>
        </w:rPr>
        <w:lastRenderedPageBreak/>
        <w:t>պայմանավորված ինչպես միջազգային շուկաներում տոկոսադրույքների բարձրացման միտումներով, այնպես էլ ռուս-ուկրաինական հակամարտության սպասվող բացասական ազդեցությունների ներքո տարածաշրջանի երկրների, այդ թվում՝ ՀՀ երկրի ռիսկի հավելավճարի ճշգրտմամբ։</w:t>
      </w:r>
      <w:r w:rsidR="00CE395B">
        <w:rPr>
          <w:rFonts w:ascii="GHEA Grapalat" w:hAnsi="GHEA Grapalat" w:cs="GHEA Grapalat"/>
          <w:sz w:val="22"/>
          <w:szCs w:val="22"/>
          <w:lang w:val="hy-AM"/>
        </w:rPr>
        <w:t xml:space="preserve"> </w:t>
      </w:r>
      <w:r w:rsidRPr="00B57DAB">
        <w:rPr>
          <w:rFonts w:ascii="GHEA Grapalat" w:hAnsi="GHEA Grapalat" w:cs="GHEA Grapalat"/>
          <w:sz w:val="22"/>
          <w:szCs w:val="22"/>
          <w:lang w:val="hy-AM"/>
        </w:rPr>
        <w:t>Միջազգային կապիտալի շուկայում 2015 թվականին 7.5% եկամտաբերությամբ թողարկված պետական արտարժութային պարտատոմսերի եկամտաբերությունը 2022 թվականի առաջին եռամսյակում միջինում կազմել է 5.1%՝ 2021 թվականի նույն ժամանակահատվածում արձանագրված 3.5%-ի դիմաց, 2019 թվականին 4.2% եկամտաբերությամբ թողարկված պարտատոմսերի եկամտաբերությունը 2022 թվականի առաջին եռամսյակում միջինում կազմել է 5.5%` 2021 թվականի առաջին եռամսյակում գրանցված 4.%-ի դիմաց, իսկ 2021 թվականի փետրվարին 3.9% եկամտաբերությամբ թողարկված պարտատոմսերի եկամտաբերությունը եռամսյակի վերջի դրությամբ կազմել է 6.8%` նախորդ տարվա նույն ժամանակահատվածի 4.7%-ի համեմատությամբ։</w:t>
      </w:r>
      <w:r w:rsidR="00CE395B">
        <w:rPr>
          <w:rFonts w:ascii="GHEA Grapalat" w:hAnsi="GHEA Grapalat" w:cs="GHEA Grapalat"/>
          <w:sz w:val="22"/>
          <w:szCs w:val="22"/>
          <w:lang w:val="hy-AM"/>
        </w:rPr>
        <w:t xml:space="preserve"> </w:t>
      </w:r>
    </w:p>
    <w:p w:rsidR="00AE25A7" w:rsidRPr="00B57DAB" w:rsidRDefault="00AE25A7" w:rsidP="00EA58C0">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ՀՀ երկրի ռիսկի հավելավճարի աճը ավելի չափավոր է գնահատվում՝ համեմատած պարտատոմսերի եկամտաբերությունների աճի հ</w:t>
      </w:r>
      <w:bookmarkStart w:id="29" w:name="_GoBack"/>
      <w:bookmarkEnd w:id="29"/>
      <w:r w:rsidRPr="00B57DAB">
        <w:rPr>
          <w:rFonts w:ascii="GHEA Grapalat" w:hAnsi="GHEA Grapalat" w:cs="GHEA Grapalat"/>
          <w:sz w:val="22"/>
          <w:szCs w:val="22"/>
          <w:lang w:val="hy-AM"/>
        </w:rPr>
        <w:t>ետ, հաշվի առնելով ԱՄՆ պետական պարտատոմսերի եկամտաբերությունների ավելացման գործոնը։ Մասնավորապես, 2029 թվականին մարվող եվրապարտատոմսերի ռիսկի հավելավճարը 202</w:t>
      </w:r>
      <w:r w:rsidR="007723D5">
        <w:rPr>
          <w:rFonts w:ascii="GHEA Grapalat" w:hAnsi="GHEA Grapalat" w:cs="GHEA Grapalat"/>
          <w:sz w:val="22"/>
          <w:szCs w:val="22"/>
        </w:rPr>
        <w:t>2</w:t>
      </w:r>
      <w:r w:rsidRPr="00B57DAB">
        <w:rPr>
          <w:rFonts w:ascii="GHEA Grapalat" w:hAnsi="GHEA Grapalat" w:cs="GHEA Grapalat"/>
          <w:sz w:val="22"/>
          <w:szCs w:val="22"/>
          <w:lang w:val="hy-AM"/>
        </w:rPr>
        <w:t xml:space="preserve"> թվականի հունվար-մարտին միջինում կազմել է 3</w:t>
      </w:r>
      <w:r w:rsidR="00EA58C0" w:rsidRPr="00B57DAB">
        <w:rPr>
          <w:rFonts w:ascii="GHEA Grapalat" w:hAnsi="GHEA Grapalat" w:cs="GHEA Grapalat"/>
          <w:sz w:val="22"/>
          <w:szCs w:val="22"/>
        </w:rPr>
        <w:t>.</w:t>
      </w:r>
      <w:r w:rsidRPr="00B57DAB">
        <w:rPr>
          <w:rFonts w:ascii="GHEA Grapalat" w:hAnsi="GHEA Grapalat" w:cs="GHEA Grapalat"/>
          <w:sz w:val="22"/>
          <w:szCs w:val="22"/>
          <w:lang w:val="hy-AM"/>
        </w:rPr>
        <w:t>6 տոկոսային կետ՝ նախորդ տարվա նույն ժամանակահատվածի 2.7 տոկոսային կետ ցուցանիշի դիմաց։</w:t>
      </w:r>
    </w:p>
    <w:p w:rsidR="00563135" w:rsidRPr="00B57DAB" w:rsidRDefault="00563135" w:rsidP="00EA58C0">
      <w:pPr>
        <w:spacing w:line="360" w:lineRule="auto"/>
        <w:ind w:firstLine="567"/>
        <w:jc w:val="both"/>
        <w:rPr>
          <w:rFonts w:ascii="GHEA Grapalat" w:hAnsi="GHEA Grapalat" w:cs="GHEA Grapalat"/>
          <w:sz w:val="22"/>
          <w:szCs w:val="22"/>
          <w:lang w:val="hy-AM"/>
        </w:rPr>
      </w:pPr>
    </w:p>
    <w:p w:rsidR="00563135" w:rsidRPr="00B57DAB" w:rsidRDefault="00563135" w:rsidP="00AE25A7">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30" w:name="_Toc71283308"/>
      <w:bookmarkStart w:id="31" w:name="_Toc71311888"/>
      <w:bookmarkStart w:id="32" w:name="_Toc102759885"/>
      <w:r w:rsidRPr="00B57DAB">
        <w:rPr>
          <w:rFonts w:ascii="GHEA Grapalat" w:hAnsi="GHEA Grapalat"/>
          <w:i w:val="0"/>
          <w:noProof/>
          <w:sz w:val="22"/>
          <w:szCs w:val="22"/>
          <w:lang w:val="de-AT"/>
        </w:rPr>
        <w:t>ՀԱՐԿԱԲՅՈՒՋԵՏԱՅԻՆ ՔԱՂԱՔԱԿԱՆՈՒԹՅԱՆ ՀԻՄՆԱԿԱՆ ԶԱՐԳԱՑՈՒՄՆԵՐԸ</w:t>
      </w:r>
      <w:bookmarkEnd w:id="30"/>
      <w:bookmarkEnd w:id="31"/>
      <w:bookmarkEnd w:id="32"/>
      <w:r w:rsidRPr="00B57DAB">
        <w:rPr>
          <w:rFonts w:ascii="GHEA Grapalat" w:hAnsi="GHEA Grapalat"/>
          <w:i w:val="0"/>
          <w:noProof/>
          <w:sz w:val="22"/>
          <w:szCs w:val="22"/>
          <w:lang w:val="de-AT"/>
        </w:rPr>
        <w:t xml:space="preserve"> </w:t>
      </w:r>
    </w:p>
    <w:p w:rsidR="00AE25A7" w:rsidRPr="00B57DAB" w:rsidRDefault="00AE25A7" w:rsidP="00EA58C0">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2022 թվականի առաջին եռամսյակում տնտեսության վերականգնման բարձր տեմպերի</w:t>
      </w:r>
      <w:r w:rsidR="00CE395B">
        <w:rPr>
          <w:rFonts w:ascii="GHEA Grapalat" w:hAnsi="GHEA Grapalat" w:cs="GHEA Grapalat"/>
          <w:sz w:val="22"/>
          <w:szCs w:val="22"/>
          <w:lang w:val="hy-AM"/>
        </w:rPr>
        <w:t xml:space="preserve"> </w:t>
      </w:r>
      <w:r w:rsidRPr="00B57DAB">
        <w:rPr>
          <w:rFonts w:ascii="GHEA Grapalat" w:hAnsi="GHEA Grapalat" w:cs="GHEA Grapalat"/>
          <w:sz w:val="22"/>
          <w:szCs w:val="22"/>
          <w:lang w:val="hy-AM"/>
        </w:rPr>
        <w:t xml:space="preserve">պայմաններում հարկաբյուջետային քաղաքականության ազդեցությունն ամբողջական պահանաջարկի վրա եղել է զսպող: Ընդ որում, նախորդ տարվա նույն ժամանակահատվածի համեմատ, մի կողմից արձանագրվել է պետական բյուջեի եկամուտների աճ, մյուս կողմից ծախսերի նվազում, ինչի արդյունքում ձևավորվել է պետական բյուջեի հավելուրդ՝ պլանավորված պակասուրդի փոխարեն: </w:t>
      </w:r>
    </w:p>
    <w:p w:rsidR="00AE25A7" w:rsidRPr="00B57DAB" w:rsidRDefault="00AE25A7" w:rsidP="00EA58C0">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Պետական բյուջեի եկամուտները:</w:t>
      </w:r>
      <w:r w:rsidRPr="00B57DAB">
        <w:rPr>
          <w:rFonts w:ascii="GHEA Grapalat" w:hAnsi="GHEA Grapalat" w:cs="GHEA Grapalat"/>
          <w:sz w:val="22"/>
          <w:szCs w:val="22"/>
          <w:lang w:val="hy-AM"/>
        </w:rPr>
        <w:t xml:space="preserve"> 2022 թվականի առաջին եռամսյակում ՀՀ պետական բյուջեի եկամուտներն աճել են բարձր տեմպերով՝ պայմանավորված տնտեսության վերականգնմամբ և հարկային օրենսդրության փոփոխություններով: Ընդ որում, չնայած առաջին եռամսյակում տնտեսական ակտիվության տեմպերի դանդաղմանը, հարկերի հավաքագրման բարձր աճի տեմպերը պահպանվել են ամբողջ եռամսյակի ընթացքում։</w:t>
      </w:r>
      <w:r w:rsidR="00CE395B">
        <w:rPr>
          <w:rFonts w:ascii="GHEA Grapalat" w:hAnsi="GHEA Grapalat" w:cs="GHEA Grapalat"/>
          <w:sz w:val="22"/>
          <w:szCs w:val="22"/>
          <w:lang w:val="hy-AM"/>
        </w:rPr>
        <w:t xml:space="preserve"> </w:t>
      </w:r>
      <w:r w:rsidRPr="00B57DAB">
        <w:rPr>
          <w:rFonts w:ascii="GHEA Grapalat" w:hAnsi="GHEA Grapalat" w:cs="GHEA Grapalat"/>
          <w:sz w:val="22"/>
          <w:szCs w:val="22"/>
          <w:lang w:val="hy-AM"/>
        </w:rPr>
        <w:t>2022 թվականի հունվար-մարտ ամիսների արդյունքներով ՀՀ պետական բյուջեի ընդհան</w:t>
      </w:r>
      <w:r w:rsidR="00EA58C0" w:rsidRPr="00B57DAB">
        <w:rPr>
          <w:rFonts w:ascii="GHEA Grapalat" w:hAnsi="GHEA Grapalat" w:cs="GHEA Grapalat"/>
          <w:sz w:val="22"/>
          <w:szCs w:val="22"/>
          <w:lang w:val="hy-AM"/>
        </w:rPr>
        <w:t>ուր եկամուտները կազմել են 425.5</w:t>
      </w:r>
      <w:r w:rsidR="00EA58C0" w:rsidRPr="00B57DAB">
        <w:rPr>
          <w:rFonts w:ascii="Courier New" w:hAnsi="Courier New" w:cs="Courier New"/>
          <w:sz w:val="22"/>
          <w:szCs w:val="22"/>
        </w:rPr>
        <w:t> </w:t>
      </w:r>
      <w:r w:rsidRPr="00B57DAB">
        <w:rPr>
          <w:rFonts w:ascii="GHEA Grapalat" w:hAnsi="GHEA Grapalat" w:cs="GHEA Grapalat"/>
          <w:sz w:val="22"/>
          <w:szCs w:val="22"/>
          <w:lang w:val="hy-AM"/>
        </w:rPr>
        <w:t xml:space="preserve">մլրդ դրամ՝ նախորդ տարվա նույն ժամանակահատվածի համեմատ աճելով 21.8%-ով, իսկ </w:t>
      </w:r>
      <w:r w:rsidRPr="00B57DAB">
        <w:rPr>
          <w:rFonts w:ascii="GHEA Grapalat" w:hAnsi="GHEA Grapalat" w:cs="GHEA Grapalat"/>
          <w:sz w:val="22"/>
          <w:szCs w:val="22"/>
          <w:lang w:val="hy-AM"/>
        </w:rPr>
        <w:lastRenderedPageBreak/>
        <w:t xml:space="preserve">հարկերը և տուրքերը կազմել են 400.6 մլրդ դրամ՝ նախորդ տարվա նույն ժամանակահատվածի համեմատ աճելով 20.3%-ով: Հարկային եկամուտների աճը հիմնականում պայմանավորված է հարկման բազաների (հիմնականում սպառման և ներմուծման, ինչպես նաև շահույթների և աշխատավարձերի աճի հաշվին) վերականգնմամբ, ինչպես նաև 2021 թվականի հարկային օրենսդրության բարեփոխումներով, մասնավորապես՝ արտահանման տուրքի ներդրմամբ: </w:t>
      </w:r>
    </w:p>
    <w:p w:rsidR="00AE25A7" w:rsidRPr="00B57DAB" w:rsidRDefault="00AE25A7" w:rsidP="00F533F8">
      <w:pPr>
        <w:spacing w:line="360" w:lineRule="auto"/>
        <w:ind w:firstLine="567"/>
        <w:jc w:val="both"/>
        <w:rPr>
          <w:rFonts w:ascii="GHEA Grapalat" w:hAnsi="GHEA Grapalat" w:cs="GHEA Grapalat"/>
          <w:sz w:val="22"/>
          <w:szCs w:val="22"/>
          <w:lang w:val="hy-AM"/>
        </w:rPr>
      </w:pPr>
    </w:p>
    <w:p w:rsidR="00AE25A7" w:rsidRPr="00B57DAB" w:rsidRDefault="00AE25A7" w:rsidP="00EA58C0">
      <w:pPr>
        <w:pStyle w:val="a8"/>
        <w:numPr>
          <w:ilvl w:val="0"/>
          <w:numId w:val="32"/>
        </w:numPr>
        <w:ind w:left="0" w:firstLine="0"/>
        <w:jc w:val="both"/>
        <w:rPr>
          <w:sz w:val="22"/>
          <w:szCs w:val="22"/>
        </w:rPr>
      </w:pPr>
      <w:r w:rsidRPr="00B57DAB">
        <w:rPr>
          <w:sz w:val="22"/>
          <w:szCs w:val="22"/>
        </w:rPr>
        <w:t>Պետական բյուջեի հարկային եկամուտները</w:t>
      </w:r>
      <w:r w:rsidR="00EA58C0" w:rsidRPr="00B57DAB">
        <w:rPr>
          <w:sz w:val="22"/>
          <w:szCs w:val="22"/>
        </w:rPr>
        <w:t xml:space="preserve"> 2021-2022թթ.</w:t>
      </w:r>
      <w:r w:rsidRPr="00B57DAB">
        <w:rPr>
          <w:sz w:val="22"/>
          <w:szCs w:val="22"/>
        </w:rPr>
        <w:t xml:space="preserve"> ըստ ամիսների</w:t>
      </w:r>
    </w:p>
    <w:p w:rsidR="00AE25A7" w:rsidRPr="00B57DAB" w:rsidRDefault="00AE25A7" w:rsidP="00AE25A7">
      <w:pPr>
        <w:autoSpaceDE w:val="0"/>
        <w:autoSpaceDN w:val="0"/>
        <w:adjustRightInd w:val="0"/>
        <w:spacing w:after="120" w:line="276" w:lineRule="auto"/>
        <w:ind w:hanging="90"/>
        <w:jc w:val="center"/>
        <w:rPr>
          <w:rFonts w:ascii="GHEA Grapalat" w:eastAsia="GHEA Grapalat" w:hAnsi="GHEA Grapalat" w:cs="GHEA Grapalat"/>
          <w:sz w:val="22"/>
          <w:szCs w:val="22"/>
        </w:rPr>
      </w:pPr>
      <w:r w:rsidRPr="00B57DAB">
        <w:rPr>
          <w:rFonts w:ascii="GHEA Grapalat" w:eastAsia="GHEA Grapalat" w:hAnsi="GHEA Grapalat" w:cs="GHEA Grapalat"/>
          <w:noProof/>
        </w:rPr>
        <w:drawing>
          <wp:inline distT="0" distB="0" distL="0" distR="0" wp14:anchorId="40A07D7F" wp14:editId="67FB5726">
            <wp:extent cx="600075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A58C0" w:rsidRPr="00B57DAB" w:rsidRDefault="00EA58C0" w:rsidP="00F533F8">
      <w:pPr>
        <w:spacing w:line="360" w:lineRule="auto"/>
        <w:ind w:firstLine="567"/>
        <w:jc w:val="both"/>
        <w:rPr>
          <w:rFonts w:ascii="GHEA Grapalat" w:hAnsi="GHEA Grapalat" w:cs="GHEA Grapalat"/>
          <w:sz w:val="22"/>
          <w:szCs w:val="22"/>
          <w:lang w:val="hy-AM"/>
        </w:rPr>
      </w:pPr>
    </w:p>
    <w:p w:rsidR="00AE25A7" w:rsidRPr="00B57DAB" w:rsidRDefault="00AE25A7" w:rsidP="00EA58C0">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Պետական բյուջեի ծախսերը:</w:t>
      </w:r>
      <w:r w:rsidRPr="00B57DAB">
        <w:rPr>
          <w:rFonts w:ascii="GHEA Grapalat" w:hAnsi="GHEA Grapalat" w:cs="GHEA Grapalat"/>
          <w:sz w:val="22"/>
          <w:szCs w:val="22"/>
          <w:lang w:val="hy-AM"/>
        </w:rPr>
        <w:t xml:space="preserve"> 2022 թվականի առաջին եռամսյակում արձանագրվել է պետական բյուջեի ծախսերի նվազում: Պետական բյուջեի ծախսերը կազմել են 396.8 մլրդ դրամ՝ նախորդ տարվա նույն ժամանակահատվածի համեմատ նվազելով 2%-ով: Նույն ժամանակահատվածում ընթացիկ ծախսերը կազմել են 362.2 մլրդ դրամ` նախորդ տարվա նույն ժամանակահատվածի համեմատ աճելով 1.8%</w:t>
      </w:r>
      <w:r w:rsidRPr="00B57DAB">
        <w:rPr>
          <w:rFonts w:ascii="GHEA Grapalat" w:hAnsi="GHEA Grapalat" w:cs="GHEA Grapalat"/>
          <w:sz w:val="22"/>
          <w:szCs w:val="22"/>
          <w:lang w:val="hy-AM"/>
        </w:rPr>
        <w:noBreakHyphen/>
        <w:t xml:space="preserve">ով: 2022 թվականի երեք ամիսներին ՀՀ պետական բյուջեի ընթացիկ ծախսերի կազմում կորոնավիրուսի (COVID-19) սոցիալ-տնտեսական հետևանքների նվազեցման և վերացման նպատակով իրականացված միջոցառումների գծով հատկացված միջոցների ծավալը կազմել է ընդամենը 3.8 մլրդ դրամ: Միևնույն ժամանակ ՀՀ պետական բյուջեից Արցախի Հանրապետությանը տրամադրված միջպետական վարկի ծավալը կազմել է 38.6 մլրդ դրամ՝ նախորդ տարվա նույն ժամանակահատվածի 30.0 մլրդ դրամի համեմատ: </w:t>
      </w:r>
    </w:p>
    <w:p w:rsidR="00AE25A7" w:rsidRPr="00B57DAB" w:rsidRDefault="00AE25A7" w:rsidP="00EA58C0">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Ոչ ֆինանսական ակտիվների հետ գործառնությունները կազմել են 34.6 մլրդ դրամ, որում ոչ ֆինանսական ակտիվների գծով ծախսերը (կապիտալ ծախսեր) կազմել են 37.2 մլրդ դրամ` նախորդ տարվա նույն ժամանակահատվածի նկատմամբ նվազելով 25.1%</w:t>
      </w:r>
      <w:r w:rsidRPr="00B57DAB">
        <w:rPr>
          <w:rFonts w:ascii="GHEA Grapalat" w:hAnsi="GHEA Grapalat" w:cs="GHEA Grapalat"/>
          <w:sz w:val="22"/>
          <w:szCs w:val="22"/>
          <w:lang w:val="hy-AM"/>
        </w:rPr>
        <w:noBreakHyphen/>
        <w:t>ով, որը հ</w:t>
      </w:r>
      <w:r w:rsidR="00EA58C0" w:rsidRPr="00B57DAB">
        <w:rPr>
          <w:rFonts w:ascii="GHEA Grapalat" w:hAnsi="GHEA Grapalat" w:cs="GHEA Grapalat"/>
          <w:sz w:val="22"/>
          <w:szCs w:val="22"/>
          <w:lang w:val="hy-AM"/>
        </w:rPr>
        <w:t xml:space="preserve">իմնականում </w:t>
      </w:r>
      <w:r w:rsidR="00EA58C0" w:rsidRPr="00B57DAB">
        <w:rPr>
          <w:rFonts w:ascii="GHEA Grapalat" w:hAnsi="GHEA Grapalat" w:cs="GHEA Grapalat"/>
          <w:sz w:val="22"/>
          <w:szCs w:val="22"/>
          <w:lang w:val="hy-AM"/>
        </w:rPr>
        <w:lastRenderedPageBreak/>
        <w:t>պայմանավորված է 2021</w:t>
      </w:r>
      <w:r w:rsidR="00EA58C0" w:rsidRPr="00B57DAB">
        <w:rPr>
          <w:rFonts w:ascii="GHEA Grapalat" w:hAnsi="GHEA Grapalat" w:cs="GHEA Grapalat"/>
          <w:sz w:val="22"/>
          <w:szCs w:val="22"/>
        </w:rPr>
        <w:t xml:space="preserve"> </w:t>
      </w:r>
      <w:r w:rsidRPr="00B57DAB">
        <w:rPr>
          <w:rFonts w:ascii="GHEA Grapalat" w:hAnsi="GHEA Grapalat" w:cs="GHEA Grapalat"/>
          <w:sz w:val="22"/>
          <w:szCs w:val="22"/>
          <w:lang w:val="hy-AM"/>
        </w:rPr>
        <w:t>թ</w:t>
      </w:r>
      <w:r w:rsidR="00EA58C0" w:rsidRPr="00B57DAB">
        <w:rPr>
          <w:rFonts w:ascii="GHEA Grapalat" w:hAnsi="GHEA Grapalat" w:cs="GHEA Grapalat"/>
          <w:sz w:val="22"/>
          <w:szCs w:val="22"/>
        </w:rPr>
        <w:t>վական</w:t>
      </w:r>
      <w:r w:rsidRPr="00B57DAB">
        <w:rPr>
          <w:rFonts w:ascii="GHEA Grapalat" w:hAnsi="GHEA Grapalat" w:cs="GHEA Grapalat"/>
          <w:sz w:val="22"/>
          <w:szCs w:val="22"/>
          <w:lang w:val="hy-AM"/>
        </w:rPr>
        <w:t xml:space="preserve">ի առաջին եռամսյակում ՀՀ պաշտպանության նախարարության շենքային պայմանների բարելավման ծախսերի աճով և 2022 թվականի երեք ամիսներին արձանագրված թերակատարումներով: 2022 թվականի երեք ամիսներին կապիտալ ծախսերի ճշտված ծրագրի կատարողականը վատթարացել է՝ կազմելով </w:t>
      </w:r>
      <w:r w:rsidR="00354C6A" w:rsidRPr="00B57DAB">
        <w:rPr>
          <w:rFonts w:ascii="GHEA Grapalat" w:hAnsi="GHEA Grapalat" w:cs="GHEA Grapalat"/>
          <w:sz w:val="22"/>
          <w:szCs w:val="22"/>
          <w:lang w:val="hy-AM"/>
        </w:rPr>
        <w:t>55</w:t>
      </w:r>
      <w:r w:rsidRPr="00B57DAB">
        <w:rPr>
          <w:rFonts w:ascii="GHEA Grapalat" w:hAnsi="GHEA Grapalat" w:cs="GHEA Grapalat"/>
          <w:sz w:val="22"/>
          <w:szCs w:val="22"/>
          <w:lang w:val="hy-AM"/>
        </w:rPr>
        <w:t xml:space="preserve">.3%՝ նախորդ տարվա նույն ժամանակահատվածի </w:t>
      </w:r>
      <w:r w:rsidR="00354C6A" w:rsidRPr="00B57DAB">
        <w:rPr>
          <w:rFonts w:ascii="GHEA Grapalat" w:hAnsi="GHEA Grapalat" w:cs="GHEA Grapalat"/>
          <w:sz w:val="22"/>
          <w:szCs w:val="22"/>
          <w:lang w:val="hy-AM"/>
        </w:rPr>
        <w:t>76.7</w:t>
      </w:r>
      <w:r w:rsidRPr="00B57DAB">
        <w:rPr>
          <w:rFonts w:ascii="GHEA Grapalat" w:hAnsi="GHEA Grapalat" w:cs="GHEA Grapalat"/>
          <w:sz w:val="22"/>
          <w:szCs w:val="22"/>
          <w:lang w:val="hy-AM"/>
        </w:rPr>
        <w:t>%-ի դիմաց։ Ե՛վ ներքին, և՛ արտաքին միջոցների հաշվին իրականացված կապիտալ ծախսերը թերակատարվել են, սակայն ավելի ցածր կատարողական է արձանագրվել արտաքին աջակցությամբ իրականացվող ծախսերի գծով, որոնց շրջանակներում օգտագործվել է երեք ամիսների ծրագրված միջոցների ընդամենը 26.4%-ը: Կատարողականի համեմատաբար ցածր ցուցանիշները ցույց են տալիս, որ կապիտալ ծրագրերի կառավարման խնդիրը շարունակում է մնալ արդիական։</w:t>
      </w:r>
    </w:p>
    <w:p w:rsidR="00AE25A7" w:rsidRPr="00B57DAB" w:rsidRDefault="00AE25A7" w:rsidP="00EA58C0">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Պետական բյուջեի պակասուրդը:</w:t>
      </w:r>
      <w:r w:rsidRPr="00B57DAB">
        <w:rPr>
          <w:rFonts w:ascii="GHEA Grapalat" w:hAnsi="GHEA Grapalat" w:cs="GHEA Grapalat"/>
          <w:sz w:val="22"/>
          <w:szCs w:val="22"/>
          <w:lang w:val="hy-AM"/>
        </w:rPr>
        <w:t xml:space="preserve"> Վերոնշյալ զարգացումների արդյունքում պետական բյուջեն եղել է հավելուրդային: 2022 թվականի առաջին եռամսյակում ձ</w:t>
      </w:r>
      <w:r w:rsidR="00EA58C0" w:rsidRPr="00B57DAB">
        <w:rPr>
          <w:rFonts w:ascii="GHEA Grapalat" w:hAnsi="GHEA Grapalat" w:cs="GHEA Grapalat"/>
          <w:sz w:val="22"/>
          <w:szCs w:val="22"/>
          <w:lang w:val="hy-AM"/>
        </w:rPr>
        <w:t>ևավորվել է պետական բյուջեի 28.7</w:t>
      </w:r>
      <w:r w:rsidR="00EA58C0" w:rsidRPr="00B57DAB">
        <w:rPr>
          <w:rFonts w:ascii="Courier New" w:hAnsi="Courier New" w:cs="Courier New"/>
          <w:sz w:val="22"/>
          <w:szCs w:val="22"/>
        </w:rPr>
        <w:t> </w:t>
      </w:r>
      <w:r w:rsidRPr="00B57DAB">
        <w:rPr>
          <w:rFonts w:ascii="GHEA Grapalat" w:hAnsi="GHEA Grapalat" w:cs="GHEA Grapalat"/>
          <w:sz w:val="22"/>
          <w:szCs w:val="22"/>
          <w:lang w:val="hy-AM"/>
        </w:rPr>
        <w:t>մլրդ դրամ հավելուրդ՝ նախորդ տարվա նույն ժամանակահատվածի 55.6</w:t>
      </w:r>
      <w:r w:rsidR="00F533F8" w:rsidRPr="00B57DAB">
        <w:rPr>
          <w:rFonts w:ascii="GHEA Grapalat" w:hAnsi="GHEA Grapalat" w:cs="GHEA Grapalat"/>
          <w:sz w:val="22"/>
          <w:szCs w:val="22"/>
        </w:rPr>
        <w:t xml:space="preserve"> </w:t>
      </w:r>
      <w:r w:rsidRPr="00B57DAB">
        <w:rPr>
          <w:rFonts w:ascii="GHEA Grapalat" w:hAnsi="GHEA Grapalat" w:cs="GHEA Grapalat"/>
          <w:sz w:val="22"/>
          <w:szCs w:val="22"/>
          <w:lang w:val="hy-AM"/>
        </w:rPr>
        <w:t xml:space="preserve">մլրդ դրամ պակասուրդի դիմաց: </w:t>
      </w:r>
    </w:p>
    <w:p w:rsidR="00AE25A7" w:rsidRPr="00B57DAB" w:rsidRDefault="00AE25A7" w:rsidP="00F533F8">
      <w:pPr>
        <w:spacing w:line="360" w:lineRule="auto"/>
        <w:ind w:firstLine="567"/>
        <w:jc w:val="both"/>
        <w:rPr>
          <w:rFonts w:ascii="GHEA Grapalat" w:hAnsi="GHEA Grapalat" w:cs="GHEA Grapalat"/>
          <w:sz w:val="22"/>
          <w:szCs w:val="22"/>
        </w:rPr>
      </w:pPr>
      <w:r w:rsidRPr="00B57DAB">
        <w:rPr>
          <w:rFonts w:ascii="GHEA Grapalat" w:hAnsi="GHEA Grapalat" w:cs="GHEA Grapalat"/>
          <w:b/>
          <w:i/>
          <w:sz w:val="22"/>
          <w:szCs w:val="22"/>
          <w:lang w:val="hy-AM"/>
        </w:rPr>
        <w:t>Հարկաբյուջետային ազդակը:</w:t>
      </w:r>
      <w:r w:rsidRPr="00B57DAB">
        <w:rPr>
          <w:rFonts w:ascii="GHEA Grapalat" w:hAnsi="GHEA Grapalat" w:cs="GHEA Grapalat"/>
          <w:sz w:val="22"/>
          <w:szCs w:val="22"/>
          <w:lang w:val="hy-AM"/>
        </w:rPr>
        <w:t xml:space="preserve"> 2022 թվականի երեք ամիսների ընթացքում տնտեսության վերականգնման պայմաններում հարկաբյուջետային քաղաքականության ազդեցությունն ամբողջական պահանջարկի վրա գնահատվում է զսպող: Համախառն պահանջարկի վրա հարկաբյուջետային քաղաքականությունը 2022 թվականի երեք ամիսներին նախորդ տարվա նույն ժամանակահատվածի նկատմամբ ունեցել է զսպող (-4.7) ազդեցություն` պայմանավորված եկամուտների (-2.6) և ծախսերի (-2.1) զսպող ազդեցություններով:</w:t>
      </w:r>
    </w:p>
    <w:p w:rsidR="00F533F8" w:rsidRPr="00B57DAB" w:rsidRDefault="00F533F8" w:rsidP="00F533F8">
      <w:pPr>
        <w:ind w:firstLine="567"/>
        <w:jc w:val="both"/>
        <w:rPr>
          <w:rFonts w:ascii="GHEA Grapalat" w:hAnsi="GHEA Grapalat" w:cs="GHEA Grapalat"/>
          <w:sz w:val="22"/>
          <w:szCs w:val="22"/>
        </w:rPr>
      </w:pPr>
    </w:p>
    <w:p w:rsidR="00AE25A7" w:rsidRPr="00B57DAB" w:rsidRDefault="00AE25A7" w:rsidP="00F533F8">
      <w:pPr>
        <w:pStyle w:val="a8"/>
        <w:numPr>
          <w:ilvl w:val="0"/>
          <w:numId w:val="32"/>
        </w:numPr>
        <w:ind w:left="0" w:firstLine="0"/>
        <w:jc w:val="both"/>
        <w:rPr>
          <w:sz w:val="22"/>
          <w:szCs w:val="22"/>
        </w:rPr>
      </w:pPr>
      <w:r w:rsidRPr="00B57DAB">
        <w:rPr>
          <w:sz w:val="22"/>
          <w:szCs w:val="22"/>
        </w:rPr>
        <w:lastRenderedPageBreak/>
        <w:t>Հարկաբյուջետային ազդակը 2018 թվականից եռամսյակային կտրվածքով (կուտակային)</w:t>
      </w:r>
      <w:r w:rsidRPr="00B57DAB">
        <w:rPr>
          <w:sz w:val="22"/>
          <w:szCs w:val="22"/>
          <w:vertAlign w:val="superscript"/>
        </w:rPr>
        <w:footnoteReference w:id="25"/>
      </w:r>
    </w:p>
    <w:p w:rsidR="00AE25A7" w:rsidRPr="00B57DAB" w:rsidRDefault="00AE25A7" w:rsidP="00AE25A7">
      <w:pPr>
        <w:tabs>
          <w:tab w:val="left" w:pos="0"/>
          <w:tab w:val="left" w:pos="900"/>
        </w:tabs>
        <w:spacing w:after="120" w:line="276" w:lineRule="auto"/>
        <w:jc w:val="center"/>
        <w:rPr>
          <w:rFonts w:ascii="GHEA Grapalat" w:hAnsi="GHEA Grapalat" w:cs="GHEA Grapalat"/>
          <w:sz w:val="22"/>
          <w:szCs w:val="22"/>
        </w:rPr>
      </w:pPr>
      <w:r w:rsidRPr="00B57DAB">
        <w:rPr>
          <w:rFonts w:ascii="GHEA Grapalat" w:eastAsia="GHEA Grapalat" w:hAnsi="GHEA Grapalat" w:cs="GHEA Grapalat"/>
          <w:b/>
          <w:noProof/>
        </w:rPr>
        <w:drawing>
          <wp:inline distT="0" distB="0" distL="0" distR="0" wp14:anchorId="304B4584" wp14:editId="52B6A455">
            <wp:extent cx="6417426" cy="2685011"/>
            <wp:effectExtent l="0" t="0" r="2540" b="12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E25A7" w:rsidRPr="00B57DAB" w:rsidRDefault="00AE25A7" w:rsidP="00AE25A7">
      <w:pPr>
        <w:rPr>
          <w:rFonts w:ascii="GHEA Grapalat" w:hAnsi="GHEA Grapalat"/>
        </w:rPr>
      </w:pPr>
    </w:p>
    <w:p w:rsidR="00563135" w:rsidRPr="00B57DAB" w:rsidRDefault="00563135" w:rsidP="00563135">
      <w:pPr>
        <w:autoSpaceDE w:val="0"/>
        <w:autoSpaceDN w:val="0"/>
        <w:adjustRightInd w:val="0"/>
        <w:spacing w:line="360" w:lineRule="auto"/>
        <w:ind w:firstLine="567"/>
        <w:jc w:val="both"/>
        <w:rPr>
          <w:rFonts w:ascii="GHEA Grapalat" w:hAnsi="GHEA Grapalat" w:cs="GHEA Grapalat"/>
          <w:sz w:val="22"/>
          <w:szCs w:val="22"/>
        </w:rPr>
        <w:sectPr w:rsidR="00563135" w:rsidRPr="00B57DAB" w:rsidSect="009C41C6">
          <w:pgSz w:w="11907" w:h="16840" w:code="9"/>
          <w:pgMar w:top="1134" w:right="567" w:bottom="567" w:left="1134" w:header="720" w:footer="567" w:gutter="0"/>
          <w:cols w:space="720"/>
        </w:sectPr>
      </w:pPr>
    </w:p>
    <w:p w:rsidR="00AE25A7" w:rsidRPr="00B57DAB" w:rsidRDefault="00AE25A7" w:rsidP="00AE25A7">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33" w:name="_Toc100315622"/>
      <w:bookmarkStart w:id="34" w:name="_Toc102746162"/>
      <w:bookmarkStart w:id="35" w:name="_Toc102759886"/>
      <w:r w:rsidRPr="00B57DAB">
        <w:rPr>
          <w:rFonts w:ascii="GHEA Grapalat" w:hAnsi="GHEA Grapalat"/>
          <w:i w:val="0"/>
          <w:noProof/>
          <w:sz w:val="22"/>
          <w:szCs w:val="22"/>
          <w:lang w:val="de-AT"/>
        </w:rPr>
        <w:lastRenderedPageBreak/>
        <w:t>Հավելված: Տնտեսության ճյուղերի և ենթաճյուղերի, արտահանման և ներմուծման ապրանքախմբերի հիմնական ցուցանիշների աղյուսակներ</w:t>
      </w:r>
      <w:bookmarkEnd w:id="33"/>
      <w:bookmarkEnd w:id="34"/>
      <w:bookmarkEnd w:id="35"/>
    </w:p>
    <w:p w:rsidR="00AE25A7" w:rsidRPr="00B57DAB" w:rsidRDefault="00AE25A7" w:rsidP="00AE25A7">
      <w:pPr>
        <w:jc w:val="center"/>
        <w:rPr>
          <w:rFonts w:ascii="GHEA Grapalat" w:hAnsi="GHEA Grapalat" w:cs="Arial"/>
          <w:b/>
          <w:sz w:val="22"/>
          <w:szCs w:val="20"/>
        </w:rPr>
      </w:pPr>
    </w:p>
    <w:p w:rsidR="00AE25A7" w:rsidRPr="00B57DAB" w:rsidRDefault="00AE25A7" w:rsidP="00AE25A7">
      <w:pPr>
        <w:jc w:val="center"/>
        <w:rPr>
          <w:rFonts w:ascii="GHEA Grapalat" w:hAnsi="GHEA Grapalat"/>
          <w:sz w:val="22"/>
          <w:szCs w:val="20"/>
        </w:rPr>
      </w:pPr>
      <w:r w:rsidRPr="00B57DAB">
        <w:rPr>
          <w:rFonts w:ascii="GHEA Grapalat" w:hAnsi="GHEA Grapalat" w:cs="Arial"/>
          <w:b/>
          <w:sz w:val="22"/>
          <w:szCs w:val="20"/>
        </w:rPr>
        <w:t xml:space="preserve">Աղյուսակ 1: </w:t>
      </w:r>
      <w:r w:rsidRPr="00B57DAB">
        <w:rPr>
          <w:rFonts w:ascii="GHEA Grapalat" w:hAnsi="GHEA Grapalat" w:cs="Arial"/>
          <w:sz w:val="22"/>
          <w:szCs w:val="20"/>
        </w:rPr>
        <w:t>Տնտեսության ճյուղերի և ենթաճյուղերի թողարկման</w:t>
      </w:r>
      <w:r w:rsidRPr="00B57DAB">
        <w:rPr>
          <w:rFonts w:ascii="GHEA Grapalat" w:hAnsi="GHEA Grapalat"/>
          <w:sz w:val="22"/>
          <w:szCs w:val="20"/>
        </w:rPr>
        <w:t xml:space="preserve"> </w:t>
      </w:r>
      <w:r w:rsidRPr="00B57DAB">
        <w:rPr>
          <w:rFonts w:ascii="GHEA Grapalat" w:hAnsi="GHEA Grapalat" w:cs="Arial"/>
          <w:sz w:val="22"/>
          <w:szCs w:val="20"/>
        </w:rPr>
        <w:t>ծավալների</w:t>
      </w:r>
      <w:r w:rsidRPr="00B57DAB">
        <w:rPr>
          <w:rFonts w:ascii="GHEA Grapalat" w:hAnsi="GHEA Grapalat"/>
          <w:sz w:val="22"/>
          <w:szCs w:val="20"/>
        </w:rPr>
        <w:t xml:space="preserve"> </w:t>
      </w:r>
      <w:r w:rsidRPr="00B57DAB">
        <w:rPr>
          <w:rFonts w:ascii="GHEA Grapalat" w:hAnsi="GHEA Grapalat" w:cs="Arial"/>
          <w:sz w:val="22"/>
          <w:szCs w:val="20"/>
        </w:rPr>
        <w:t>ցուցանիշները,</w:t>
      </w:r>
      <w:r w:rsidRPr="00B57DAB">
        <w:rPr>
          <w:rFonts w:ascii="GHEA Grapalat" w:hAnsi="GHEA Grapalat"/>
          <w:sz w:val="22"/>
          <w:szCs w:val="20"/>
        </w:rPr>
        <w:t xml:space="preserve"> </w:t>
      </w:r>
    </w:p>
    <w:p w:rsidR="00AE25A7" w:rsidRPr="00B57DAB" w:rsidRDefault="00AE25A7" w:rsidP="00AE25A7">
      <w:pPr>
        <w:jc w:val="center"/>
        <w:rPr>
          <w:rFonts w:ascii="GHEA Grapalat" w:hAnsi="GHEA Grapalat"/>
          <w:sz w:val="22"/>
          <w:szCs w:val="20"/>
        </w:rPr>
      </w:pPr>
      <w:r w:rsidRPr="00B57DAB">
        <w:rPr>
          <w:rFonts w:ascii="GHEA Grapalat" w:hAnsi="GHEA Grapalat"/>
          <w:sz w:val="22"/>
          <w:szCs w:val="20"/>
        </w:rPr>
        <w:t>2022</w:t>
      </w:r>
      <w:r w:rsidRPr="00B57DAB">
        <w:rPr>
          <w:rFonts w:ascii="GHEA Grapalat" w:hAnsi="GHEA Grapalat" w:cs="Arial"/>
          <w:sz w:val="22"/>
          <w:szCs w:val="20"/>
        </w:rPr>
        <w:t xml:space="preserve"> թվականի</w:t>
      </w:r>
      <w:r w:rsidRPr="00B57DAB">
        <w:rPr>
          <w:rFonts w:ascii="GHEA Grapalat" w:hAnsi="GHEA Grapalat"/>
          <w:sz w:val="22"/>
          <w:szCs w:val="20"/>
        </w:rPr>
        <w:t xml:space="preserve"> հունվար-մարտ</w:t>
      </w:r>
    </w:p>
    <w:tbl>
      <w:tblPr>
        <w:tblStyle w:val="GridTable4-Accent11"/>
        <w:tblW w:w="10188" w:type="dxa"/>
        <w:tblLook w:val="04A0" w:firstRow="1" w:lastRow="0" w:firstColumn="1" w:lastColumn="0" w:noHBand="0" w:noVBand="1"/>
      </w:tblPr>
      <w:tblGrid>
        <w:gridCol w:w="4315"/>
        <w:gridCol w:w="1440"/>
        <w:gridCol w:w="1343"/>
        <w:gridCol w:w="1225"/>
        <w:gridCol w:w="1865"/>
      </w:tblGrid>
      <w:tr w:rsidR="00AE25A7" w:rsidRPr="00B57DAB" w:rsidTr="00AE25A7">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jc w:val="center"/>
              <w:rPr>
                <w:rFonts w:ascii="GHEA Grapalat" w:hAnsi="GHEA Grapalat"/>
                <w:bCs w:val="0"/>
                <w:i/>
                <w:iCs/>
                <w:color w:val="FF0000"/>
                <w:sz w:val="20"/>
                <w:szCs w:val="20"/>
                <w:lang w:val="hy-AM"/>
              </w:rPr>
            </w:pPr>
          </w:p>
        </w:tc>
        <w:tc>
          <w:tcPr>
            <w:tcW w:w="1440"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B57DAB">
              <w:rPr>
                <w:rFonts w:ascii="GHEA Grapalat" w:hAnsi="GHEA Grapalat"/>
                <w:bCs w:val="0"/>
                <w:sz w:val="20"/>
                <w:szCs w:val="20"/>
              </w:rPr>
              <w:t>Արժեք (մլրդ դրամ)</w:t>
            </w:r>
          </w:p>
        </w:tc>
        <w:tc>
          <w:tcPr>
            <w:tcW w:w="1343"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B57DAB">
              <w:rPr>
                <w:rFonts w:ascii="GHEA Grapalat" w:hAnsi="GHEA Grapalat"/>
                <w:bCs w:val="0"/>
                <w:sz w:val="20"/>
                <w:szCs w:val="20"/>
              </w:rPr>
              <w:t>Կշիռը (%)</w:t>
            </w:r>
          </w:p>
        </w:tc>
        <w:tc>
          <w:tcPr>
            <w:tcW w:w="1225"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B57DAB">
              <w:rPr>
                <w:rFonts w:ascii="GHEA Grapalat" w:hAnsi="GHEA Grapalat"/>
                <w:bCs w:val="0"/>
                <w:sz w:val="20"/>
                <w:szCs w:val="20"/>
              </w:rPr>
              <w:t>Աճի ինդեքս</w:t>
            </w:r>
          </w:p>
        </w:tc>
        <w:tc>
          <w:tcPr>
            <w:tcW w:w="1865"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B57DAB">
              <w:rPr>
                <w:rFonts w:ascii="GHEA Grapalat" w:hAnsi="GHEA Grapalat"/>
                <w:bCs w:val="0"/>
                <w:sz w:val="20"/>
                <w:szCs w:val="20"/>
              </w:rPr>
              <w:t>Նպաստում (տոկոսային կետ)</w:t>
            </w:r>
            <w:r w:rsidRPr="00B57DAB">
              <w:rPr>
                <w:rStyle w:val="FootnoteReference"/>
                <w:rFonts w:ascii="GHEA Grapalat" w:hAnsi="GHEA Grapalat"/>
                <w:bCs w:val="0"/>
                <w:sz w:val="20"/>
                <w:szCs w:val="20"/>
              </w:rPr>
              <w:footnoteReference w:id="26"/>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rPr>
                <w:rFonts w:ascii="GHEA Grapalat" w:hAnsi="GHEA Grapalat"/>
                <w:bCs w:val="0"/>
                <w:sz w:val="20"/>
                <w:szCs w:val="20"/>
              </w:rPr>
            </w:pPr>
            <w:r w:rsidRPr="00B57DAB">
              <w:rPr>
                <w:rFonts w:ascii="GHEA Grapalat" w:hAnsi="GHEA Grapalat"/>
                <w:bCs w:val="0"/>
                <w:sz w:val="20"/>
                <w:szCs w:val="20"/>
              </w:rPr>
              <w:t>Ամբողջ արդյունաբերություն, այդ թվում՝</w:t>
            </w:r>
          </w:p>
        </w:tc>
        <w:tc>
          <w:tcPr>
            <w:tcW w:w="1440"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550.7</w:t>
            </w:r>
          </w:p>
        </w:tc>
        <w:tc>
          <w:tcPr>
            <w:tcW w:w="134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100.0</w:t>
            </w:r>
          </w:p>
        </w:tc>
        <w:tc>
          <w:tcPr>
            <w:tcW w:w="1225"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103.1</w:t>
            </w:r>
          </w:p>
        </w:tc>
        <w:tc>
          <w:tcPr>
            <w:tcW w:w="1865"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3.1</w:t>
            </w:r>
          </w:p>
        </w:tc>
      </w:tr>
      <w:tr w:rsidR="00AE25A7" w:rsidRPr="00B57DAB" w:rsidTr="00AE25A7">
        <w:trPr>
          <w:trHeight w:val="203"/>
        </w:trPr>
        <w:tc>
          <w:tcPr>
            <w:cnfStyle w:val="001000000000" w:firstRow="0" w:lastRow="0" w:firstColumn="1" w:lastColumn="0" w:oddVBand="0" w:evenVBand="0" w:oddHBand="0" w:evenHBand="0" w:firstRowFirstColumn="0" w:firstRowLastColumn="0" w:lastRowFirstColumn="0" w:lastRowLastColumn="0"/>
            <w:tcW w:w="4315" w:type="dxa"/>
            <w:hideMark/>
          </w:tcPr>
          <w:p w:rsidR="00AE25A7" w:rsidRPr="00B57DAB" w:rsidRDefault="00AE25A7" w:rsidP="00AE25A7">
            <w:pPr>
              <w:rPr>
                <w:rFonts w:ascii="GHEA Grapalat" w:hAnsi="GHEA Grapalat"/>
                <w:sz w:val="20"/>
                <w:szCs w:val="20"/>
              </w:rPr>
            </w:pPr>
            <w:r w:rsidRPr="00B57DAB">
              <w:rPr>
                <w:rFonts w:ascii="Calibri" w:hAnsi="Calibri" w:cs="Calibri"/>
                <w:sz w:val="20"/>
                <w:szCs w:val="20"/>
              </w:rPr>
              <w:t> </w:t>
            </w:r>
          </w:p>
        </w:tc>
        <w:tc>
          <w:tcPr>
            <w:tcW w:w="1440"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34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B57DAB">
              <w:rPr>
                <w:rFonts w:ascii="Calibri" w:hAnsi="Calibri" w:cs="Calibri"/>
                <w:b/>
                <w:sz w:val="20"/>
                <w:szCs w:val="20"/>
              </w:rPr>
              <w:t> </w:t>
            </w:r>
          </w:p>
        </w:tc>
        <w:tc>
          <w:tcPr>
            <w:tcW w:w="1225"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865"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AE25A7" w:rsidRPr="00B57DAB" w:rsidRDefault="00AE25A7" w:rsidP="00AE25A7">
            <w:pPr>
              <w:ind w:left="270" w:hanging="180"/>
              <w:rPr>
                <w:rFonts w:ascii="GHEA Grapalat" w:hAnsi="GHEA Grapalat"/>
                <w:b w:val="0"/>
                <w:bCs w:val="0"/>
                <w:sz w:val="20"/>
                <w:szCs w:val="20"/>
                <w:lang w:val="hy-AM"/>
              </w:rPr>
            </w:pPr>
            <w:r w:rsidRPr="00B57DAB">
              <w:rPr>
                <w:rFonts w:ascii="GHEA Grapalat" w:hAnsi="GHEA Grapalat"/>
                <w:b w:val="0"/>
                <w:bCs w:val="0"/>
                <w:sz w:val="20"/>
                <w:szCs w:val="20"/>
                <w:lang w:val="hy-AM"/>
              </w:rPr>
              <w:t>հանքագործական արդյունաբերություն և բացահանքերի շահագործում</w:t>
            </w:r>
          </w:p>
        </w:tc>
        <w:tc>
          <w:tcPr>
            <w:tcW w:w="1440"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144.7</w:t>
            </w:r>
          </w:p>
        </w:tc>
        <w:tc>
          <w:tcPr>
            <w:tcW w:w="134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26.3</w:t>
            </w:r>
          </w:p>
        </w:tc>
        <w:tc>
          <w:tcPr>
            <w:tcW w:w="1225"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87.1</w:t>
            </w:r>
          </w:p>
        </w:tc>
        <w:tc>
          <w:tcPr>
            <w:tcW w:w="1865"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-3.6</w:t>
            </w:r>
          </w:p>
        </w:tc>
      </w:tr>
      <w:tr w:rsidR="00AE25A7" w:rsidRPr="00B57DAB" w:rsidTr="00AE25A7">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ind w:left="270" w:hanging="180"/>
              <w:rPr>
                <w:rFonts w:ascii="GHEA Grapalat" w:hAnsi="GHEA Grapalat"/>
                <w:b w:val="0"/>
                <w:bCs w:val="0"/>
                <w:sz w:val="20"/>
                <w:szCs w:val="20"/>
              </w:rPr>
            </w:pPr>
            <w:r w:rsidRPr="00B57DAB">
              <w:rPr>
                <w:rFonts w:ascii="GHEA Grapalat" w:hAnsi="GHEA Grapalat"/>
                <w:b w:val="0"/>
                <w:bCs w:val="0"/>
                <w:sz w:val="20"/>
                <w:szCs w:val="20"/>
              </w:rPr>
              <w:t>մշակող արդյունաբերություն</w:t>
            </w:r>
          </w:p>
        </w:tc>
        <w:tc>
          <w:tcPr>
            <w:tcW w:w="1440"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303.8</w:t>
            </w:r>
          </w:p>
        </w:tc>
        <w:tc>
          <w:tcPr>
            <w:tcW w:w="134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55.2</w:t>
            </w:r>
          </w:p>
        </w:tc>
        <w:tc>
          <w:tcPr>
            <w:tcW w:w="1225"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110.9</w:t>
            </w:r>
          </w:p>
        </w:tc>
        <w:tc>
          <w:tcPr>
            <w:tcW w:w="1865"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6.1</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AE25A7" w:rsidRPr="00B57DAB" w:rsidRDefault="00AE25A7" w:rsidP="00AE25A7">
            <w:pPr>
              <w:ind w:left="270" w:hanging="180"/>
              <w:rPr>
                <w:rFonts w:ascii="GHEA Grapalat" w:hAnsi="GHEA Grapalat"/>
                <w:b w:val="0"/>
                <w:bCs w:val="0"/>
                <w:sz w:val="20"/>
                <w:szCs w:val="20"/>
                <w:lang w:val="hy-AM"/>
              </w:rPr>
            </w:pPr>
            <w:r w:rsidRPr="00B57DAB">
              <w:rPr>
                <w:rFonts w:ascii="GHEA Grapalat" w:hAnsi="GHEA Grapalat"/>
                <w:b w:val="0"/>
                <w:bCs w:val="0"/>
                <w:sz w:val="20"/>
                <w:szCs w:val="20"/>
                <w:lang w:val="hy-AM"/>
              </w:rPr>
              <w:t xml:space="preserve"> էլեկտրաէներգիայի, գազի, գոլորշու և լավորակ օդի մատակարարում</w:t>
            </w:r>
          </w:p>
        </w:tc>
        <w:tc>
          <w:tcPr>
            <w:tcW w:w="1440"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96.3</w:t>
            </w:r>
          </w:p>
        </w:tc>
        <w:tc>
          <w:tcPr>
            <w:tcW w:w="134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17.5</w:t>
            </w:r>
          </w:p>
        </w:tc>
        <w:tc>
          <w:tcPr>
            <w:tcW w:w="1225"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103.3</w:t>
            </w:r>
          </w:p>
        </w:tc>
        <w:tc>
          <w:tcPr>
            <w:tcW w:w="1865"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0.6</w:t>
            </w:r>
          </w:p>
        </w:tc>
      </w:tr>
      <w:tr w:rsidR="00AE25A7" w:rsidRPr="00B57DAB" w:rsidTr="00AE25A7">
        <w:trPr>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AE25A7" w:rsidRPr="00B57DAB" w:rsidRDefault="00AE25A7" w:rsidP="00AE25A7">
            <w:pPr>
              <w:ind w:left="270" w:hanging="180"/>
              <w:rPr>
                <w:rFonts w:ascii="GHEA Grapalat" w:hAnsi="GHEA Grapalat"/>
                <w:b w:val="0"/>
                <w:bCs w:val="0"/>
                <w:sz w:val="20"/>
                <w:szCs w:val="20"/>
                <w:lang w:val="hy-AM"/>
              </w:rPr>
            </w:pPr>
            <w:r w:rsidRPr="00B57DAB">
              <w:rPr>
                <w:rFonts w:ascii="GHEA Grapalat" w:hAnsi="GHEA Grapalat"/>
                <w:b w:val="0"/>
                <w:bCs w:val="0"/>
                <w:sz w:val="20"/>
                <w:szCs w:val="20"/>
                <w:lang w:val="hy-AM"/>
              </w:rPr>
              <w:t>ջրամատակարարում, կոյուղի, թափոնների կառավարում և վերամշակում</w:t>
            </w:r>
          </w:p>
        </w:tc>
        <w:tc>
          <w:tcPr>
            <w:tcW w:w="1440"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5.8</w:t>
            </w:r>
          </w:p>
        </w:tc>
        <w:tc>
          <w:tcPr>
            <w:tcW w:w="134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1.1</w:t>
            </w:r>
          </w:p>
        </w:tc>
        <w:tc>
          <w:tcPr>
            <w:tcW w:w="1225"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106.7</w:t>
            </w:r>
          </w:p>
        </w:tc>
        <w:tc>
          <w:tcPr>
            <w:tcW w:w="1865"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0.1</w:t>
            </w:r>
          </w:p>
        </w:tc>
      </w:tr>
    </w:tbl>
    <w:p w:rsidR="00AE25A7" w:rsidRPr="00B57DAB" w:rsidRDefault="00AE25A7" w:rsidP="00AE25A7">
      <w:pPr>
        <w:rPr>
          <w:rFonts w:ascii="GHEA Grapalat" w:hAnsi="GHEA Grapalat" w:cs="Arial"/>
          <w:b/>
          <w:sz w:val="20"/>
          <w:szCs w:val="20"/>
        </w:rPr>
      </w:pPr>
    </w:p>
    <w:tbl>
      <w:tblPr>
        <w:tblStyle w:val="GridTable4-Accent11"/>
        <w:tblW w:w="10188" w:type="dxa"/>
        <w:tblLayout w:type="fixed"/>
        <w:tblLook w:val="04A0" w:firstRow="1" w:lastRow="0" w:firstColumn="1" w:lastColumn="0" w:noHBand="0" w:noVBand="1"/>
      </w:tblPr>
      <w:tblGrid>
        <w:gridCol w:w="4315"/>
        <w:gridCol w:w="1440"/>
        <w:gridCol w:w="1350"/>
        <w:gridCol w:w="1260"/>
        <w:gridCol w:w="1823"/>
      </w:tblGrid>
      <w:tr w:rsidR="00AE25A7" w:rsidRPr="00B57DAB" w:rsidTr="00AE25A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ind w:firstLineChars="400" w:firstLine="803"/>
              <w:rPr>
                <w:rFonts w:ascii="GHEA Grapalat" w:hAnsi="GHEA Grapalat"/>
                <w:sz w:val="20"/>
                <w:szCs w:val="20"/>
              </w:rPr>
            </w:pPr>
            <w:r w:rsidRPr="00B57DAB">
              <w:rPr>
                <w:rFonts w:ascii="Calibri" w:hAnsi="Calibri" w:cs="Calibri"/>
                <w:sz w:val="20"/>
                <w:szCs w:val="20"/>
              </w:rPr>
              <w:t> </w:t>
            </w:r>
          </w:p>
        </w:tc>
        <w:tc>
          <w:tcPr>
            <w:tcW w:w="1440"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B57DAB">
              <w:rPr>
                <w:rFonts w:ascii="GHEA Grapalat" w:hAnsi="GHEA Grapalat"/>
                <w:bCs w:val="0"/>
                <w:sz w:val="20"/>
                <w:szCs w:val="20"/>
              </w:rPr>
              <w:t>Արժեք (մլրդ դրամ)</w:t>
            </w:r>
          </w:p>
        </w:tc>
        <w:tc>
          <w:tcPr>
            <w:tcW w:w="1350"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B57DAB">
              <w:rPr>
                <w:rFonts w:ascii="GHEA Grapalat" w:hAnsi="GHEA Grapalat"/>
                <w:bCs w:val="0"/>
                <w:sz w:val="20"/>
                <w:szCs w:val="20"/>
              </w:rPr>
              <w:t>Կշիռը (%)</w:t>
            </w:r>
          </w:p>
        </w:tc>
        <w:tc>
          <w:tcPr>
            <w:tcW w:w="1260"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B57DAB">
              <w:rPr>
                <w:rFonts w:ascii="GHEA Grapalat" w:hAnsi="GHEA Grapalat"/>
                <w:bCs w:val="0"/>
                <w:sz w:val="20"/>
                <w:szCs w:val="20"/>
              </w:rPr>
              <w:t>Աճի ինդեքս</w:t>
            </w:r>
          </w:p>
        </w:tc>
        <w:tc>
          <w:tcPr>
            <w:tcW w:w="1823"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B57DAB">
              <w:rPr>
                <w:rFonts w:ascii="GHEA Grapalat" w:hAnsi="GHEA Grapalat"/>
                <w:bCs w:val="0"/>
                <w:sz w:val="20"/>
                <w:szCs w:val="20"/>
              </w:rPr>
              <w:t>Նպաստում (տոկոսային կետ)</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rPr>
                <w:rFonts w:ascii="GHEA Grapalat" w:hAnsi="GHEA Grapalat"/>
                <w:bCs w:val="0"/>
                <w:sz w:val="20"/>
                <w:szCs w:val="20"/>
                <w:lang w:val="hy-AM"/>
              </w:rPr>
            </w:pPr>
            <w:r w:rsidRPr="00B57DAB">
              <w:rPr>
                <w:rFonts w:ascii="GHEA Grapalat" w:hAnsi="GHEA Grapalat"/>
                <w:bCs w:val="0"/>
                <w:sz w:val="20"/>
                <w:szCs w:val="20"/>
                <w:lang w:val="hy-AM"/>
              </w:rPr>
              <w:t>Գյուղատնտեսություն, անտառային տնտեսություն և ձկնորսություն</w:t>
            </w:r>
          </w:p>
        </w:tc>
        <w:tc>
          <w:tcPr>
            <w:tcW w:w="144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98.4</w:t>
            </w:r>
          </w:p>
        </w:tc>
        <w:tc>
          <w:tcPr>
            <w:tcW w:w="135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100.0</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99.2</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-0.8</w:t>
            </w:r>
          </w:p>
        </w:tc>
      </w:tr>
      <w:tr w:rsidR="00AE25A7" w:rsidRPr="00B57DAB" w:rsidTr="00AE25A7">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ind w:firstLineChars="45" w:firstLine="90"/>
              <w:jc w:val="right"/>
              <w:rPr>
                <w:rFonts w:ascii="GHEA Grapalat" w:hAnsi="GHEA Grapalat"/>
                <w:sz w:val="20"/>
                <w:szCs w:val="20"/>
              </w:rPr>
            </w:pPr>
            <w:r w:rsidRPr="00B57DAB">
              <w:rPr>
                <w:rFonts w:ascii="GHEA Grapalat" w:hAnsi="GHEA Grapalat"/>
                <w:i/>
                <w:iCs/>
                <w:sz w:val="20"/>
                <w:szCs w:val="20"/>
              </w:rPr>
              <w:t>այդ թվում`</w:t>
            </w:r>
          </w:p>
        </w:tc>
        <w:tc>
          <w:tcPr>
            <w:tcW w:w="1440"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35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82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ind w:firstLineChars="45" w:firstLine="90"/>
              <w:rPr>
                <w:rFonts w:ascii="GHEA Grapalat" w:hAnsi="GHEA Grapalat"/>
                <w:b w:val="0"/>
                <w:sz w:val="20"/>
                <w:szCs w:val="20"/>
              </w:rPr>
            </w:pPr>
            <w:r w:rsidRPr="00B57DAB">
              <w:rPr>
                <w:rFonts w:ascii="GHEA Grapalat" w:hAnsi="GHEA Grapalat"/>
                <w:b w:val="0"/>
                <w:sz w:val="20"/>
                <w:szCs w:val="20"/>
              </w:rPr>
              <w:t>բուսաբուծություն</w:t>
            </w:r>
          </w:p>
        </w:tc>
        <w:tc>
          <w:tcPr>
            <w:tcW w:w="1440"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8.1</w:t>
            </w:r>
          </w:p>
        </w:tc>
        <w:tc>
          <w:tcPr>
            <w:tcW w:w="135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8.2</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75.6</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-2.2</w:t>
            </w:r>
          </w:p>
        </w:tc>
      </w:tr>
      <w:tr w:rsidR="00AE25A7" w:rsidRPr="00B57DAB" w:rsidTr="00AE25A7">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ind w:firstLineChars="45" w:firstLine="90"/>
              <w:rPr>
                <w:rFonts w:ascii="GHEA Grapalat" w:hAnsi="GHEA Grapalat"/>
                <w:b w:val="0"/>
                <w:sz w:val="20"/>
                <w:szCs w:val="20"/>
              </w:rPr>
            </w:pPr>
            <w:r w:rsidRPr="00B57DAB">
              <w:rPr>
                <w:rFonts w:ascii="GHEA Grapalat" w:hAnsi="GHEA Grapalat"/>
                <w:b w:val="0"/>
                <w:sz w:val="20"/>
                <w:szCs w:val="20"/>
              </w:rPr>
              <w:t>անասնաբուծություն</w:t>
            </w:r>
          </w:p>
        </w:tc>
        <w:tc>
          <w:tcPr>
            <w:tcW w:w="1440"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71.0</w:t>
            </w:r>
          </w:p>
        </w:tc>
        <w:tc>
          <w:tcPr>
            <w:tcW w:w="135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72.2</w:t>
            </w: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96.9</w:t>
            </w:r>
          </w:p>
        </w:tc>
        <w:tc>
          <w:tcPr>
            <w:tcW w:w="182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-2.3</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tcPr>
          <w:p w:rsidR="00AE25A7" w:rsidRPr="00B57DAB" w:rsidRDefault="00AE25A7" w:rsidP="00AE25A7">
            <w:pPr>
              <w:ind w:firstLineChars="45" w:firstLine="90"/>
              <w:rPr>
                <w:rFonts w:ascii="GHEA Grapalat" w:hAnsi="GHEA Grapalat"/>
                <w:b w:val="0"/>
                <w:sz w:val="20"/>
                <w:szCs w:val="20"/>
              </w:rPr>
            </w:pPr>
            <w:r w:rsidRPr="00B57DAB">
              <w:rPr>
                <w:rFonts w:ascii="GHEA Grapalat" w:hAnsi="GHEA Grapalat"/>
                <w:b w:val="0"/>
                <w:sz w:val="20"/>
                <w:szCs w:val="20"/>
              </w:rPr>
              <w:t>անտառային տնտեսություն</w:t>
            </w:r>
          </w:p>
        </w:tc>
        <w:tc>
          <w:tcPr>
            <w:tcW w:w="1440"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0.4</w:t>
            </w:r>
          </w:p>
        </w:tc>
        <w:tc>
          <w:tcPr>
            <w:tcW w:w="135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0.4</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120.4</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0.1</w:t>
            </w:r>
          </w:p>
        </w:tc>
      </w:tr>
      <w:tr w:rsidR="00AE25A7" w:rsidRPr="00B57DAB" w:rsidTr="00AE25A7">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ind w:firstLineChars="45" w:firstLine="90"/>
              <w:rPr>
                <w:rFonts w:ascii="GHEA Grapalat" w:hAnsi="GHEA Grapalat"/>
                <w:b w:val="0"/>
                <w:sz w:val="20"/>
                <w:szCs w:val="20"/>
              </w:rPr>
            </w:pPr>
            <w:r w:rsidRPr="00B57DAB">
              <w:rPr>
                <w:rFonts w:ascii="GHEA Grapalat" w:hAnsi="GHEA Grapalat"/>
                <w:b w:val="0"/>
                <w:sz w:val="20"/>
                <w:szCs w:val="20"/>
              </w:rPr>
              <w:t>ձկնորսություն</w:t>
            </w:r>
          </w:p>
        </w:tc>
        <w:tc>
          <w:tcPr>
            <w:tcW w:w="1440"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18.8</w:t>
            </w:r>
          </w:p>
        </w:tc>
        <w:tc>
          <w:tcPr>
            <w:tcW w:w="135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19.1</w:t>
            </w: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127.0</w:t>
            </w:r>
          </w:p>
        </w:tc>
        <w:tc>
          <w:tcPr>
            <w:tcW w:w="182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3.5</w:t>
            </w:r>
          </w:p>
        </w:tc>
      </w:tr>
    </w:tbl>
    <w:p w:rsidR="00AE25A7" w:rsidRPr="00B57DAB" w:rsidRDefault="00AE25A7" w:rsidP="00AE25A7">
      <w:pPr>
        <w:rPr>
          <w:rFonts w:ascii="GHEA Grapalat" w:hAnsi="GHEA Grapalat"/>
          <w:b/>
          <w:sz w:val="20"/>
          <w:szCs w:val="20"/>
        </w:rPr>
      </w:pPr>
    </w:p>
    <w:tbl>
      <w:tblPr>
        <w:tblStyle w:val="GridTable4-Accent11"/>
        <w:tblW w:w="10188" w:type="dxa"/>
        <w:tblLayout w:type="fixed"/>
        <w:tblLook w:val="04A0" w:firstRow="1" w:lastRow="0" w:firstColumn="1" w:lastColumn="0" w:noHBand="0" w:noVBand="1"/>
      </w:tblPr>
      <w:tblGrid>
        <w:gridCol w:w="4315"/>
        <w:gridCol w:w="1440"/>
        <w:gridCol w:w="1350"/>
        <w:gridCol w:w="1260"/>
        <w:gridCol w:w="1823"/>
      </w:tblGrid>
      <w:tr w:rsidR="00AE25A7" w:rsidRPr="00B57DAB" w:rsidTr="00AE25A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jc w:val="center"/>
              <w:rPr>
                <w:rFonts w:ascii="GHEA Grapalat" w:hAnsi="GHEA Grapalat"/>
                <w:i/>
                <w:iCs/>
                <w:sz w:val="20"/>
                <w:szCs w:val="20"/>
              </w:rPr>
            </w:pPr>
            <w:r w:rsidRPr="00B57DAB">
              <w:rPr>
                <w:rFonts w:ascii="GHEA Grapalat" w:hAnsi="GHEA Grapalat"/>
                <w:i/>
                <w:iCs/>
                <w:sz w:val="20"/>
                <w:szCs w:val="20"/>
              </w:rPr>
              <w:t>ըստ ֆինանսավորման աղբյուրների</w:t>
            </w:r>
          </w:p>
        </w:tc>
        <w:tc>
          <w:tcPr>
            <w:tcW w:w="1440"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B57DAB">
              <w:rPr>
                <w:rFonts w:ascii="GHEA Grapalat" w:hAnsi="GHEA Grapalat"/>
                <w:bCs w:val="0"/>
                <w:sz w:val="20"/>
                <w:szCs w:val="20"/>
              </w:rPr>
              <w:t>Արժեք (մլրդ դրամ)</w:t>
            </w:r>
          </w:p>
        </w:tc>
        <w:tc>
          <w:tcPr>
            <w:tcW w:w="1350"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B57DAB">
              <w:rPr>
                <w:rFonts w:ascii="GHEA Grapalat" w:hAnsi="GHEA Grapalat"/>
                <w:bCs w:val="0"/>
                <w:sz w:val="20"/>
                <w:szCs w:val="20"/>
              </w:rPr>
              <w:t>Կշիռը (%)</w:t>
            </w:r>
          </w:p>
        </w:tc>
        <w:tc>
          <w:tcPr>
            <w:tcW w:w="1260"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B57DAB">
              <w:rPr>
                <w:rFonts w:ascii="GHEA Grapalat" w:hAnsi="GHEA Grapalat"/>
                <w:bCs w:val="0"/>
                <w:sz w:val="20"/>
                <w:szCs w:val="20"/>
              </w:rPr>
              <w:t>Աճի ինդեքս</w:t>
            </w:r>
          </w:p>
        </w:tc>
        <w:tc>
          <w:tcPr>
            <w:tcW w:w="1823"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B57DAB">
              <w:rPr>
                <w:rFonts w:ascii="GHEA Grapalat" w:hAnsi="GHEA Grapalat"/>
                <w:bCs w:val="0"/>
                <w:sz w:val="20"/>
                <w:szCs w:val="20"/>
              </w:rPr>
              <w:t>Նպաստում (տոկոսային կետ)</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rPr>
                <w:rFonts w:ascii="GHEA Grapalat" w:hAnsi="GHEA Grapalat"/>
                <w:bCs w:val="0"/>
                <w:sz w:val="20"/>
                <w:szCs w:val="20"/>
              </w:rPr>
            </w:pPr>
            <w:r w:rsidRPr="00B57DAB">
              <w:rPr>
                <w:rFonts w:ascii="GHEA Grapalat" w:hAnsi="GHEA Grapalat"/>
                <w:bCs w:val="0"/>
                <w:sz w:val="20"/>
                <w:szCs w:val="20"/>
              </w:rPr>
              <w:t>Շինարարություն</w:t>
            </w:r>
          </w:p>
        </w:tc>
        <w:tc>
          <w:tcPr>
            <w:tcW w:w="1440"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B57DAB">
              <w:rPr>
                <w:rFonts w:ascii="GHEA Grapalat" w:hAnsi="GHEA Grapalat"/>
                <w:b/>
                <w:bCs/>
                <w:sz w:val="20"/>
                <w:szCs w:val="20"/>
              </w:rPr>
              <w:t>56.0</w:t>
            </w:r>
          </w:p>
        </w:tc>
        <w:tc>
          <w:tcPr>
            <w:tcW w:w="135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B57DAB">
              <w:rPr>
                <w:rFonts w:ascii="GHEA Grapalat" w:hAnsi="GHEA Grapalat"/>
                <w:b/>
                <w:bCs/>
                <w:sz w:val="20"/>
                <w:szCs w:val="20"/>
              </w:rPr>
              <w:t>100.0</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B57DAB">
              <w:rPr>
                <w:rFonts w:ascii="GHEA Grapalat" w:hAnsi="GHEA Grapalat"/>
                <w:b/>
                <w:bCs/>
                <w:sz w:val="20"/>
                <w:szCs w:val="20"/>
              </w:rPr>
              <w:t>106.2</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B57DAB">
              <w:rPr>
                <w:rFonts w:ascii="GHEA Grapalat" w:hAnsi="GHEA Grapalat"/>
                <w:b/>
                <w:bCs/>
                <w:sz w:val="20"/>
                <w:szCs w:val="20"/>
              </w:rPr>
              <w:t>6.2</w:t>
            </w:r>
          </w:p>
        </w:tc>
      </w:tr>
      <w:tr w:rsidR="00AE25A7" w:rsidRPr="00B57DAB" w:rsidTr="00AE25A7">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jc w:val="right"/>
              <w:rPr>
                <w:rFonts w:ascii="GHEA Grapalat" w:hAnsi="GHEA Grapalat"/>
                <w:b w:val="0"/>
                <w:bCs w:val="0"/>
                <w:sz w:val="20"/>
                <w:szCs w:val="20"/>
              </w:rPr>
            </w:pPr>
            <w:r w:rsidRPr="00B57DAB">
              <w:rPr>
                <w:rFonts w:ascii="Calibri" w:hAnsi="Calibri" w:cs="Calibri"/>
                <w:b w:val="0"/>
                <w:bCs w:val="0"/>
                <w:sz w:val="20"/>
                <w:szCs w:val="20"/>
              </w:rPr>
              <w:t> </w:t>
            </w:r>
            <w:r w:rsidRPr="00B57DAB">
              <w:rPr>
                <w:rFonts w:ascii="GHEA Grapalat" w:hAnsi="GHEA Grapalat"/>
                <w:i/>
                <w:iCs/>
                <w:sz w:val="20"/>
                <w:szCs w:val="20"/>
              </w:rPr>
              <w:t>այդ թվում`</w:t>
            </w:r>
          </w:p>
        </w:tc>
        <w:tc>
          <w:tcPr>
            <w:tcW w:w="144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c>
          <w:tcPr>
            <w:tcW w:w="135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B57DAB">
              <w:rPr>
                <w:rFonts w:ascii="Calibri" w:hAnsi="Calibri" w:cs="Calibri"/>
                <w:b/>
                <w:bCs/>
                <w:sz w:val="20"/>
                <w:szCs w:val="20"/>
              </w:rPr>
              <w:t> </w:t>
            </w: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c>
          <w:tcPr>
            <w:tcW w:w="182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ind w:firstLineChars="45" w:firstLine="90"/>
              <w:rPr>
                <w:rFonts w:ascii="GHEA Grapalat" w:hAnsi="GHEA Grapalat"/>
                <w:b w:val="0"/>
                <w:sz w:val="20"/>
                <w:szCs w:val="20"/>
              </w:rPr>
            </w:pPr>
            <w:r w:rsidRPr="00B57DAB">
              <w:rPr>
                <w:rFonts w:ascii="GHEA Grapalat" w:hAnsi="GHEA Grapalat"/>
                <w:b w:val="0"/>
                <w:sz w:val="20"/>
                <w:szCs w:val="20"/>
              </w:rPr>
              <w:t xml:space="preserve">պետական բյուջեի, </w:t>
            </w:r>
            <w:r w:rsidRPr="00B57DAB">
              <w:rPr>
                <w:rFonts w:ascii="GHEA Grapalat" w:hAnsi="GHEA Grapalat"/>
                <w:b w:val="0"/>
                <w:i/>
                <w:sz w:val="20"/>
                <w:szCs w:val="20"/>
              </w:rPr>
              <w:t>այդ թվում՝</w:t>
            </w:r>
          </w:p>
        </w:tc>
        <w:tc>
          <w:tcPr>
            <w:tcW w:w="1440"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12.3</w:t>
            </w:r>
          </w:p>
        </w:tc>
        <w:tc>
          <w:tcPr>
            <w:tcW w:w="135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22.0</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84.8</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-4.4</w:t>
            </w:r>
          </w:p>
        </w:tc>
      </w:tr>
      <w:tr w:rsidR="00AE25A7" w:rsidRPr="00B57DAB" w:rsidTr="00AE25A7">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ind w:firstLineChars="45" w:firstLine="90"/>
              <w:jc w:val="center"/>
              <w:rPr>
                <w:rFonts w:ascii="GHEA Grapalat" w:hAnsi="GHEA Grapalat"/>
                <w:b w:val="0"/>
                <w:i/>
                <w:iCs/>
                <w:sz w:val="20"/>
                <w:szCs w:val="20"/>
              </w:rPr>
            </w:pPr>
            <w:r w:rsidRPr="00B57DAB">
              <w:rPr>
                <w:rFonts w:ascii="GHEA Grapalat" w:hAnsi="GHEA Grapalat"/>
                <w:b w:val="0"/>
                <w:i/>
                <w:iCs/>
                <w:sz w:val="20"/>
                <w:szCs w:val="20"/>
              </w:rPr>
              <w:t>միջազգային վարկերի</w:t>
            </w:r>
          </w:p>
        </w:tc>
        <w:tc>
          <w:tcPr>
            <w:tcW w:w="1440"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4.4</w:t>
            </w:r>
          </w:p>
        </w:tc>
        <w:tc>
          <w:tcPr>
            <w:tcW w:w="135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7.9</w:t>
            </w: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51.8</w:t>
            </w:r>
          </w:p>
        </w:tc>
        <w:tc>
          <w:tcPr>
            <w:tcW w:w="182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-8.2</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ind w:firstLineChars="45" w:firstLine="90"/>
              <w:rPr>
                <w:rFonts w:ascii="GHEA Grapalat" w:hAnsi="GHEA Grapalat"/>
                <w:b w:val="0"/>
                <w:sz w:val="20"/>
                <w:szCs w:val="20"/>
              </w:rPr>
            </w:pPr>
            <w:r w:rsidRPr="00B57DAB">
              <w:rPr>
                <w:rFonts w:ascii="GHEA Grapalat" w:hAnsi="GHEA Grapalat"/>
                <w:b w:val="0"/>
                <w:sz w:val="20"/>
                <w:szCs w:val="20"/>
              </w:rPr>
              <w:t>համայնքների միջոցների</w:t>
            </w:r>
          </w:p>
        </w:tc>
        <w:tc>
          <w:tcPr>
            <w:tcW w:w="1440"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1.1</w:t>
            </w:r>
          </w:p>
        </w:tc>
        <w:tc>
          <w:tcPr>
            <w:tcW w:w="135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2.0</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105.0</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0.1</w:t>
            </w:r>
          </w:p>
        </w:tc>
      </w:tr>
      <w:tr w:rsidR="00AE25A7" w:rsidRPr="00B57DAB" w:rsidTr="00AE25A7">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ind w:firstLineChars="45" w:firstLine="90"/>
              <w:rPr>
                <w:rFonts w:ascii="GHEA Grapalat" w:hAnsi="GHEA Grapalat"/>
                <w:b w:val="0"/>
                <w:sz w:val="20"/>
                <w:szCs w:val="20"/>
              </w:rPr>
            </w:pPr>
            <w:r w:rsidRPr="00B57DAB">
              <w:rPr>
                <w:rFonts w:ascii="GHEA Grapalat" w:hAnsi="GHEA Grapalat"/>
                <w:b w:val="0"/>
                <w:sz w:val="20"/>
                <w:szCs w:val="20"/>
              </w:rPr>
              <w:t>մարդասիրական օգնության միջոցների</w:t>
            </w:r>
          </w:p>
        </w:tc>
        <w:tc>
          <w:tcPr>
            <w:tcW w:w="1440"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0.5</w:t>
            </w:r>
          </w:p>
        </w:tc>
        <w:tc>
          <w:tcPr>
            <w:tcW w:w="135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0.8</w:t>
            </w: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148.9</w:t>
            </w:r>
          </w:p>
        </w:tc>
        <w:tc>
          <w:tcPr>
            <w:tcW w:w="182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0.3</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ind w:firstLineChars="45" w:firstLine="90"/>
              <w:rPr>
                <w:rFonts w:ascii="GHEA Grapalat" w:hAnsi="GHEA Grapalat"/>
                <w:b w:val="0"/>
                <w:sz w:val="20"/>
                <w:szCs w:val="20"/>
              </w:rPr>
            </w:pPr>
            <w:r w:rsidRPr="00B57DAB">
              <w:rPr>
                <w:rFonts w:ascii="GHEA Grapalat" w:hAnsi="GHEA Grapalat"/>
                <w:b w:val="0"/>
                <w:sz w:val="20"/>
                <w:szCs w:val="20"/>
              </w:rPr>
              <w:t xml:space="preserve">կազմակերպությունների միջոցների, </w:t>
            </w:r>
            <w:r w:rsidRPr="00B57DAB">
              <w:rPr>
                <w:rFonts w:ascii="GHEA Grapalat" w:hAnsi="GHEA Grapalat"/>
                <w:b w:val="0"/>
                <w:i/>
                <w:sz w:val="20"/>
                <w:szCs w:val="20"/>
              </w:rPr>
              <w:t>այդ թվում՝</w:t>
            </w:r>
          </w:p>
        </w:tc>
        <w:tc>
          <w:tcPr>
            <w:tcW w:w="1440"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28.0</w:t>
            </w:r>
          </w:p>
        </w:tc>
        <w:tc>
          <w:tcPr>
            <w:tcW w:w="135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50.1</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132.7</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12.9</w:t>
            </w:r>
          </w:p>
        </w:tc>
      </w:tr>
      <w:tr w:rsidR="00AE25A7" w:rsidRPr="00B57DAB" w:rsidTr="00AE25A7">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CE395B" w:rsidP="00AE25A7">
            <w:pPr>
              <w:ind w:firstLineChars="45" w:firstLine="90"/>
              <w:jc w:val="center"/>
              <w:rPr>
                <w:rFonts w:ascii="GHEA Grapalat" w:hAnsi="GHEA Grapalat"/>
                <w:b w:val="0"/>
                <w:i/>
                <w:iCs/>
                <w:sz w:val="20"/>
                <w:szCs w:val="20"/>
              </w:rPr>
            </w:pPr>
            <w:r>
              <w:rPr>
                <w:rFonts w:ascii="GHEA Grapalat" w:hAnsi="GHEA Grapalat"/>
                <w:b w:val="0"/>
                <w:i/>
                <w:iCs/>
                <w:sz w:val="20"/>
                <w:szCs w:val="20"/>
              </w:rPr>
              <w:t xml:space="preserve"> </w:t>
            </w:r>
            <w:r w:rsidR="00AE25A7" w:rsidRPr="00B57DAB">
              <w:rPr>
                <w:rFonts w:ascii="GHEA Grapalat" w:hAnsi="GHEA Grapalat"/>
                <w:b w:val="0"/>
                <w:i/>
                <w:iCs/>
                <w:sz w:val="20"/>
                <w:szCs w:val="20"/>
              </w:rPr>
              <w:t>օտարերկրյա ներդրողների</w:t>
            </w:r>
          </w:p>
        </w:tc>
        <w:tc>
          <w:tcPr>
            <w:tcW w:w="1440"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1.5</w:t>
            </w:r>
          </w:p>
        </w:tc>
        <w:tc>
          <w:tcPr>
            <w:tcW w:w="135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2.7</w:t>
            </w: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25.8</w:t>
            </w:r>
          </w:p>
        </w:tc>
        <w:tc>
          <w:tcPr>
            <w:tcW w:w="182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-5.4</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ind w:firstLineChars="45" w:firstLine="90"/>
              <w:rPr>
                <w:rFonts w:ascii="GHEA Grapalat" w:hAnsi="GHEA Grapalat"/>
                <w:b w:val="0"/>
                <w:sz w:val="20"/>
                <w:szCs w:val="20"/>
              </w:rPr>
            </w:pPr>
            <w:r w:rsidRPr="00B57DAB">
              <w:rPr>
                <w:rFonts w:ascii="GHEA Grapalat" w:hAnsi="GHEA Grapalat"/>
                <w:b w:val="0"/>
                <w:sz w:val="20"/>
                <w:szCs w:val="20"/>
              </w:rPr>
              <w:t>բնակչության միջոցների</w:t>
            </w:r>
          </w:p>
        </w:tc>
        <w:tc>
          <w:tcPr>
            <w:tcW w:w="1440"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14.0</w:t>
            </w:r>
          </w:p>
        </w:tc>
        <w:tc>
          <w:tcPr>
            <w:tcW w:w="135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25.0</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90.3</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-2.7</w:t>
            </w:r>
          </w:p>
        </w:tc>
      </w:tr>
    </w:tbl>
    <w:p w:rsidR="00AE25A7" w:rsidRPr="00B57DAB" w:rsidRDefault="00AE25A7" w:rsidP="00AE25A7">
      <w:pPr>
        <w:rPr>
          <w:rFonts w:ascii="GHEA Grapalat" w:hAnsi="GHEA Grapalat"/>
          <w:b/>
          <w:sz w:val="20"/>
          <w:szCs w:val="20"/>
        </w:rPr>
      </w:pPr>
    </w:p>
    <w:tbl>
      <w:tblPr>
        <w:tblStyle w:val="GridTable4-Accent11"/>
        <w:tblW w:w="10188" w:type="dxa"/>
        <w:tblLook w:val="04A0" w:firstRow="1" w:lastRow="0" w:firstColumn="1" w:lastColumn="0" w:noHBand="0" w:noVBand="1"/>
      </w:tblPr>
      <w:tblGrid>
        <w:gridCol w:w="4315"/>
        <w:gridCol w:w="1440"/>
        <w:gridCol w:w="1394"/>
        <w:gridCol w:w="1216"/>
        <w:gridCol w:w="1823"/>
      </w:tblGrid>
      <w:tr w:rsidR="00AE25A7" w:rsidRPr="00B57DAB" w:rsidTr="00AE25A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ind w:firstLineChars="400" w:firstLine="803"/>
              <w:rPr>
                <w:rFonts w:ascii="GHEA Grapalat" w:hAnsi="GHEA Grapalat"/>
                <w:sz w:val="20"/>
                <w:szCs w:val="20"/>
              </w:rPr>
            </w:pPr>
            <w:r w:rsidRPr="00B57DAB">
              <w:rPr>
                <w:rFonts w:ascii="Calibri" w:hAnsi="Calibri" w:cs="Calibri"/>
                <w:sz w:val="20"/>
                <w:szCs w:val="20"/>
              </w:rPr>
              <w:t> </w:t>
            </w:r>
          </w:p>
        </w:tc>
        <w:tc>
          <w:tcPr>
            <w:tcW w:w="1440"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B57DAB">
              <w:rPr>
                <w:rFonts w:ascii="GHEA Grapalat" w:hAnsi="GHEA Grapalat"/>
                <w:bCs w:val="0"/>
                <w:sz w:val="20"/>
                <w:szCs w:val="20"/>
              </w:rPr>
              <w:t>Արժեք (մլրդ</w:t>
            </w:r>
            <w:r w:rsidR="00CE395B">
              <w:rPr>
                <w:rFonts w:ascii="GHEA Grapalat" w:hAnsi="GHEA Grapalat"/>
                <w:bCs w:val="0"/>
                <w:sz w:val="20"/>
                <w:szCs w:val="20"/>
              </w:rPr>
              <w:t xml:space="preserve"> </w:t>
            </w:r>
            <w:r w:rsidRPr="00B57DAB">
              <w:rPr>
                <w:rFonts w:ascii="GHEA Grapalat" w:hAnsi="GHEA Grapalat"/>
                <w:bCs w:val="0"/>
                <w:sz w:val="20"/>
                <w:szCs w:val="20"/>
              </w:rPr>
              <w:t>դրամ)</w:t>
            </w:r>
          </w:p>
        </w:tc>
        <w:tc>
          <w:tcPr>
            <w:tcW w:w="1394"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B57DAB">
              <w:rPr>
                <w:rFonts w:ascii="GHEA Grapalat" w:hAnsi="GHEA Grapalat"/>
                <w:bCs w:val="0"/>
                <w:sz w:val="20"/>
                <w:szCs w:val="20"/>
              </w:rPr>
              <w:t>Կշիռը (%)</w:t>
            </w:r>
          </w:p>
        </w:tc>
        <w:tc>
          <w:tcPr>
            <w:tcW w:w="1216"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B57DAB">
              <w:rPr>
                <w:rFonts w:ascii="GHEA Grapalat" w:hAnsi="GHEA Grapalat"/>
                <w:bCs w:val="0"/>
                <w:sz w:val="20"/>
                <w:szCs w:val="20"/>
              </w:rPr>
              <w:t>Աճի ինդեքս</w:t>
            </w:r>
          </w:p>
        </w:tc>
        <w:tc>
          <w:tcPr>
            <w:tcW w:w="1823"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B57DAB">
              <w:rPr>
                <w:rFonts w:ascii="GHEA Grapalat" w:hAnsi="GHEA Grapalat"/>
                <w:bCs w:val="0"/>
                <w:sz w:val="20"/>
                <w:szCs w:val="20"/>
              </w:rPr>
              <w:t>Նպաստում (տոկոսային կետ)</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rPr>
                <w:rFonts w:ascii="GHEA Grapalat" w:hAnsi="GHEA Grapalat"/>
                <w:bCs w:val="0"/>
                <w:sz w:val="20"/>
                <w:szCs w:val="20"/>
              </w:rPr>
            </w:pPr>
            <w:r w:rsidRPr="00B57DAB">
              <w:rPr>
                <w:rFonts w:ascii="GHEA Grapalat" w:hAnsi="GHEA Grapalat"/>
                <w:bCs w:val="0"/>
                <w:sz w:val="20"/>
                <w:szCs w:val="20"/>
              </w:rPr>
              <w:t>Առևտուր</w:t>
            </w:r>
          </w:p>
        </w:tc>
        <w:tc>
          <w:tcPr>
            <w:tcW w:w="1440"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781.1</w:t>
            </w:r>
          </w:p>
        </w:tc>
        <w:tc>
          <w:tcPr>
            <w:tcW w:w="1394"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100.0</w:t>
            </w:r>
          </w:p>
        </w:tc>
        <w:tc>
          <w:tcPr>
            <w:tcW w:w="1216"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107.6</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7.6</w:t>
            </w:r>
          </w:p>
        </w:tc>
      </w:tr>
      <w:tr w:rsidR="00AE25A7" w:rsidRPr="00B57DAB" w:rsidTr="00AE25A7">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jc w:val="right"/>
              <w:rPr>
                <w:rFonts w:ascii="GHEA Grapalat" w:hAnsi="GHEA Grapalat"/>
                <w:b w:val="0"/>
                <w:bCs w:val="0"/>
                <w:sz w:val="20"/>
                <w:szCs w:val="20"/>
              </w:rPr>
            </w:pPr>
            <w:r w:rsidRPr="00B57DAB">
              <w:rPr>
                <w:rFonts w:ascii="Calibri" w:hAnsi="Calibri" w:cs="Calibri"/>
                <w:b w:val="0"/>
                <w:bCs w:val="0"/>
                <w:sz w:val="20"/>
                <w:szCs w:val="20"/>
              </w:rPr>
              <w:t> </w:t>
            </w:r>
            <w:r w:rsidRPr="00B57DAB">
              <w:rPr>
                <w:rFonts w:ascii="GHEA Grapalat" w:hAnsi="GHEA Grapalat"/>
                <w:i/>
                <w:iCs/>
                <w:sz w:val="20"/>
                <w:szCs w:val="20"/>
              </w:rPr>
              <w:t>այդ թվում`</w:t>
            </w:r>
          </w:p>
        </w:tc>
        <w:tc>
          <w:tcPr>
            <w:tcW w:w="1440"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394"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16"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82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ind w:firstLineChars="200" w:firstLine="400"/>
              <w:rPr>
                <w:rFonts w:ascii="GHEA Grapalat" w:hAnsi="GHEA Grapalat"/>
                <w:b w:val="0"/>
                <w:sz w:val="20"/>
                <w:szCs w:val="20"/>
              </w:rPr>
            </w:pPr>
            <w:r w:rsidRPr="00B57DAB">
              <w:rPr>
                <w:rFonts w:ascii="GHEA Grapalat" w:hAnsi="GHEA Grapalat"/>
                <w:b w:val="0"/>
                <w:sz w:val="20"/>
                <w:szCs w:val="20"/>
              </w:rPr>
              <w:lastRenderedPageBreak/>
              <w:t>մանրածախ առևտուր</w:t>
            </w:r>
          </w:p>
        </w:tc>
        <w:tc>
          <w:tcPr>
            <w:tcW w:w="1440"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340.0</w:t>
            </w:r>
          </w:p>
        </w:tc>
        <w:tc>
          <w:tcPr>
            <w:tcW w:w="1394"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43.5</w:t>
            </w:r>
          </w:p>
        </w:tc>
        <w:tc>
          <w:tcPr>
            <w:tcW w:w="1216"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101.2</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0.6</w:t>
            </w:r>
          </w:p>
        </w:tc>
      </w:tr>
      <w:tr w:rsidR="00AE25A7" w:rsidRPr="00B57DAB" w:rsidTr="00AE25A7">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ind w:firstLineChars="200" w:firstLine="400"/>
              <w:rPr>
                <w:rFonts w:ascii="GHEA Grapalat" w:hAnsi="GHEA Grapalat"/>
                <w:b w:val="0"/>
                <w:sz w:val="20"/>
                <w:szCs w:val="20"/>
              </w:rPr>
            </w:pPr>
            <w:r w:rsidRPr="00B57DAB">
              <w:rPr>
                <w:rFonts w:ascii="GHEA Grapalat" w:hAnsi="GHEA Grapalat"/>
                <w:b w:val="0"/>
                <w:sz w:val="20"/>
                <w:szCs w:val="20"/>
              </w:rPr>
              <w:t>մեծածախ առևտուր</w:t>
            </w:r>
          </w:p>
        </w:tc>
        <w:tc>
          <w:tcPr>
            <w:tcW w:w="1440"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409.3</w:t>
            </w:r>
          </w:p>
        </w:tc>
        <w:tc>
          <w:tcPr>
            <w:tcW w:w="1394"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52.4</w:t>
            </w:r>
          </w:p>
        </w:tc>
        <w:tc>
          <w:tcPr>
            <w:tcW w:w="1216"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109.8</w:t>
            </w:r>
          </w:p>
        </w:tc>
        <w:tc>
          <w:tcPr>
            <w:tcW w:w="182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5.0</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ind w:firstLineChars="200" w:firstLine="400"/>
              <w:rPr>
                <w:rFonts w:ascii="GHEA Grapalat" w:hAnsi="GHEA Grapalat"/>
                <w:b w:val="0"/>
                <w:sz w:val="20"/>
                <w:szCs w:val="20"/>
              </w:rPr>
            </w:pPr>
            <w:r w:rsidRPr="00B57DAB">
              <w:rPr>
                <w:rFonts w:ascii="GHEA Grapalat" w:hAnsi="GHEA Grapalat"/>
                <w:b w:val="0"/>
                <w:sz w:val="20"/>
                <w:szCs w:val="20"/>
              </w:rPr>
              <w:t>ավտոմեքենաների առևտուր</w:t>
            </w:r>
          </w:p>
        </w:tc>
        <w:tc>
          <w:tcPr>
            <w:tcW w:w="1440"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31.8</w:t>
            </w:r>
          </w:p>
        </w:tc>
        <w:tc>
          <w:tcPr>
            <w:tcW w:w="1394"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4.1</w:t>
            </w:r>
          </w:p>
        </w:tc>
        <w:tc>
          <w:tcPr>
            <w:tcW w:w="1216"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174.8</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2.0</w:t>
            </w:r>
          </w:p>
        </w:tc>
      </w:tr>
    </w:tbl>
    <w:p w:rsidR="00AE25A7" w:rsidRPr="00B57DAB" w:rsidRDefault="00AE25A7" w:rsidP="00AE25A7">
      <w:pPr>
        <w:rPr>
          <w:rFonts w:ascii="GHEA Grapalat" w:hAnsi="GHEA Grapalat"/>
          <w:b/>
          <w:sz w:val="20"/>
          <w:szCs w:val="20"/>
        </w:rPr>
      </w:pPr>
    </w:p>
    <w:tbl>
      <w:tblPr>
        <w:tblStyle w:val="GridTable4-Accent11"/>
        <w:tblW w:w="10188" w:type="dxa"/>
        <w:tblLook w:val="04A0" w:firstRow="1" w:lastRow="0" w:firstColumn="1" w:lastColumn="0" w:noHBand="0" w:noVBand="1"/>
      </w:tblPr>
      <w:tblGrid>
        <w:gridCol w:w="4405"/>
        <w:gridCol w:w="1440"/>
        <w:gridCol w:w="1260"/>
        <w:gridCol w:w="1260"/>
        <w:gridCol w:w="1823"/>
      </w:tblGrid>
      <w:tr w:rsidR="00AE25A7" w:rsidRPr="00B57DAB" w:rsidTr="00AE25A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405" w:type="dxa"/>
            <w:noWrap/>
            <w:hideMark/>
          </w:tcPr>
          <w:p w:rsidR="00AE25A7" w:rsidRPr="00B57DAB" w:rsidRDefault="00AE25A7" w:rsidP="00AE25A7">
            <w:pPr>
              <w:rPr>
                <w:rFonts w:ascii="GHEA Grapalat" w:hAnsi="GHEA Grapalat"/>
                <w:sz w:val="20"/>
                <w:szCs w:val="20"/>
              </w:rPr>
            </w:pPr>
            <w:r w:rsidRPr="00B57DAB">
              <w:rPr>
                <w:rFonts w:ascii="Calibri" w:hAnsi="Calibri" w:cs="Calibri"/>
                <w:sz w:val="20"/>
                <w:szCs w:val="20"/>
              </w:rPr>
              <w:t> </w:t>
            </w:r>
          </w:p>
        </w:tc>
        <w:tc>
          <w:tcPr>
            <w:tcW w:w="1440"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B57DAB">
              <w:rPr>
                <w:rFonts w:ascii="GHEA Grapalat" w:hAnsi="GHEA Grapalat"/>
                <w:bCs w:val="0"/>
                <w:sz w:val="20"/>
                <w:szCs w:val="20"/>
              </w:rPr>
              <w:t>Արժեք (մլրդ դրամ)</w:t>
            </w:r>
          </w:p>
        </w:tc>
        <w:tc>
          <w:tcPr>
            <w:tcW w:w="1260"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B57DAB">
              <w:rPr>
                <w:rFonts w:ascii="GHEA Grapalat" w:hAnsi="GHEA Grapalat"/>
                <w:bCs w:val="0"/>
                <w:sz w:val="20"/>
                <w:szCs w:val="20"/>
              </w:rPr>
              <w:t>Կշիռը (%)</w:t>
            </w:r>
          </w:p>
        </w:tc>
        <w:tc>
          <w:tcPr>
            <w:tcW w:w="1260"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B57DAB">
              <w:rPr>
                <w:rFonts w:ascii="GHEA Grapalat" w:hAnsi="GHEA Grapalat"/>
                <w:bCs w:val="0"/>
                <w:sz w:val="20"/>
                <w:szCs w:val="20"/>
              </w:rPr>
              <w:t>Աճի ինդեքս</w:t>
            </w:r>
          </w:p>
        </w:tc>
        <w:tc>
          <w:tcPr>
            <w:tcW w:w="1823"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B57DAB">
              <w:rPr>
                <w:rFonts w:ascii="GHEA Grapalat" w:hAnsi="GHEA Grapalat"/>
                <w:bCs w:val="0"/>
                <w:sz w:val="20"/>
                <w:szCs w:val="20"/>
              </w:rPr>
              <w:t>Նպաստում (տոկոսային կետ)</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05" w:type="dxa"/>
            <w:noWrap/>
            <w:hideMark/>
          </w:tcPr>
          <w:p w:rsidR="00AE25A7" w:rsidRPr="00B57DAB" w:rsidRDefault="00AE25A7" w:rsidP="00AE25A7">
            <w:pPr>
              <w:rPr>
                <w:rFonts w:ascii="GHEA Grapalat" w:hAnsi="GHEA Grapalat"/>
                <w:bCs w:val="0"/>
                <w:sz w:val="20"/>
                <w:szCs w:val="20"/>
              </w:rPr>
            </w:pPr>
            <w:r w:rsidRPr="00B57DAB">
              <w:rPr>
                <w:rFonts w:ascii="GHEA Grapalat" w:hAnsi="GHEA Grapalat"/>
                <w:bCs w:val="0"/>
                <w:sz w:val="20"/>
                <w:szCs w:val="20"/>
              </w:rPr>
              <w:t>Ծառայություններ</w:t>
            </w:r>
          </w:p>
        </w:tc>
        <w:tc>
          <w:tcPr>
            <w:tcW w:w="144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503.2</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100.0</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122.2</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22.2</w:t>
            </w:r>
          </w:p>
        </w:tc>
      </w:tr>
      <w:tr w:rsidR="00AE25A7" w:rsidRPr="00B57DAB" w:rsidTr="00AE25A7">
        <w:trPr>
          <w:trHeight w:val="285"/>
        </w:trPr>
        <w:tc>
          <w:tcPr>
            <w:cnfStyle w:val="001000000000" w:firstRow="0" w:lastRow="0" w:firstColumn="1" w:lastColumn="0" w:oddVBand="0" w:evenVBand="0" w:oddHBand="0" w:evenHBand="0" w:firstRowFirstColumn="0" w:firstRowLastColumn="0" w:lastRowFirstColumn="0" w:lastRowLastColumn="0"/>
            <w:tcW w:w="4405" w:type="dxa"/>
            <w:noWrap/>
            <w:hideMark/>
          </w:tcPr>
          <w:p w:rsidR="00AE25A7" w:rsidRPr="00B57DAB" w:rsidRDefault="00AE25A7" w:rsidP="00AE25A7">
            <w:pPr>
              <w:jc w:val="right"/>
              <w:rPr>
                <w:rFonts w:ascii="GHEA Grapalat" w:hAnsi="GHEA Grapalat"/>
                <w:b w:val="0"/>
                <w:bCs w:val="0"/>
                <w:sz w:val="20"/>
                <w:szCs w:val="20"/>
              </w:rPr>
            </w:pPr>
            <w:r w:rsidRPr="00B57DAB">
              <w:rPr>
                <w:rFonts w:ascii="Calibri" w:hAnsi="Calibri" w:cs="Calibri"/>
                <w:b w:val="0"/>
                <w:bCs w:val="0"/>
                <w:sz w:val="20"/>
                <w:szCs w:val="20"/>
              </w:rPr>
              <w:t> </w:t>
            </w:r>
            <w:r w:rsidRPr="00B57DAB">
              <w:rPr>
                <w:rFonts w:ascii="GHEA Grapalat" w:hAnsi="GHEA Grapalat"/>
                <w:i/>
                <w:iCs/>
                <w:sz w:val="20"/>
                <w:szCs w:val="20"/>
              </w:rPr>
              <w:t>այդ թվում`</w:t>
            </w:r>
          </w:p>
        </w:tc>
        <w:tc>
          <w:tcPr>
            <w:tcW w:w="144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82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E25A7" w:rsidRPr="00B57DAB" w:rsidRDefault="00AE25A7" w:rsidP="00AE25A7">
            <w:pPr>
              <w:ind w:leftChars="82" w:left="377" w:hangingChars="90" w:hanging="180"/>
              <w:rPr>
                <w:rFonts w:ascii="GHEA Grapalat" w:hAnsi="GHEA Grapalat"/>
                <w:b w:val="0"/>
                <w:sz w:val="20"/>
                <w:szCs w:val="20"/>
                <w:lang w:val="hy-AM"/>
              </w:rPr>
            </w:pPr>
            <w:r w:rsidRPr="00B57DAB">
              <w:rPr>
                <w:rFonts w:ascii="GHEA Grapalat" w:hAnsi="GHEA Grapalat"/>
                <w:b w:val="0"/>
                <w:sz w:val="20"/>
                <w:szCs w:val="20"/>
                <w:lang w:val="hy-AM"/>
              </w:rPr>
              <w:t xml:space="preserve">կացության և հանրային սննդի կազմակերպում </w:t>
            </w:r>
          </w:p>
        </w:tc>
        <w:tc>
          <w:tcPr>
            <w:tcW w:w="144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43.8</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8.7</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140.8</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3.0</w:t>
            </w:r>
          </w:p>
        </w:tc>
      </w:tr>
      <w:tr w:rsidR="00AE25A7" w:rsidRPr="00B57DAB" w:rsidTr="00AE25A7">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E25A7" w:rsidRPr="00B57DAB" w:rsidRDefault="00AE25A7" w:rsidP="00AE25A7">
            <w:pPr>
              <w:ind w:leftChars="82" w:left="377" w:hangingChars="90" w:hanging="180"/>
              <w:rPr>
                <w:rFonts w:ascii="GHEA Grapalat" w:hAnsi="GHEA Grapalat"/>
                <w:b w:val="0"/>
                <w:sz w:val="20"/>
                <w:szCs w:val="20"/>
              </w:rPr>
            </w:pPr>
            <w:r w:rsidRPr="00B57DAB">
              <w:rPr>
                <w:rFonts w:ascii="GHEA Grapalat" w:hAnsi="GHEA Grapalat"/>
                <w:b w:val="0"/>
                <w:sz w:val="20"/>
                <w:szCs w:val="20"/>
              </w:rPr>
              <w:t>մշակույթ, զվարճություններ և հանգիստ</w:t>
            </w:r>
          </w:p>
        </w:tc>
        <w:tc>
          <w:tcPr>
            <w:tcW w:w="144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62.5</w:t>
            </w: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12.4</w:t>
            </w: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102.9</w:t>
            </w:r>
          </w:p>
        </w:tc>
        <w:tc>
          <w:tcPr>
            <w:tcW w:w="182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0.4</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E25A7" w:rsidRPr="00B57DAB" w:rsidRDefault="00AE25A7" w:rsidP="00AE25A7">
            <w:pPr>
              <w:ind w:leftChars="82" w:left="377" w:hangingChars="90" w:hanging="180"/>
              <w:rPr>
                <w:rFonts w:ascii="GHEA Grapalat" w:hAnsi="GHEA Grapalat"/>
                <w:b w:val="0"/>
                <w:sz w:val="20"/>
                <w:szCs w:val="20"/>
              </w:rPr>
            </w:pPr>
            <w:r w:rsidRPr="00B57DAB">
              <w:rPr>
                <w:rFonts w:ascii="GHEA Grapalat" w:hAnsi="GHEA Grapalat"/>
                <w:b w:val="0"/>
                <w:sz w:val="20"/>
                <w:szCs w:val="20"/>
              </w:rPr>
              <w:t xml:space="preserve">կրթություն </w:t>
            </w:r>
          </w:p>
        </w:tc>
        <w:tc>
          <w:tcPr>
            <w:tcW w:w="144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15.3</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3.0</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117</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0.5</w:t>
            </w:r>
          </w:p>
        </w:tc>
      </w:tr>
      <w:tr w:rsidR="00AE25A7" w:rsidRPr="00B57DAB" w:rsidTr="00AE25A7">
        <w:trPr>
          <w:trHeight w:val="540"/>
        </w:trPr>
        <w:tc>
          <w:tcPr>
            <w:cnfStyle w:val="001000000000" w:firstRow="0" w:lastRow="0" w:firstColumn="1" w:lastColumn="0" w:oddVBand="0" w:evenVBand="0" w:oddHBand="0" w:evenHBand="0" w:firstRowFirstColumn="0" w:firstRowLastColumn="0" w:lastRowFirstColumn="0" w:lastRowLastColumn="0"/>
            <w:tcW w:w="4405" w:type="dxa"/>
            <w:hideMark/>
          </w:tcPr>
          <w:p w:rsidR="00AE25A7" w:rsidRPr="00B57DAB" w:rsidRDefault="00AE25A7" w:rsidP="00AE25A7">
            <w:pPr>
              <w:ind w:leftChars="82" w:left="377" w:hangingChars="90" w:hanging="180"/>
              <w:rPr>
                <w:rFonts w:ascii="GHEA Grapalat" w:hAnsi="GHEA Grapalat"/>
                <w:b w:val="0"/>
                <w:sz w:val="20"/>
                <w:szCs w:val="20"/>
                <w:lang w:val="hy-AM"/>
              </w:rPr>
            </w:pPr>
            <w:r w:rsidRPr="00B57DAB">
              <w:rPr>
                <w:rFonts w:ascii="GHEA Grapalat" w:hAnsi="GHEA Grapalat"/>
                <w:b w:val="0"/>
                <w:sz w:val="20"/>
                <w:szCs w:val="20"/>
                <w:lang w:val="hy-AM"/>
              </w:rPr>
              <w:t xml:space="preserve">առողջապահություն և բնակչության սոցիալական սպասարկում </w:t>
            </w:r>
          </w:p>
        </w:tc>
        <w:tc>
          <w:tcPr>
            <w:tcW w:w="144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30.4</w:t>
            </w: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6.0</w:t>
            </w: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121.9</w:t>
            </w:r>
          </w:p>
        </w:tc>
        <w:tc>
          <w:tcPr>
            <w:tcW w:w="182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1.3</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E25A7" w:rsidRPr="00B57DAB" w:rsidRDefault="00AE25A7" w:rsidP="00AE25A7">
            <w:pPr>
              <w:ind w:leftChars="82" w:left="377" w:hangingChars="90" w:hanging="180"/>
              <w:rPr>
                <w:rFonts w:ascii="GHEA Grapalat" w:hAnsi="GHEA Grapalat"/>
                <w:b w:val="0"/>
                <w:sz w:val="20"/>
                <w:szCs w:val="20"/>
                <w:lang w:val="hy-AM"/>
              </w:rPr>
            </w:pPr>
            <w:r w:rsidRPr="00B57DAB">
              <w:rPr>
                <w:rFonts w:ascii="GHEA Grapalat" w:hAnsi="GHEA Grapalat"/>
                <w:b w:val="0"/>
                <w:sz w:val="20"/>
                <w:szCs w:val="20"/>
                <w:lang w:val="hy-AM"/>
              </w:rPr>
              <w:t>անշարժ գույքի հետ կապված գործունեություն</w:t>
            </w:r>
          </w:p>
        </w:tc>
        <w:tc>
          <w:tcPr>
            <w:tcW w:w="144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21.6</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4.3</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125.6</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1.0</w:t>
            </w:r>
          </w:p>
        </w:tc>
      </w:tr>
      <w:tr w:rsidR="00AE25A7" w:rsidRPr="00B57DAB" w:rsidTr="00AE25A7">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E25A7" w:rsidRPr="00B57DAB" w:rsidRDefault="00AE25A7" w:rsidP="00AE25A7">
            <w:pPr>
              <w:ind w:leftChars="82" w:left="377" w:hangingChars="90" w:hanging="180"/>
              <w:rPr>
                <w:rFonts w:ascii="GHEA Grapalat" w:hAnsi="GHEA Grapalat"/>
                <w:b w:val="0"/>
                <w:sz w:val="20"/>
                <w:szCs w:val="20"/>
              </w:rPr>
            </w:pPr>
            <w:r w:rsidRPr="00B57DAB">
              <w:rPr>
                <w:rFonts w:ascii="GHEA Grapalat" w:hAnsi="GHEA Grapalat"/>
                <w:b w:val="0"/>
                <w:sz w:val="20"/>
                <w:szCs w:val="20"/>
              </w:rPr>
              <w:t xml:space="preserve">տեղեկատվություն և կապ </w:t>
            </w:r>
          </w:p>
        </w:tc>
        <w:tc>
          <w:tcPr>
            <w:tcW w:w="144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92.5</w:t>
            </w: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18.4</w:t>
            </w: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124.5</w:t>
            </w:r>
          </w:p>
        </w:tc>
        <w:tc>
          <w:tcPr>
            <w:tcW w:w="182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4.5</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E25A7" w:rsidRPr="00B57DAB" w:rsidRDefault="00AE25A7" w:rsidP="00AE25A7">
            <w:pPr>
              <w:ind w:leftChars="82" w:left="377" w:hangingChars="90" w:hanging="180"/>
              <w:rPr>
                <w:rFonts w:ascii="GHEA Grapalat" w:hAnsi="GHEA Grapalat"/>
                <w:b w:val="0"/>
                <w:sz w:val="20"/>
                <w:szCs w:val="20"/>
              </w:rPr>
            </w:pPr>
            <w:r w:rsidRPr="00B57DAB">
              <w:rPr>
                <w:rFonts w:ascii="GHEA Grapalat" w:hAnsi="GHEA Grapalat"/>
                <w:b w:val="0"/>
                <w:sz w:val="20"/>
                <w:szCs w:val="20"/>
              </w:rPr>
              <w:t xml:space="preserve">տրանսպորտ </w:t>
            </w:r>
          </w:p>
        </w:tc>
        <w:tc>
          <w:tcPr>
            <w:tcW w:w="144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58.3</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11.6</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160.4</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5.3</w:t>
            </w:r>
          </w:p>
        </w:tc>
      </w:tr>
      <w:tr w:rsidR="00AE25A7" w:rsidRPr="00B57DAB" w:rsidTr="00AE25A7">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E25A7" w:rsidRPr="00B57DAB" w:rsidRDefault="00AE25A7" w:rsidP="00AE25A7">
            <w:pPr>
              <w:ind w:leftChars="82" w:left="377" w:hangingChars="90" w:hanging="180"/>
              <w:rPr>
                <w:rFonts w:ascii="GHEA Grapalat" w:hAnsi="GHEA Grapalat"/>
                <w:b w:val="0"/>
                <w:sz w:val="20"/>
                <w:szCs w:val="20"/>
              </w:rPr>
            </w:pPr>
            <w:r w:rsidRPr="00B57DAB">
              <w:rPr>
                <w:rFonts w:ascii="GHEA Grapalat" w:hAnsi="GHEA Grapalat"/>
                <w:b w:val="0"/>
                <w:sz w:val="20"/>
                <w:szCs w:val="20"/>
              </w:rPr>
              <w:t>վարչարարական և օժանդակ գործունեություն</w:t>
            </w:r>
          </w:p>
        </w:tc>
        <w:tc>
          <w:tcPr>
            <w:tcW w:w="144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17.3</w:t>
            </w: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3.4</w:t>
            </w: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127.7</w:t>
            </w:r>
          </w:p>
        </w:tc>
        <w:tc>
          <w:tcPr>
            <w:tcW w:w="182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0.9</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E25A7" w:rsidRPr="00B57DAB" w:rsidRDefault="00AE25A7" w:rsidP="00AE25A7">
            <w:pPr>
              <w:ind w:leftChars="82" w:left="377" w:hangingChars="90" w:hanging="180"/>
              <w:rPr>
                <w:rFonts w:ascii="GHEA Grapalat" w:hAnsi="GHEA Grapalat"/>
                <w:b w:val="0"/>
                <w:sz w:val="20"/>
                <w:szCs w:val="20"/>
                <w:lang w:val="hy-AM"/>
              </w:rPr>
            </w:pPr>
            <w:r w:rsidRPr="00B57DAB">
              <w:rPr>
                <w:rFonts w:ascii="GHEA Grapalat" w:hAnsi="GHEA Grapalat"/>
                <w:b w:val="0"/>
                <w:sz w:val="20"/>
                <w:szCs w:val="20"/>
                <w:lang w:val="hy-AM"/>
              </w:rPr>
              <w:t xml:space="preserve">մասնագիտ., գիտական և տեխ. գործունեություն </w:t>
            </w:r>
          </w:p>
        </w:tc>
        <w:tc>
          <w:tcPr>
            <w:tcW w:w="144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21.4</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4.3</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119.0</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0.8</w:t>
            </w:r>
          </w:p>
        </w:tc>
      </w:tr>
      <w:tr w:rsidR="00AE25A7" w:rsidRPr="00B57DAB" w:rsidTr="00AE25A7">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E25A7" w:rsidRPr="00B57DAB" w:rsidRDefault="00AE25A7" w:rsidP="00AE25A7">
            <w:pPr>
              <w:ind w:leftChars="82" w:left="377" w:hangingChars="90" w:hanging="180"/>
              <w:rPr>
                <w:rFonts w:ascii="GHEA Grapalat" w:hAnsi="GHEA Grapalat"/>
                <w:b w:val="0"/>
                <w:sz w:val="20"/>
                <w:szCs w:val="20"/>
              </w:rPr>
            </w:pPr>
            <w:r w:rsidRPr="00B57DAB">
              <w:rPr>
                <w:rFonts w:ascii="GHEA Grapalat" w:hAnsi="GHEA Grapalat"/>
                <w:b w:val="0"/>
                <w:sz w:val="20"/>
                <w:szCs w:val="20"/>
              </w:rPr>
              <w:t>ֆինանսական և ապահովագրական գործունեություն</w:t>
            </w:r>
          </w:p>
        </w:tc>
        <w:tc>
          <w:tcPr>
            <w:tcW w:w="144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135.3</w:t>
            </w: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26.9</w:t>
            </w: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114.1</w:t>
            </w:r>
          </w:p>
        </w:tc>
        <w:tc>
          <w:tcPr>
            <w:tcW w:w="182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4.1</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05" w:type="dxa"/>
            <w:hideMark/>
          </w:tcPr>
          <w:p w:rsidR="00AE25A7" w:rsidRPr="00B57DAB" w:rsidRDefault="00AE25A7" w:rsidP="00AE25A7">
            <w:pPr>
              <w:ind w:leftChars="82" w:left="377" w:hangingChars="90" w:hanging="180"/>
              <w:rPr>
                <w:rFonts w:ascii="GHEA Grapalat" w:hAnsi="GHEA Grapalat"/>
                <w:b w:val="0"/>
                <w:sz w:val="20"/>
                <w:szCs w:val="20"/>
              </w:rPr>
            </w:pPr>
            <w:r w:rsidRPr="00B57DAB">
              <w:rPr>
                <w:rFonts w:ascii="GHEA Grapalat" w:hAnsi="GHEA Grapalat"/>
                <w:b w:val="0"/>
                <w:sz w:val="20"/>
                <w:szCs w:val="20"/>
              </w:rPr>
              <w:t>սպասարկման այլ ծառայություններ</w:t>
            </w:r>
          </w:p>
        </w:tc>
        <w:tc>
          <w:tcPr>
            <w:tcW w:w="144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4.8</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1.0</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127.4</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0.3</w:t>
            </w:r>
          </w:p>
        </w:tc>
      </w:tr>
    </w:tbl>
    <w:p w:rsidR="00AE25A7" w:rsidRPr="00B57DAB" w:rsidRDefault="00AE25A7" w:rsidP="00AE25A7">
      <w:pPr>
        <w:jc w:val="center"/>
        <w:rPr>
          <w:rFonts w:ascii="GHEA Grapalat" w:hAnsi="GHEA Grapalat" w:cs="Arial"/>
          <w:sz w:val="18"/>
          <w:szCs w:val="20"/>
        </w:rPr>
      </w:pPr>
    </w:p>
    <w:p w:rsidR="00AE25A7" w:rsidRPr="00B57DAB" w:rsidRDefault="00AE25A7" w:rsidP="00AE25A7">
      <w:pPr>
        <w:jc w:val="center"/>
        <w:rPr>
          <w:rFonts w:ascii="GHEA Grapalat" w:hAnsi="GHEA Grapalat" w:cs="Arial"/>
          <w:szCs w:val="20"/>
        </w:rPr>
      </w:pPr>
      <w:proofErr w:type="gramStart"/>
      <w:r w:rsidRPr="00B57DAB">
        <w:rPr>
          <w:rFonts w:ascii="GHEA Grapalat" w:hAnsi="GHEA Grapalat"/>
          <w:b/>
          <w:sz w:val="22"/>
          <w:szCs w:val="20"/>
        </w:rPr>
        <w:t>Աղյուսակ 2.</w:t>
      </w:r>
      <w:proofErr w:type="gramEnd"/>
      <w:r w:rsidRPr="00B57DAB">
        <w:rPr>
          <w:rFonts w:ascii="GHEA Grapalat" w:hAnsi="GHEA Grapalat"/>
          <w:b/>
          <w:sz w:val="22"/>
          <w:szCs w:val="20"/>
        </w:rPr>
        <w:t xml:space="preserve"> </w:t>
      </w:r>
      <w:r w:rsidRPr="00B57DAB">
        <w:rPr>
          <w:rFonts w:ascii="GHEA Grapalat" w:hAnsi="GHEA Grapalat"/>
          <w:sz w:val="22"/>
          <w:szCs w:val="20"/>
        </w:rPr>
        <w:t xml:space="preserve">Արտահանման ապրանքային կառուցվածքը և նպաստումները 2022 թվականի </w:t>
      </w:r>
      <w:r w:rsidRPr="00B57DAB">
        <w:rPr>
          <w:rFonts w:ascii="GHEA Grapalat" w:hAnsi="GHEA Grapalat" w:cs="Arial"/>
          <w:sz w:val="22"/>
          <w:szCs w:val="20"/>
        </w:rPr>
        <w:t>հունվար</w:t>
      </w:r>
      <w:r w:rsidRPr="00B57DAB">
        <w:rPr>
          <w:rFonts w:ascii="GHEA Grapalat" w:hAnsi="GHEA Grapalat"/>
          <w:sz w:val="22"/>
          <w:szCs w:val="20"/>
        </w:rPr>
        <w:t>-</w:t>
      </w:r>
      <w:r w:rsidRPr="00B57DAB">
        <w:rPr>
          <w:rFonts w:ascii="GHEA Grapalat" w:hAnsi="GHEA Grapalat" w:cs="Arial"/>
          <w:sz w:val="22"/>
          <w:szCs w:val="20"/>
        </w:rPr>
        <w:t>մարտ ամիսների</w:t>
      </w:r>
      <w:r w:rsidRPr="00B57DAB">
        <w:rPr>
          <w:rFonts w:ascii="GHEA Grapalat" w:hAnsi="GHEA Grapalat"/>
          <w:sz w:val="22"/>
          <w:szCs w:val="20"/>
        </w:rPr>
        <w:t xml:space="preserve"> արտահանման աճին</w:t>
      </w:r>
    </w:p>
    <w:tbl>
      <w:tblPr>
        <w:tblStyle w:val="GridTable4-Accent11"/>
        <w:tblW w:w="10627" w:type="dxa"/>
        <w:tblLayout w:type="fixed"/>
        <w:tblLook w:val="04A0" w:firstRow="1" w:lastRow="0" w:firstColumn="1" w:lastColumn="0" w:noHBand="0" w:noVBand="1"/>
      </w:tblPr>
      <w:tblGrid>
        <w:gridCol w:w="6091"/>
        <w:gridCol w:w="1134"/>
        <w:gridCol w:w="992"/>
        <w:gridCol w:w="1015"/>
        <w:gridCol w:w="1395"/>
      </w:tblGrid>
      <w:tr w:rsidR="00AE25A7" w:rsidRPr="00B57DAB" w:rsidTr="00AE25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sz w:val="20"/>
                <w:szCs w:val="20"/>
              </w:rPr>
            </w:pPr>
            <w:r w:rsidRPr="00B57DAB">
              <w:rPr>
                <w:rFonts w:ascii="GHEA Grapalat" w:hAnsi="GHEA Grapalat"/>
                <w:sz w:val="20"/>
                <w:szCs w:val="20"/>
              </w:rPr>
              <w:t>ԱՐՏԱՀԱՆՈՒՄ</w:t>
            </w:r>
          </w:p>
        </w:tc>
        <w:tc>
          <w:tcPr>
            <w:tcW w:w="1134" w:type="dxa"/>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bCs w:val="0"/>
                <w:sz w:val="20"/>
                <w:szCs w:val="20"/>
              </w:rPr>
              <w:t xml:space="preserve">Ծավալ </w:t>
            </w:r>
            <w:r w:rsidRPr="00B57DAB">
              <w:rPr>
                <w:rFonts w:ascii="GHEA Grapalat" w:hAnsi="GHEA Grapalat" w:cs="Sylfaen"/>
                <w:sz w:val="20"/>
                <w:szCs w:val="20"/>
              </w:rPr>
              <w:t>(մլն ԱՄՆ դոլար)</w:t>
            </w:r>
          </w:p>
        </w:tc>
        <w:tc>
          <w:tcPr>
            <w:tcW w:w="992" w:type="dxa"/>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Sylfaen"/>
                <w:sz w:val="20"/>
                <w:szCs w:val="20"/>
              </w:rPr>
              <w:t>Կշիռ</w:t>
            </w:r>
            <w:r w:rsidRPr="00B57DAB">
              <w:rPr>
                <w:rFonts w:ascii="GHEA Grapalat" w:hAnsi="GHEA Grapalat" w:cs="Sylfaen"/>
                <w:bCs w:val="0"/>
                <w:sz w:val="20"/>
                <w:szCs w:val="20"/>
              </w:rPr>
              <w:t xml:space="preserve"> </w:t>
            </w:r>
            <w:r w:rsidRPr="00B57DAB">
              <w:rPr>
                <w:rFonts w:ascii="GHEA Grapalat" w:hAnsi="GHEA Grapalat" w:cs="Sylfaen"/>
                <w:bCs w:val="0"/>
                <w:sz w:val="20"/>
                <w:szCs w:val="20"/>
                <w:lang w:val="ru-RU"/>
              </w:rPr>
              <w:t>(</w:t>
            </w:r>
            <w:r w:rsidRPr="00B57DAB">
              <w:rPr>
                <w:rFonts w:ascii="GHEA Grapalat" w:hAnsi="GHEA Grapalat" w:cs="Sylfaen"/>
                <w:bCs w:val="0"/>
                <w:sz w:val="20"/>
                <w:szCs w:val="20"/>
              </w:rPr>
              <w:t>տոկոս</w:t>
            </w:r>
            <w:r w:rsidRPr="00B57DAB">
              <w:rPr>
                <w:rFonts w:ascii="GHEA Grapalat" w:hAnsi="GHEA Grapalat" w:cs="Sylfaen"/>
                <w:bCs w:val="0"/>
                <w:sz w:val="20"/>
                <w:szCs w:val="20"/>
                <w:lang w:val="ru-RU"/>
              </w:rPr>
              <w:t>)</w:t>
            </w:r>
          </w:p>
        </w:tc>
        <w:tc>
          <w:tcPr>
            <w:tcW w:w="1015" w:type="dxa"/>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Sylfaen"/>
                <w:sz w:val="20"/>
                <w:szCs w:val="20"/>
              </w:rPr>
              <w:t>Աճ</w:t>
            </w:r>
            <w:r w:rsidRPr="00B57DAB">
              <w:rPr>
                <w:rFonts w:ascii="GHEA Grapalat" w:hAnsi="GHEA Grapalat" w:cs="Sylfaen"/>
                <w:bCs w:val="0"/>
                <w:sz w:val="20"/>
                <w:szCs w:val="20"/>
              </w:rPr>
              <w:t xml:space="preserve"> </w:t>
            </w:r>
            <w:r w:rsidRPr="00B57DAB">
              <w:rPr>
                <w:rFonts w:ascii="GHEA Grapalat" w:hAnsi="GHEA Grapalat" w:cs="Sylfaen"/>
                <w:bCs w:val="0"/>
                <w:sz w:val="20"/>
                <w:szCs w:val="20"/>
                <w:lang w:val="ru-RU"/>
              </w:rPr>
              <w:t>(</w:t>
            </w:r>
            <w:r w:rsidRPr="00B57DAB">
              <w:rPr>
                <w:rFonts w:ascii="GHEA Grapalat" w:hAnsi="GHEA Grapalat" w:cs="Sylfaen"/>
                <w:bCs w:val="0"/>
                <w:sz w:val="20"/>
                <w:szCs w:val="20"/>
              </w:rPr>
              <w:t>տոկոս</w:t>
            </w:r>
            <w:r w:rsidRPr="00B57DAB">
              <w:rPr>
                <w:rFonts w:ascii="GHEA Grapalat" w:hAnsi="GHEA Grapalat" w:cs="Sylfaen"/>
                <w:bCs w:val="0"/>
                <w:sz w:val="20"/>
                <w:szCs w:val="20"/>
                <w:lang w:val="ru-RU"/>
              </w:rPr>
              <w:t>)</w:t>
            </w:r>
          </w:p>
        </w:tc>
        <w:tc>
          <w:tcPr>
            <w:tcW w:w="1395" w:type="dxa"/>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B57DAB">
              <w:rPr>
                <w:rFonts w:ascii="GHEA Grapalat" w:hAnsi="GHEA Grapalat" w:cs="Sylfaen"/>
                <w:sz w:val="20"/>
                <w:szCs w:val="20"/>
              </w:rPr>
              <w:t>Նպաստում</w:t>
            </w:r>
            <w:r w:rsidRPr="00B57DAB">
              <w:rPr>
                <w:rFonts w:ascii="GHEA Grapalat" w:hAnsi="GHEA Grapalat" w:cs="Sylfaen"/>
                <w:bCs w:val="0"/>
                <w:sz w:val="20"/>
                <w:szCs w:val="20"/>
              </w:rPr>
              <w:t xml:space="preserve"> </w:t>
            </w:r>
            <w:r w:rsidRPr="00B57DAB">
              <w:rPr>
                <w:rFonts w:ascii="GHEA Grapalat" w:hAnsi="GHEA Grapalat" w:cs="Sylfaen"/>
                <w:bCs w:val="0"/>
                <w:sz w:val="20"/>
                <w:szCs w:val="20"/>
                <w:lang w:val="ru-RU"/>
              </w:rPr>
              <w:t>(</w:t>
            </w:r>
            <w:r w:rsidRPr="00B57DAB">
              <w:rPr>
                <w:rFonts w:ascii="GHEA Grapalat" w:hAnsi="GHEA Grapalat" w:cs="Sylfaen"/>
                <w:bCs w:val="0"/>
                <w:sz w:val="20"/>
                <w:szCs w:val="20"/>
              </w:rPr>
              <w:t>տոկոսային կետ</w:t>
            </w:r>
            <w:r w:rsidRPr="00B57DAB">
              <w:rPr>
                <w:rFonts w:ascii="GHEA Grapalat" w:hAnsi="GHEA Grapalat" w:cs="Sylfaen"/>
                <w:bCs w:val="0"/>
                <w:sz w:val="20"/>
                <w:szCs w:val="20"/>
                <w:lang w:val="ru-RU"/>
              </w:rPr>
              <w:t>)</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r w:rsidRPr="00B57DAB">
              <w:rPr>
                <w:rFonts w:ascii="GHEA Grapalat" w:hAnsi="GHEA Grapalat"/>
                <w:color w:val="000000"/>
                <w:sz w:val="20"/>
                <w:szCs w:val="20"/>
              </w:rPr>
              <w:t xml:space="preserve">ԸՆԴԱՄԵՆԸ </w:t>
            </w:r>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731.8</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100.00</w:t>
            </w:r>
          </w:p>
        </w:tc>
        <w:tc>
          <w:tcPr>
            <w:tcW w:w="101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26.9</w:t>
            </w:r>
          </w:p>
        </w:tc>
        <w:tc>
          <w:tcPr>
            <w:tcW w:w="139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26.9</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lang w:val="hy-AM"/>
              </w:rPr>
            </w:pPr>
            <w:r w:rsidRPr="00B57DAB">
              <w:rPr>
                <w:rFonts w:ascii="GHEA Grapalat" w:hAnsi="GHEA Grapalat"/>
                <w:b w:val="0"/>
                <w:color w:val="000000"/>
                <w:sz w:val="20"/>
                <w:szCs w:val="20"/>
                <w:lang w:val="hy-AM"/>
              </w:rPr>
              <w:t>Կենդանի կենդանիներ և կենդանական ծագման արտադրանք</w:t>
            </w:r>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17.1</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2.3</w:t>
            </w:r>
          </w:p>
        </w:tc>
        <w:tc>
          <w:tcPr>
            <w:tcW w:w="101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7.8</w:t>
            </w:r>
          </w:p>
        </w:tc>
        <w:tc>
          <w:tcPr>
            <w:tcW w:w="139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0.2</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r w:rsidRPr="00B57DAB">
              <w:rPr>
                <w:rFonts w:ascii="GHEA Grapalat" w:hAnsi="GHEA Grapalat"/>
                <w:b w:val="0"/>
                <w:color w:val="000000"/>
                <w:sz w:val="20"/>
                <w:szCs w:val="20"/>
              </w:rPr>
              <w:t>Բուսական ծագման արտադրանք</w:t>
            </w:r>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31.5</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4.3</w:t>
            </w:r>
          </w:p>
        </w:tc>
        <w:tc>
          <w:tcPr>
            <w:tcW w:w="101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17.5</w:t>
            </w:r>
          </w:p>
        </w:tc>
        <w:tc>
          <w:tcPr>
            <w:tcW w:w="139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0.8</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lang w:val="hy-AM"/>
              </w:rPr>
            </w:pPr>
            <w:r w:rsidRPr="00B57DAB">
              <w:rPr>
                <w:rFonts w:ascii="GHEA Grapalat" w:hAnsi="GHEA Grapalat"/>
                <w:b w:val="0"/>
                <w:color w:val="000000"/>
                <w:sz w:val="20"/>
                <w:szCs w:val="20"/>
                <w:lang w:val="hy-AM"/>
              </w:rPr>
              <w:t>Կենդանական և բուսական ծագման յուղեր և ճարպեր</w:t>
            </w:r>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0.0</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0.0</w:t>
            </w:r>
          </w:p>
        </w:tc>
        <w:tc>
          <w:tcPr>
            <w:tcW w:w="101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568.8</w:t>
            </w:r>
          </w:p>
        </w:tc>
        <w:tc>
          <w:tcPr>
            <w:tcW w:w="139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sz w:val="20"/>
                <w:szCs w:val="20"/>
              </w:rPr>
            </w:pPr>
            <w:r w:rsidRPr="00B57DAB">
              <w:rPr>
                <w:rFonts w:ascii="GHEA Grapalat" w:hAnsi="GHEA Grapalat"/>
                <w:color w:val="000000"/>
                <w:sz w:val="20"/>
                <w:szCs w:val="20"/>
              </w:rPr>
              <w:t>Պատրաստի սննդի արտադրանք</w:t>
            </w:r>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135.8</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18.6</w:t>
            </w:r>
          </w:p>
        </w:tc>
        <w:tc>
          <w:tcPr>
            <w:tcW w:w="101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20.3</w:t>
            </w:r>
          </w:p>
        </w:tc>
        <w:tc>
          <w:tcPr>
            <w:tcW w:w="139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4.0</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sz w:val="20"/>
                <w:szCs w:val="20"/>
              </w:rPr>
            </w:pPr>
            <w:r w:rsidRPr="00B57DAB">
              <w:rPr>
                <w:rFonts w:ascii="GHEA Grapalat" w:hAnsi="GHEA Grapalat"/>
                <w:color w:val="000000"/>
                <w:sz w:val="20"/>
                <w:szCs w:val="20"/>
              </w:rPr>
              <w:t>Հանքահումքային արտադրանք</w:t>
            </w:r>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246.3</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33.7</w:t>
            </w:r>
          </w:p>
        </w:tc>
        <w:tc>
          <w:tcPr>
            <w:tcW w:w="101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12.0</w:t>
            </w:r>
          </w:p>
        </w:tc>
        <w:tc>
          <w:tcPr>
            <w:tcW w:w="139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4.6</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lang w:val="hy-AM"/>
              </w:rPr>
            </w:pPr>
            <w:r w:rsidRPr="00B57DAB">
              <w:rPr>
                <w:rFonts w:ascii="GHEA Grapalat" w:hAnsi="GHEA Grapalat"/>
                <w:b w:val="0"/>
                <w:color w:val="000000"/>
                <w:sz w:val="20"/>
                <w:szCs w:val="20"/>
                <w:lang w:val="hy-AM"/>
              </w:rPr>
              <w:t>Քիմիայի և դրա հետ կապված արդյունաբերության ճյուղերի արտադրանք</w:t>
            </w:r>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10.4</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1.4</w:t>
            </w:r>
          </w:p>
        </w:tc>
        <w:tc>
          <w:tcPr>
            <w:tcW w:w="101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71.6</w:t>
            </w:r>
          </w:p>
        </w:tc>
        <w:tc>
          <w:tcPr>
            <w:tcW w:w="139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0.8</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lang w:val="hy-AM"/>
              </w:rPr>
            </w:pPr>
            <w:r w:rsidRPr="00B57DAB">
              <w:rPr>
                <w:rFonts w:ascii="GHEA Grapalat" w:hAnsi="GHEA Grapalat"/>
                <w:b w:val="0"/>
                <w:color w:val="000000"/>
                <w:sz w:val="20"/>
                <w:szCs w:val="20"/>
                <w:lang w:val="hy-AM"/>
              </w:rPr>
              <w:t>Պլաստմասսա և դրանցից իրեր, կաուչուկ և ռետինե իրեր</w:t>
            </w:r>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6.1</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0.8</w:t>
            </w:r>
          </w:p>
        </w:tc>
        <w:tc>
          <w:tcPr>
            <w:tcW w:w="101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113.4</w:t>
            </w:r>
          </w:p>
        </w:tc>
        <w:tc>
          <w:tcPr>
            <w:tcW w:w="139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0.6</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lang w:val="hy-AM"/>
              </w:rPr>
            </w:pPr>
            <w:r w:rsidRPr="00B57DAB">
              <w:rPr>
                <w:rFonts w:ascii="GHEA Grapalat" w:hAnsi="GHEA Grapalat"/>
                <w:b w:val="0"/>
                <w:color w:val="000000"/>
                <w:sz w:val="20"/>
                <w:szCs w:val="20"/>
                <w:lang w:val="hy-AM"/>
              </w:rPr>
              <w:t>Կաշվի հումք, կաշի, մորթի և դրանցից պատրաստված իրեր</w:t>
            </w:r>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2.1</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0.3</w:t>
            </w:r>
          </w:p>
        </w:tc>
        <w:tc>
          <w:tcPr>
            <w:tcW w:w="101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186.4</w:t>
            </w:r>
          </w:p>
        </w:tc>
        <w:tc>
          <w:tcPr>
            <w:tcW w:w="139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0.2</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r w:rsidRPr="00B57DAB">
              <w:rPr>
                <w:rFonts w:ascii="GHEA Grapalat" w:hAnsi="GHEA Grapalat"/>
                <w:b w:val="0"/>
                <w:color w:val="000000"/>
                <w:sz w:val="20"/>
                <w:szCs w:val="20"/>
              </w:rPr>
              <w:t>Փայտ և փայտյա իրեր</w:t>
            </w:r>
            <w:r w:rsidR="00CE395B">
              <w:rPr>
                <w:rFonts w:ascii="GHEA Grapalat" w:hAnsi="GHEA Grapalat"/>
                <w:b w:val="0"/>
                <w:color w:val="000000"/>
                <w:sz w:val="20"/>
                <w:szCs w:val="20"/>
              </w:rPr>
              <w:t xml:space="preserve"> </w:t>
            </w:r>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0.4</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0.1</w:t>
            </w:r>
          </w:p>
        </w:tc>
        <w:tc>
          <w:tcPr>
            <w:tcW w:w="101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104.7</w:t>
            </w:r>
          </w:p>
        </w:tc>
        <w:tc>
          <w:tcPr>
            <w:tcW w:w="139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0.0</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r w:rsidRPr="00B57DAB">
              <w:rPr>
                <w:rFonts w:ascii="GHEA Grapalat" w:hAnsi="GHEA Grapalat"/>
                <w:b w:val="0"/>
                <w:color w:val="000000"/>
                <w:sz w:val="20"/>
                <w:szCs w:val="20"/>
              </w:rPr>
              <w:t>Թուղթ և թղթից</w:t>
            </w:r>
            <w:r w:rsidR="00CE395B">
              <w:rPr>
                <w:rFonts w:ascii="GHEA Grapalat" w:hAnsi="GHEA Grapalat"/>
                <w:b w:val="0"/>
                <w:color w:val="000000"/>
                <w:sz w:val="20"/>
                <w:szCs w:val="20"/>
              </w:rPr>
              <w:t xml:space="preserve"> </w:t>
            </w:r>
            <w:r w:rsidRPr="00B57DAB">
              <w:rPr>
                <w:rFonts w:ascii="GHEA Grapalat" w:hAnsi="GHEA Grapalat"/>
                <w:b w:val="0"/>
                <w:color w:val="000000"/>
                <w:sz w:val="20"/>
                <w:szCs w:val="20"/>
              </w:rPr>
              <w:t>իրեր</w:t>
            </w:r>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0.3</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0.0</w:t>
            </w:r>
          </w:p>
        </w:tc>
        <w:tc>
          <w:tcPr>
            <w:tcW w:w="101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-3.2</w:t>
            </w:r>
          </w:p>
        </w:tc>
        <w:tc>
          <w:tcPr>
            <w:tcW w:w="139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0.0</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sz w:val="20"/>
                <w:szCs w:val="20"/>
              </w:rPr>
            </w:pPr>
            <w:r w:rsidRPr="00B57DAB">
              <w:rPr>
                <w:rFonts w:ascii="GHEA Grapalat" w:hAnsi="GHEA Grapalat"/>
                <w:color w:val="000000"/>
                <w:sz w:val="20"/>
                <w:szCs w:val="20"/>
              </w:rPr>
              <w:t>Մանածագործական իրեր</w:t>
            </w:r>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41.8</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5.7</w:t>
            </w:r>
          </w:p>
        </w:tc>
        <w:tc>
          <w:tcPr>
            <w:tcW w:w="101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14.3</w:t>
            </w:r>
          </w:p>
        </w:tc>
        <w:tc>
          <w:tcPr>
            <w:tcW w:w="139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0.9</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r w:rsidRPr="00B57DAB">
              <w:rPr>
                <w:rFonts w:ascii="GHEA Grapalat" w:hAnsi="GHEA Grapalat"/>
                <w:b w:val="0"/>
                <w:color w:val="000000"/>
                <w:sz w:val="20"/>
                <w:szCs w:val="20"/>
              </w:rPr>
              <w:t>Կոշկեղեն, գլխարկներ, հովանոցներ</w:t>
            </w:r>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1.2</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0.2</w:t>
            </w:r>
          </w:p>
        </w:tc>
        <w:tc>
          <w:tcPr>
            <w:tcW w:w="101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15.7</w:t>
            </w:r>
          </w:p>
        </w:tc>
        <w:tc>
          <w:tcPr>
            <w:tcW w:w="139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0.0</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r w:rsidRPr="00B57DAB">
              <w:rPr>
                <w:rFonts w:ascii="GHEA Grapalat" w:hAnsi="GHEA Grapalat"/>
                <w:b w:val="0"/>
                <w:color w:val="000000"/>
                <w:sz w:val="20"/>
                <w:szCs w:val="20"/>
              </w:rPr>
              <w:t>Իրեր քարից, գիպսից, ցեմենտից</w:t>
            </w:r>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6.1</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0.8</w:t>
            </w:r>
          </w:p>
        </w:tc>
        <w:tc>
          <w:tcPr>
            <w:tcW w:w="101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68.9</w:t>
            </w:r>
          </w:p>
        </w:tc>
        <w:tc>
          <w:tcPr>
            <w:tcW w:w="139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0.4</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sz w:val="20"/>
                <w:szCs w:val="20"/>
                <w:lang w:val="hy-AM"/>
              </w:rPr>
            </w:pPr>
            <w:r w:rsidRPr="00B57DAB">
              <w:rPr>
                <w:rFonts w:ascii="GHEA Grapalat" w:hAnsi="GHEA Grapalat"/>
                <w:color w:val="000000"/>
                <w:sz w:val="20"/>
                <w:szCs w:val="20"/>
                <w:lang w:val="hy-AM"/>
              </w:rPr>
              <w:t>Թանկարժեք և կիսաթանկարժեք քարեր, թանկարժեք մետաղներ և դրանցից իրեր</w:t>
            </w:r>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94.7</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12.9</w:t>
            </w:r>
          </w:p>
        </w:tc>
        <w:tc>
          <w:tcPr>
            <w:tcW w:w="101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52.2</w:t>
            </w:r>
          </w:p>
        </w:tc>
        <w:tc>
          <w:tcPr>
            <w:tcW w:w="139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5.6</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sz w:val="20"/>
                <w:szCs w:val="20"/>
                <w:lang w:val="hy-AM"/>
              </w:rPr>
            </w:pPr>
            <w:r w:rsidRPr="00B57DAB">
              <w:rPr>
                <w:rFonts w:ascii="GHEA Grapalat" w:hAnsi="GHEA Grapalat"/>
                <w:color w:val="000000"/>
                <w:sz w:val="20"/>
                <w:szCs w:val="20"/>
                <w:lang w:val="hy-AM"/>
              </w:rPr>
              <w:t>Ոչ թանկարժեք մետաղներ և դրանցից պատրաստված իրեր</w:t>
            </w:r>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102.2</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14.0</w:t>
            </w:r>
          </w:p>
        </w:tc>
        <w:tc>
          <w:tcPr>
            <w:tcW w:w="101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52.5</w:t>
            </w:r>
          </w:p>
        </w:tc>
        <w:tc>
          <w:tcPr>
            <w:tcW w:w="139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6.1</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r w:rsidRPr="00B57DAB">
              <w:rPr>
                <w:rFonts w:ascii="GHEA Grapalat" w:hAnsi="GHEA Grapalat"/>
                <w:b w:val="0"/>
                <w:color w:val="000000"/>
                <w:sz w:val="20"/>
                <w:szCs w:val="20"/>
              </w:rPr>
              <w:t>Մեքենաներ, սարքավորումներ և մեխանիզմներ</w:t>
            </w:r>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15.9</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2.2</w:t>
            </w:r>
          </w:p>
        </w:tc>
        <w:tc>
          <w:tcPr>
            <w:tcW w:w="101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62.3</w:t>
            </w:r>
          </w:p>
        </w:tc>
        <w:tc>
          <w:tcPr>
            <w:tcW w:w="139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1.1</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lang w:val="hy-AM"/>
              </w:rPr>
            </w:pPr>
            <w:r w:rsidRPr="00B57DAB">
              <w:rPr>
                <w:rFonts w:ascii="GHEA Grapalat" w:hAnsi="GHEA Grapalat"/>
                <w:b w:val="0"/>
                <w:color w:val="000000"/>
                <w:sz w:val="20"/>
                <w:szCs w:val="20"/>
                <w:lang w:val="hy-AM"/>
              </w:rPr>
              <w:t>Վերգետնյա, օդային և ջրային տրանսպորտի միջոցներ</w:t>
            </w:r>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7.1</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1.0</w:t>
            </w:r>
          </w:p>
        </w:tc>
        <w:tc>
          <w:tcPr>
            <w:tcW w:w="101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277.3</w:t>
            </w:r>
          </w:p>
        </w:tc>
        <w:tc>
          <w:tcPr>
            <w:tcW w:w="139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0.9</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r w:rsidRPr="00B57DAB">
              <w:rPr>
                <w:rFonts w:ascii="GHEA Grapalat" w:hAnsi="GHEA Grapalat"/>
                <w:b w:val="0"/>
                <w:color w:val="000000"/>
                <w:sz w:val="20"/>
                <w:szCs w:val="20"/>
              </w:rPr>
              <w:lastRenderedPageBreak/>
              <w:t>Սարքեր և ապարատներ</w:t>
            </w:r>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6.7</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0.9</w:t>
            </w:r>
          </w:p>
        </w:tc>
        <w:tc>
          <w:tcPr>
            <w:tcW w:w="101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11.4</w:t>
            </w:r>
          </w:p>
        </w:tc>
        <w:tc>
          <w:tcPr>
            <w:tcW w:w="139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0.1</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r w:rsidRPr="00B57DAB">
              <w:rPr>
                <w:rFonts w:ascii="GHEA Grapalat" w:hAnsi="GHEA Grapalat"/>
                <w:b w:val="0"/>
                <w:color w:val="000000"/>
                <w:sz w:val="20"/>
                <w:szCs w:val="20"/>
              </w:rPr>
              <w:t>Տարբեր արդյունաբերական ապրանքներ</w:t>
            </w:r>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2.9</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0.4</w:t>
            </w:r>
          </w:p>
        </w:tc>
        <w:tc>
          <w:tcPr>
            <w:tcW w:w="101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3.1</w:t>
            </w:r>
          </w:p>
        </w:tc>
        <w:tc>
          <w:tcPr>
            <w:tcW w:w="139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0.0</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r w:rsidRPr="00B57DAB">
              <w:rPr>
                <w:rFonts w:ascii="GHEA Grapalat" w:hAnsi="GHEA Grapalat"/>
                <w:b w:val="0"/>
                <w:color w:val="000000"/>
                <w:sz w:val="20"/>
                <w:szCs w:val="20"/>
              </w:rPr>
              <w:t>Արվեստի ստեղծագործություններ</w:t>
            </w:r>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3.1</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0.4</w:t>
            </w:r>
          </w:p>
        </w:tc>
        <w:tc>
          <w:tcPr>
            <w:tcW w:w="101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3683.2</w:t>
            </w:r>
          </w:p>
        </w:tc>
        <w:tc>
          <w:tcPr>
            <w:tcW w:w="139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0.5</w:t>
            </w:r>
          </w:p>
        </w:tc>
      </w:tr>
    </w:tbl>
    <w:p w:rsidR="00AE25A7" w:rsidRPr="00B57DAB" w:rsidRDefault="00AE25A7" w:rsidP="00AE25A7">
      <w:pPr>
        <w:jc w:val="center"/>
        <w:rPr>
          <w:rFonts w:ascii="GHEA Grapalat" w:hAnsi="GHEA Grapalat"/>
          <w:b/>
          <w:sz w:val="22"/>
          <w:szCs w:val="20"/>
        </w:rPr>
      </w:pPr>
    </w:p>
    <w:p w:rsidR="00AE25A7" w:rsidRPr="00B57DAB" w:rsidRDefault="00AE25A7" w:rsidP="00AE25A7">
      <w:pPr>
        <w:jc w:val="center"/>
        <w:rPr>
          <w:rFonts w:ascii="GHEA Grapalat" w:hAnsi="GHEA Grapalat"/>
          <w:sz w:val="22"/>
          <w:szCs w:val="20"/>
        </w:rPr>
      </w:pPr>
      <w:proofErr w:type="gramStart"/>
      <w:r w:rsidRPr="00B57DAB">
        <w:rPr>
          <w:rFonts w:ascii="GHEA Grapalat" w:hAnsi="GHEA Grapalat"/>
          <w:b/>
          <w:sz w:val="22"/>
          <w:szCs w:val="20"/>
        </w:rPr>
        <w:t>Աղյուսակ 3.</w:t>
      </w:r>
      <w:proofErr w:type="gramEnd"/>
      <w:r w:rsidRPr="00B57DAB">
        <w:rPr>
          <w:rFonts w:ascii="GHEA Grapalat" w:hAnsi="GHEA Grapalat"/>
          <w:b/>
          <w:sz w:val="22"/>
          <w:szCs w:val="20"/>
        </w:rPr>
        <w:t xml:space="preserve"> </w:t>
      </w:r>
      <w:r w:rsidRPr="00B57DAB">
        <w:rPr>
          <w:rFonts w:ascii="GHEA Grapalat" w:hAnsi="GHEA Grapalat"/>
          <w:sz w:val="22"/>
          <w:szCs w:val="20"/>
        </w:rPr>
        <w:t xml:space="preserve">Ներմուծման ապրանքային կառուցվածքը և նպաստումները 2022 թվականի հունվար-մարտ </w:t>
      </w:r>
      <w:r w:rsidRPr="00B57DAB">
        <w:rPr>
          <w:rFonts w:ascii="GHEA Grapalat" w:hAnsi="GHEA Grapalat" w:cs="Arial"/>
          <w:sz w:val="22"/>
          <w:szCs w:val="20"/>
        </w:rPr>
        <w:t xml:space="preserve">ամիսների </w:t>
      </w:r>
      <w:r w:rsidRPr="00B57DAB">
        <w:rPr>
          <w:rFonts w:ascii="GHEA Grapalat" w:hAnsi="GHEA Grapalat"/>
          <w:sz w:val="22"/>
          <w:szCs w:val="20"/>
        </w:rPr>
        <w:t>ներմուծման աճին</w:t>
      </w:r>
    </w:p>
    <w:p w:rsidR="00AE25A7" w:rsidRPr="00B57DAB" w:rsidRDefault="00AE25A7" w:rsidP="00AE25A7">
      <w:pPr>
        <w:jc w:val="center"/>
        <w:rPr>
          <w:rFonts w:ascii="GHEA Grapalat" w:hAnsi="GHEA Grapalat" w:cs="Arial"/>
          <w:b/>
          <w:szCs w:val="20"/>
        </w:rPr>
      </w:pPr>
    </w:p>
    <w:tbl>
      <w:tblPr>
        <w:tblStyle w:val="GridTable4-Accent11"/>
        <w:tblW w:w="10627" w:type="dxa"/>
        <w:tblLayout w:type="fixed"/>
        <w:tblLook w:val="04A0" w:firstRow="1" w:lastRow="0" w:firstColumn="1" w:lastColumn="0" w:noHBand="0" w:noVBand="1"/>
      </w:tblPr>
      <w:tblGrid>
        <w:gridCol w:w="6091"/>
        <w:gridCol w:w="1134"/>
        <w:gridCol w:w="992"/>
        <w:gridCol w:w="992"/>
        <w:gridCol w:w="1418"/>
      </w:tblGrid>
      <w:tr w:rsidR="00AE25A7" w:rsidRPr="00B57DAB" w:rsidTr="00AE25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sz w:val="20"/>
                <w:szCs w:val="20"/>
              </w:rPr>
            </w:pPr>
            <w:r w:rsidRPr="00B57DAB">
              <w:rPr>
                <w:rFonts w:ascii="GHEA Grapalat" w:hAnsi="GHEA Grapalat"/>
                <w:sz w:val="20"/>
                <w:szCs w:val="20"/>
              </w:rPr>
              <w:t>ՆԵՐՄՈՒԾՈՒՄ</w:t>
            </w:r>
          </w:p>
        </w:tc>
        <w:tc>
          <w:tcPr>
            <w:tcW w:w="1134" w:type="dxa"/>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bCs w:val="0"/>
                <w:sz w:val="20"/>
                <w:szCs w:val="20"/>
              </w:rPr>
              <w:t xml:space="preserve">Ծավալ </w:t>
            </w:r>
            <w:r w:rsidRPr="00B57DAB">
              <w:rPr>
                <w:rFonts w:ascii="GHEA Grapalat" w:hAnsi="GHEA Grapalat"/>
                <w:sz w:val="20"/>
                <w:szCs w:val="20"/>
              </w:rPr>
              <w:t>(մլն ԱՄՆ դոլար)</w:t>
            </w:r>
          </w:p>
        </w:tc>
        <w:tc>
          <w:tcPr>
            <w:tcW w:w="992" w:type="dxa"/>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Sylfaen"/>
                <w:sz w:val="20"/>
                <w:szCs w:val="20"/>
              </w:rPr>
              <w:t>Կշիռ</w:t>
            </w:r>
            <w:r w:rsidRPr="00B57DAB">
              <w:rPr>
                <w:rFonts w:ascii="GHEA Grapalat" w:hAnsi="GHEA Grapalat" w:cs="Sylfaen"/>
                <w:bCs w:val="0"/>
                <w:sz w:val="20"/>
                <w:szCs w:val="20"/>
              </w:rPr>
              <w:t xml:space="preserve"> </w:t>
            </w:r>
            <w:r w:rsidRPr="00B57DAB">
              <w:rPr>
                <w:rFonts w:ascii="GHEA Grapalat" w:hAnsi="GHEA Grapalat" w:cs="Sylfaen"/>
                <w:bCs w:val="0"/>
                <w:sz w:val="20"/>
                <w:szCs w:val="20"/>
                <w:lang w:val="ru-RU"/>
              </w:rPr>
              <w:t>(</w:t>
            </w:r>
            <w:r w:rsidRPr="00B57DAB">
              <w:rPr>
                <w:rFonts w:ascii="GHEA Grapalat" w:hAnsi="GHEA Grapalat" w:cs="Sylfaen"/>
                <w:bCs w:val="0"/>
                <w:sz w:val="20"/>
                <w:szCs w:val="20"/>
              </w:rPr>
              <w:t>տոկոս</w:t>
            </w:r>
            <w:r w:rsidRPr="00B57DAB">
              <w:rPr>
                <w:rFonts w:ascii="GHEA Grapalat" w:hAnsi="GHEA Grapalat" w:cs="Sylfaen"/>
                <w:bCs w:val="0"/>
                <w:sz w:val="20"/>
                <w:szCs w:val="20"/>
                <w:lang w:val="ru-RU"/>
              </w:rPr>
              <w:t>)</w:t>
            </w:r>
          </w:p>
        </w:tc>
        <w:tc>
          <w:tcPr>
            <w:tcW w:w="992" w:type="dxa"/>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Sylfaen"/>
                <w:sz w:val="20"/>
                <w:szCs w:val="20"/>
              </w:rPr>
              <w:t>Աճ</w:t>
            </w:r>
            <w:r w:rsidRPr="00B57DAB">
              <w:rPr>
                <w:rFonts w:ascii="GHEA Grapalat" w:hAnsi="GHEA Grapalat" w:cs="Sylfaen"/>
                <w:bCs w:val="0"/>
                <w:sz w:val="20"/>
                <w:szCs w:val="20"/>
              </w:rPr>
              <w:t xml:space="preserve"> </w:t>
            </w:r>
            <w:r w:rsidRPr="00B57DAB">
              <w:rPr>
                <w:rFonts w:ascii="GHEA Grapalat" w:hAnsi="GHEA Grapalat" w:cs="Sylfaen"/>
                <w:bCs w:val="0"/>
                <w:sz w:val="20"/>
                <w:szCs w:val="20"/>
                <w:lang w:val="ru-RU"/>
              </w:rPr>
              <w:t>(</w:t>
            </w:r>
            <w:r w:rsidRPr="00B57DAB">
              <w:rPr>
                <w:rFonts w:ascii="GHEA Grapalat" w:hAnsi="GHEA Grapalat" w:cs="Sylfaen"/>
                <w:bCs w:val="0"/>
                <w:sz w:val="20"/>
                <w:szCs w:val="20"/>
              </w:rPr>
              <w:t>տոկոս</w:t>
            </w:r>
            <w:r w:rsidRPr="00B57DAB">
              <w:rPr>
                <w:rFonts w:ascii="GHEA Grapalat" w:hAnsi="GHEA Grapalat" w:cs="Sylfaen"/>
                <w:bCs w:val="0"/>
                <w:sz w:val="20"/>
                <w:szCs w:val="20"/>
                <w:lang w:val="ru-RU"/>
              </w:rPr>
              <w:t>)</w:t>
            </w:r>
          </w:p>
        </w:tc>
        <w:tc>
          <w:tcPr>
            <w:tcW w:w="1418" w:type="dxa"/>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B57DAB">
              <w:rPr>
                <w:rFonts w:ascii="GHEA Grapalat" w:hAnsi="GHEA Grapalat" w:cs="Sylfaen"/>
                <w:sz w:val="20"/>
                <w:szCs w:val="20"/>
              </w:rPr>
              <w:t>Նպաստում</w:t>
            </w:r>
            <w:r w:rsidRPr="00B57DAB">
              <w:rPr>
                <w:rFonts w:ascii="GHEA Grapalat" w:hAnsi="GHEA Grapalat" w:cs="Sylfaen"/>
                <w:bCs w:val="0"/>
                <w:sz w:val="20"/>
                <w:szCs w:val="20"/>
              </w:rPr>
              <w:t xml:space="preserve"> </w:t>
            </w:r>
            <w:r w:rsidRPr="00B57DAB">
              <w:rPr>
                <w:rFonts w:ascii="GHEA Grapalat" w:hAnsi="GHEA Grapalat" w:cs="Sylfaen"/>
                <w:bCs w:val="0"/>
                <w:sz w:val="20"/>
                <w:szCs w:val="20"/>
                <w:lang w:val="ru-RU"/>
              </w:rPr>
              <w:t>(</w:t>
            </w:r>
            <w:r w:rsidRPr="00B57DAB">
              <w:rPr>
                <w:rFonts w:ascii="GHEA Grapalat" w:hAnsi="GHEA Grapalat" w:cs="Sylfaen"/>
                <w:bCs w:val="0"/>
                <w:sz w:val="20"/>
                <w:szCs w:val="20"/>
              </w:rPr>
              <w:t>տոկոսային կետ</w:t>
            </w:r>
            <w:r w:rsidRPr="00B57DAB">
              <w:rPr>
                <w:rFonts w:ascii="GHEA Grapalat" w:hAnsi="GHEA Grapalat" w:cs="Sylfaen"/>
                <w:bCs w:val="0"/>
                <w:sz w:val="20"/>
                <w:szCs w:val="20"/>
                <w:lang w:val="ru-RU"/>
              </w:rPr>
              <w:t>)</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sz w:val="20"/>
                <w:szCs w:val="20"/>
              </w:rPr>
            </w:pPr>
            <w:r w:rsidRPr="00B57DAB">
              <w:rPr>
                <w:rFonts w:ascii="GHEA Grapalat" w:hAnsi="GHEA Grapalat"/>
                <w:color w:val="000000"/>
                <w:sz w:val="20"/>
                <w:szCs w:val="20"/>
              </w:rPr>
              <w:t xml:space="preserve">ԸՆԴԱՄԵՆԸ </w:t>
            </w:r>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bCs/>
                <w:color w:val="000000" w:themeColor="text1"/>
              </w:rPr>
              <w:t>1366.2</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bCs/>
                <w:color w:val="000000" w:themeColor="text1"/>
                <w:sz w:val="20"/>
                <w:szCs w:val="20"/>
              </w:rPr>
              <w:t>100.0</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bCs/>
                <w:color w:val="000000" w:themeColor="text1"/>
                <w:sz w:val="20"/>
                <w:szCs w:val="20"/>
              </w:rPr>
              <w:t>45.6</w:t>
            </w:r>
          </w:p>
        </w:tc>
        <w:tc>
          <w:tcPr>
            <w:tcW w:w="1418"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bCs/>
                <w:color w:val="000000" w:themeColor="text1"/>
                <w:sz w:val="20"/>
                <w:szCs w:val="20"/>
              </w:rPr>
              <w:t>45.6</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lang w:val="hy-AM"/>
              </w:rPr>
            </w:pPr>
            <w:r w:rsidRPr="00B57DAB">
              <w:rPr>
                <w:rFonts w:ascii="GHEA Grapalat" w:hAnsi="GHEA Grapalat"/>
                <w:b w:val="0"/>
                <w:color w:val="000000"/>
                <w:sz w:val="20"/>
                <w:szCs w:val="20"/>
                <w:lang w:val="hy-AM"/>
              </w:rPr>
              <w:t>Կենդանի կենդանիներ և կենդանական ծագման արտադրանք</w:t>
            </w:r>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44.2</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3.2</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111.2</w:t>
            </w:r>
          </w:p>
        </w:tc>
        <w:tc>
          <w:tcPr>
            <w:tcW w:w="1418"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2.5</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r w:rsidRPr="00B57DAB">
              <w:rPr>
                <w:rFonts w:ascii="GHEA Grapalat" w:hAnsi="GHEA Grapalat"/>
                <w:b w:val="0"/>
                <w:color w:val="000000"/>
                <w:sz w:val="20"/>
                <w:szCs w:val="20"/>
              </w:rPr>
              <w:t>Բուսական ծագման արտադրանք</w:t>
            </w:r>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82.4</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6.0</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77.6</w:t>
            </w:r>
          </w:p>
        </w:tc>
        <w:tc>
          <w:tcPr>
            <w:tcW w:w="1418"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3.8</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lang w:val="hy-AM"/>
              </w:rPr>
            </w:pPr>
            <w:r w:rsidRPr="00B57DAB">
              <w:rPr>
                <w:rFonts w:ascii="GHEA Grapalat" w:hAnsi="GHEA Grapalat"/>
                <w:b w:val="0"/>
                <w:color w:val="000000"/>
                <w:sz w:val="20"/>
                <w:szCs w:val="20"/>
                <w:lang w:val="hy-AM"/>
              </w:rPr>
              <w:t>Կենդանական և բուսական ծագման յուղեր և ճարպեր</w:t>
            </w:r>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11.6</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0.8</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20.2</w:t>
            </w:r>
          </w:p>
        </w:tc>
        <w:tc>
          <w:tcPr>
            <w:tcW w:w="1418"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0.2</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sz w:val="20"/>
                <w:szCs w:val="20"/>
              </w:rPr>
            </w:pPr>
            <w:r w:rsidRPr="00B57DAB">
              <w:rPr>
                <w:rFonts w:ascii="GHEA Grapalat" w:hAnsi="GHEA Grapalat"/>
                <w:color w:val="000000"/>
                <w:sz w:val="20"/>
                <w:szCs w:val="20"/>
              </w:rPr>
              <w:t>Պատրաստի սննդի արտադրանք</w:t>
            </w:r>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79.5</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5.8</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11.6</w:t>
            </w:r>
          </w:p>
        </w:tc>
        <w:tc>
          <w:tcPr>
            <w:tcW w:w="1418"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0.9</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sz w:val="20"/>
                <w:szCs w:val="20"/>
              </w:rPr>
            </w:pPr>
            <w:r w:rsidRPr="00B57DAB">
              <w:rPr>
                <w:rFonts w:ascii="GHEA Grapalat" w:hAnsi="GHEA Grapalat"/>
                <w:color w:val="000000"/>
                <w:sz w:val="20"/>
                <w:szCs w:val="20"/>
              </w:rPr>
              <w:t>Հանքահումքային արտադրանք</w:t>
            </w:r>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284.0</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20.8</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35.8</w:t>
            </w:r>
          </w:p>
        </w:tc>
        <w:tc>
          <w:tcPr>
            <w:tcW w:w="1418"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8.0</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sz w:val="20"/>
                <w:szCs w:val="20"/>
                <w:lang w:val="hy-AM"/>
              </w:rPr>
            </w:pPr>
            <w:r w:rsidRPr="00B57DAB">
              <w:rPr>
                <w:rFonts w:ascii="GHEA Grapalat" w:hAnsi="GHEA Grapalat"/>
                <w:color w:val="000000"/>
                <w:sz w:val="20"/>
                <w:szCs w:val="20"/>
                <w:lang w:val="hy-AM"/>
              </w:rPr>
              <w:t>Քիմիայի և դրա հետ կապված արդյունաբերության ճյուղերի արտադրանք</w:t>
            </w:r>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125.9</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9.2</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66.3</w:t>
            </w:r>
          </w:p>
        </w:tc>
        <w:tc>
          <w:tcPr>
            <w:tcW w:w="1418"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5.3</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lang w:val="hy-AM"/>
              </w:rPr>
            </w:pPr>
            <w:r w:rsidRPr="00B57DAB">
              <w:rPr>
                <w:rFonts w:ascii="GHEA Grapalat" w:hAnsi="GHEA Grapalat"/>
                <w:b w:val="0"/>
                <w:color w:val="000000"/>
                <w:sz w:val="20"/>
                <w:szCs w:val="20"/>
                <w:lang w:val="hy-AM"/>
              </w:rPr>
              <w:t>Պլաստմասսա և դրանցից իրեր, կաուչուկ և ռետինե իրեր</w:t>
            </w:r>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53.0</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3.9</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49.4</w:t>
            </w:r>
          </w:p>
        </w:tc>
        <w:tc>
          <w:tcPr>
            <w:tcW w:w="1418"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1.9</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lang w:val="hy-AM"/>
              </w:rPr>
            </w:pPr>
            <w:r w:rsidRPr="00B57DAB">
              <w:rPr>
                <w:rFonts w:ascii="GHEA Grapalat" w:hAnsi="GHEA Grapalat"/>
                <w:b w:val="0"/>
                <w:color w:val="000000"/>
                <w:sz w:val="20"/>
                <w:szCs w:val="20"/>
                <w:lang w:val="hy-AM"/>
              </w:rPr>
              <w:t>Կաշվի հումք, կաշի, մորթի և դրանցից պատրաստված իրեր</w:t>
            </w:r>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5.8</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0.4</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13.2</w:t>
            </w:r>
          </w:p>
        </w:tc>
        <w:tc>
          <w:tcPr>
            <w:tcW w:w="1418"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0.1</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r w:rsidRPr="00B57DAB">
              <w:rPr>
                <w:rFonts w:ascii="GHEA Grapalat" w:hAnsi="GHEA Grapalat"/>
                <w:b w:val="0"/>
                <w:color w:val="000000"/>
                <w:sz w:val="20"/>
                <w:szCs w:val="20"/>
              </w:rPr>
              <w:t>Փայտ և փայտյա իրեր</w:t>
            </w:r>
            <w:r w:rsidR="00CE395B">
              <w:rPr>
                <w:rFonts w:ascii="GHEA Grapalat" w:hAnsi="GHEA Grapalat"/>
                <w:b w:val="0"/>
                <w:color w:val="000000"/>
                <w:sz w:val="20"/>
                <w:szCs w:val="20"/>
              </w:rPr>
              <w:t xml:space="preserve"> </w:t>
            </w:r>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15.1</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1.1</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56.6</w:t>
            </w:r>
          </w:p>
        </w:tc>
        <w:tc>
          <w:tcPr>
            <w:tcW w:w="1418"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0.6</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r w:rsidRPr="00B57DAB">
              <w:rPr>
                <w:rFonts w:ascii="GHEA Grapalat" w:hAnsi="GHEA Grapalat"/>
                <w:b w:val="0"/>
                <w:color w:val="000000"/>
                <w:sz w:val="20"/>
                <w:szCs w:val="20"/>
              </w:rPr>
              <w:t>Թուղթ և թղթից</w:t>
            </w:r>
            <w:r w:rsidR="00CE395B">
              <w:rPr>
                <w:rFonts w:ascii="GHEA Grapalat" w:hAnsi="GHEA Grapalat"/>
                <w:b w:val="0"/>
                <w:color w:val="000000"/>
                <w:sz w:val="20"/>
                <w:szCs w:val="20"/>
              </w:rPr>
              <w:t xml:space="preserve"> </w:t>
            </w:r>
            <w:r w:rsidRPr="00B57DAB">
              <w:rPr>
                <w:rFonts w:ascii="GHEA Grapalat" w:hAnsi="GHEA Grapalat"/>
                <w:b w:val="0"/>
                <w:color w:val="000000"/>
                <w:sz w:val="20"/>
                <w:szCs w:val="20"/>
              </w:rPr>
              <w:t>իրեր</w:t>
            </w:r>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22.8</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1.7</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34.1</w:t>
            </w:r>
          </w:p>
        </w:tc>
        <w:tc>
          <w:tcPr>
            <w:tcW w:w="1418"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0.6</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sz w:val="20"/>
                <w:szCs w:val="20"/>
              </w:rPr>
            </w:pPr>
            <w:r w:rsidRPr="00B57DAB">
              <w:rPr>
                <w:rFonts w:ascii="GHEA Grapalat" w:hAnsi="GHEA Grapalat"/>
                <w:color w:val="000000"/>
                <w:sz w:val="20"/>
                <w:szCs w:val="20"/>
              </w:rPr>
              <w:t>Մանածագործական իրեր</w:t>
            </w:r>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75.9</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5.6</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34.9</w:t>
            </w:r>
          </w:p>
        </w:tc>
        <w:tc>
          <w:tcPr>
            <w:tcW w:w="1418"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2.1</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r w:rsidRPr="00B57DAB">
              <w:rPr>
                <w:rFonts w:ascii="GHEA Grapalat" w:hAnsi="GHEA Grapalat"/>
                <w:b w:val="0"/>
                <w:color w:val="000000"/>
                <w:sz w:val="20"/>
                <w:szCs w:val="20"/>
              </w:rPr>
              <w:t>Կոշկեղեն, գլխարկներ, հովանոցներ</w:t>
            </w:r>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19.2</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1.4</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31.7</w:t>
            </w:r>
          </w:p>
        </w:tc>
        <w:tc>
          <w:tcPr>
            <w:tcW w:w="1418"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0.5</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r w:rsidRPr="00B57DAB">
              <w:rPr>
                <w:rFonts w:ascii="GHEA Grapalat" w:hAnsi="GHEA Grapalat"/>
                <w:b w:val="0"/>
                <w:color w:val="000000"/>
                <w:sz w:val="20"/>
                <w:szCs w:val="20"/>
              </w:rPr>
              <w:t>Իրեր քարից, գիպսից, ցեմենտից</w:t>
            </w:r>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22.7</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1.7</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28.1</w:t>
            </w:r>
          </w:p>
        </w:tc>
        <w:tc>
          <w:tcPr>
            <w:tcW w:w="1418"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0.5</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sz w:val="20"/>
                <w:szCs w:val="20"/>
                <w:lang w:val="hy-AM"/>
              </w:rPr>
            </w:pPr>
            <w:r w:rsidRPr="00B57DAB">
              <w:rPr>
                <w:rFonts w:ascii="GHEA Grapalat" w:hAnsi="GHEA Grapalat"/>
                <w:color w:val="000000"/>
                <w:sz w:val="20"/>
                <w:szCs w:val="20"/>
                <w:lang w:val="hy-AM"/>
              </w:rPr>
              <w:t>Թանկարժեք և կիսաթանկարժեք քարեր, թանկարժեք մետաղներ և դրանցից իրեր</w:t>
            </w:r>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65.1</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4.8</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25.4</w:t>
            </w:r>
          </w:p>
        </w:tc>
        <w:tc>
          <w:tcPr>
            <w:tcW w:w="1418"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1.4</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sz w:val="20"/>
                <w:szCs w:val="20"/>
                <w:lang w:val="hy-AM"/>
              </w:rPr>
            </w:pPr>
            <w:r w:rsidRPr="00B57DAB">
              <w:rPr>
                <w:rFonts w:ascii="GHEA Grapalat" w:hAnsi="GHEA Grapalat"/>
                <w:color w:val="000000"/>
                <w:sz w:val="20"/>
                <w:szCs w:val="20"/>
                <w:lang w:val="hy-AM"/>
              </w:rPr>
              <w:t>Ոչ թանկարժեք մետաղներ և դրանցից պատրաստված իրեր</w:t>
            </w:r>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106.2</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7.8</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76.8</w:t>
            </w:r>
          </w:p>
        </w:tc>
        <w:tc>
          <w:tcPr>
            <w:tcW w:w="1418"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4.9</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sz w:val="20"/>
                <w:szCs w:val="20"/>
              </w:rPr>
            </w:pPr>
            <w:r w:rsidRPr="00B57DAB">
              <w:rPr>
                <w:rFonts w:ascii="GHEA Grapalat" w:hAnsi="GHEA Grapalat"/>
                <w:color w:val="000000"/>
                <w:sz w:val="20"/>
                <w:szCs w:val="20"/>
              </w:rPr>
              <w:t>Մեքենաներ, սարքավորումներ և մեխանիզմներ</w:t>
            </w:r>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204.2</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14.9</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29.2</w:t>
            </w:r>
          </w:p>
        </w:tc>
        <w:tc>
          <w:tcPr>
            <w:tcW w:w="1418"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4.9</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lang w:val="hy-AM"/>
              </w:rPr>
            </w:pPr>
            <w:r w:rsidRPr="00B57DAB">
              <w:rPr>
                <w:rFonts w:ascii="GHEA Grapalat" w:hAnsi="GHEA Grapalat"/>
                <w:b w:val="0"/>
                <w:color w:val="000000"/>
                <w:sz w:val="20"/>
                <w:szCs w:val="20"/>
                <w:lang w:val="hy-AM"/>
              </w:rPr>
              <w:t>Վերգետնյա, օդային և ջրային տրանսպորտի միջոցներ</w:t>
            </w:r>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85.8</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6.3</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187.8</w:t>
            </w:r>
          </w:p>
        </w:tc>
        <w:tc>
          <w:tcPr>
            <w:tcW w:w="1418"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6.0</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r w:rsidRPr="00B57DAB">
              <w:rPr>
                <w:rFonts w:ascii="GHEA Grapalat" w:hAnsi="GHEA Grapalat"/>
                <w:b w:val="0"/>
                <w:color w:val="000000"/>
                <w:sz w:val="20"/>
                <w:szCs w:val="20"/>
              </w:rPr>
              <w:t>Սարքեր և ապարատներ</w:t>
            </w:r>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29.6</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2.2</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31.9</w:t>
            </w:r>
          </w:p>
        </w:tc>
        <w:tc>
          <w:tcPr>
            <w:tcW w:w="1418"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0.8</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r w:rsidRPr="00B57DAB">
              <w:rPr>
                <w:rFonts w:ascii="GHEA Grapalat" w:hAnsi="GHEA Grapalat"/>
                <w:b w:val="0"/>
                <w:color w:val="000000"/>
                <w:sz w:val="20"/>
                <w:szCs w:val="20"/>
              </w:rPr>
              <w:t>Տարբեր արդյունաբերական ապրանքներ</w:t>
            </w:r>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33.4</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2.4</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23.5</w:t>
            </w:r>
          </w:p>
        </w:tc>
        <w:tc>
          <w:tcPr>
            <w:tcW w:w="1418"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0.7</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r w:rsidRPr="00B57DAB">
              <w:rPr>
                <w:rFonts w:ascii="GHEA Grapalat" w:hAnsi="GHEA Grapalat"/>
                <w:b w:val="0"/>
                <w:color w:val="000000"/>
                <w:sz w:val="20"/>
                <w:szCs w:val="20"/>
              </w:rPr>
              <w:t>Արվեստի ստեղծագործություններ</w:t>
            </w:r>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0.0</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0.0</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57.6</w:t>
            </w:r>
          </w:p>
        </w:tc>
        <w:tc>
          <w:tcPr>
            <w:tcW w:w="1418"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0.0</w:t>
            </w:r>
          </w:p>
        </w:tc>
      </w:tr>
    </w:tbl>
    <w:p w:rsidR="00AE25A7" w:rsidRPr="00B57DAB" w:rsidRDefault="00AE25A7" w:rsidP="00AE25A7">
      <w:pPr>
        <w:rPr>
          <w:rFonts w:ascii="GHEA Grapalat" w:hAnsi="GHEA Grapalat"/>
          <w:b/>
          <w:sz w:val="20"/>
          <w:szCs w:val="20"/>
        </w:rPr>
      </w:pPr>
    </w:p>
    <w:p w:rsidR="00AE25A7" w:rsidRPr="00B57DAB" w:rsidRDefault="00AE25A7" w:rsidP="00AE25A7">
      <w:pPr>
        <w:jc w:val="center"/>
        <w:rPr>
          <w:rFonts w:ascii="GHEA Grapalat" w:hAnsi="GHEA Grapalat"/>
          <w:b/>
          <w:szCs w:val="20"/>
        </w:rPr>
      </w:pPr>
      <w:proofErr w:type="gramStart"/>
      <w:r w:rsidRPr="00B57DAB">
        <w:rPr>
          <w:rFonts w:ascii="GHEA Grapalat" w:hAnsi="GHEA Grapalat"/>
          <w:b/>
          <w:sz w:val="22"/>
          <w:szCs w:val="20"/>
        </w:rPr>
        <w:t>Աղյուսակ 4.</w:t>
      </w:r>
      <w:proofErr w:type="gramEnd"/>
      <w:r w:rsidRPr="00B57DAB">
        <w:rPr>
          <w:rFonts w:ascii="GHEA Grapalat" w:hAnsi="GHEA Grapalat"/>
          <w:b/>
          <w:szCs w:val="20"/>
        </w:rPr>
        <w:t xml:space="preserve"> </w:t>
      </w:r>
      <w:r w:rsidRPr="00B57DAB">
        <w:rPr>
          <w:rFonts w:ascii="GHEA Grapalat" w:hAnsi="GHEA Grapalat"/>
          <w:sz w:val="22"/>
          <w:szCs w:val="20"/>
        </w:rPr>
        <w:t xml:space="preserve">Ներմուծումն ըստ ապրանքների լայն տնտեսական՝ BEC դասակարգչի և նպաստումները հունվար-մարտ ամիսներին </w:t>
      </w:r>
    </w:p>
    <w:p w:rsidR="00AE25A7" w:rsidRPr="00B57DAB" w:rsidRDefault="00AE25A7" w:rsidP="00AE25A7">
      <w:pPr>
        <w:jc w:val="center"/>
        <w:rPr>
          <w:rFonts w:ascii="GHEA Grapalat" w:hAnsi="GHEA Grapalat"/>
          <w:b/>
          <w:szCs w:val="20"/>
        </w:rPr>
      </w:pPr>
    </w:p>
    <w:tbl>
      <w:tblPr>
        <w:tblStyle w:val="GridTable4-Accent11"/>
        <w:tblW w:w="9634" w:type="dxa"/>
        <w:tblLayout w:type="fixed"/>
        <w:tblLook w:val="04A0" w:firstRow="1" w:lastRow="0" w:firstColumn="1" w:lastColumn="0" w:noHBand="0" w:noVBand="1"/>
      </w:tblPr>
      <w:tblGrid>
        <w:gridCol w:w="3964"/>
        <w:gridCol w:w="993"/>
        <w:gridCol w:w="850"/>
        <w:gridCol w:w="992"/>
        <w:gridCol w:w="851"/>
        <w:gridCol w:w="992"/>
        <w:gridCol w:w="992"/>
      </w:tblGrid>
      <w:tr w:rsidR="00AE25A7" w:rsidRPr="00B57DAB" w:rsidTr="00AE25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AE25A7" w:rsidRPr="00B57DAB" w:rsidRDefault="00AE25A7" w:rsidP="00AE25A7">
            <w:pPr>
              <w:spacing w:line="360" w:lineRule="auto"/>
              <w:jc w:val="both"/>
              <w:rPr>
                <w:rFonts w:ascii="GHEA Grapalat" w:hAnsi="GHEA Grapalat"/>
                <w:sz w:val="20"/>
                <w:szCs w:val="20"/>
                <w:lang w:val="hy-AM"/>
              </w:rPr>
            </w:pPr>
          </w:p>
        </w:tc>
        <w:tc>
          <w:tcPr>
            <w:tcW w:w="1843" w:type="dxa"/>
            <w:gridSpan w:val="2"/>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 xml:space="preserve">Կշիռ </w:t>
            </w:r>
            <w:r w:rsidRPr="00B57DAB">
              <w:rPr>
                <w:rFonts w:ascii="GHEA Grapalat" w:hAnsi="GHEA Grapalat"/>
                <w:sz w:val="20"/>
                <w:szCs w:val="20"/>
                <w:lang w:val="ru-RU"/>
              </w:rPr>
              <w:t>(</w:t>
            </w:r>
            <w:r w:rsidRPr="00B57DAB">
              <w:rPr>
                <w:rFonts w:ascii="GHEA Grapalat" w:hAnsi="GHEA Grapalat"/>
                <w:sz w:val="20"/>
                <w:szCs w:val="20"/>
              </w:rPr>
              <w:t>տոկոս</w:t>
            </w:r>
            <w:r w:rsidRPr="00B57DAB">
              <w:rPr>
                <w:rFonts w:ascii="GHEA Grapalat" w:hAnsi="GHEA Grapalat"/>
                <w:sz w:val="20"/>
                <w:szCs w:val="20"/>
                <w:lang w:val="ru-RU"/>
              </w:rPr>
              <w:t>)</w:t>
            </w:r>
          </w:p>
        </w:tc>
        <w:tc>
          <w:tcPr>
            <w:tcW w:w="1843" w:type="dxa"/>
            <w:gridSpan w:val="2"/>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B57DAB">
              <w:rPr>
                <w:rFonts w:ascii="GHEA Grapalat" w:hAnsi="GHEA Grapalat"/>
                <w:sz w:val="20"/>
                <w:szCs w:val="20"/>
              </w:rPr>
              <w:t>Աճ</w:t>
            </w:r>
            <w:r w:rsidRPr="00B57DAB">
              <w:rPr>
                <w:rFonts w:ascii="GHEA Grapalat" w:hAnsi="GHEA Grapalat"/>
                <w:sz w:val="20"/>
                <w:szCs w:val="20"/>
                <w:lang w:val="ru-RU"/>
              </w:rPr>
              <w:t xml:space="preserve"> (</w:t>
            </w:r>
            <w:r w:rsidRPr="00B57DAB">
              <w:rPr>
                <w:rFonts w:ascii="GHEA Grapalat" w:hAnsi="GHEA Grapalat"/>
                <w:sz w:val="20"/>
                <w:szCs w:val="20"/>
              </w:rPr>
              <w:t>տոկոս</w:t>
            </w:r>
            <w:r w:rsidRPr="00B57DAB">
              <w:rPr>
                <w:rFonts w:ascii="GHEA Grapalat" w:hAnsi="GHEA Grapalat"/>
                <w:sz w:val="20"/>
                <w:szCs w:val="20"/>
                <w:lang w:val="ru-RU"/>
              </w:rPr>
              <w:t>)</w:t>
            </w:r>
          </w:p>
        </w:tc>
        <w:tc>
          <w:tcPr>
            <w:tcW w:w="1984" w:type="dxa"/>
            <w:gridSpan w:val="2"/>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Նպաստում</w:t>
            </w:r>
          </w:p>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B57DAB">
              <w:rPr>
                <w:rFonts w:ascii="GHEA Grapalat" w:hAnsi="GHEA Grapalat"/>
                <w:sz w:val="20"/>
                <w:szCs w:val="20"/>
                <w:lang w:val="ru-RU"/>
              </w:rPr>
              <w:t>(</w:t>
            </w:r>
            <w:r w:rsidRPr="00B57DAB">
              <w:rPr>
                <w:rFonts w:ascii="GHEA Grapalat" w:hAnsi="GHEA Grapalat"/>
                <w:sz w:val="20"/>
                <w:szCs w:val="20"/>
              </w:rPr>
              <w:t>տոկոսային կետ</w:t>
            </w:r>
            <w:r w:rsidRPr="00B57DAB">
              <w:rPr>
                <w:rFonts w:ascii="GHEA Grapalat" w:hAnsi="GHEA Grapalat"/>
                <w:sz w:val="20"/>
                <w:szCs w:val="20"/>
                <w:lang w:val="ru-RU"/>
              </w:rPr>
              <w:t>)</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AE25A7" w:rsidRPr="00B57DAB" w:rsidRDefault="00AE25A7" w:rsidP="00AE25A7">
            <w:pPr>
              <w:spacing w:line="360" w:lineRule="auto"/>
              <w:jc w:val="both"/>
              <w:rPr>
                <w:rFonts w:ascii="GHEA Grapalat" w:hAnsi="GHEA Grapalat"/>
                <w:sz w:val="20"/>
                <w:szCs w:val="20"/>
              </w:rPr>
            </w:pPr>
          </w:p>
        </w:tc>
        <w:tc>
          <w:tcPr>
            <w:tcW w:w="993" w:type="dxa"/>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2021</w:t>
            </w:r>
          </w:p>
        </w:tc>
        <w:tc>
          <w:tcPr>
            <w:tcW w:w="850" w:type="dxa"/>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2022</w:t>
            </w:r>
          </w:p>
        </w:tc>
        <w:tc>
          <w:tcPr>
            <w:tcW w:w="992" w:type="dxa"/>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2021</w:t>
            </w:r>
          </w:p>
        </w:tc>
        <w:tc>
          <w:tcPr>
            <w:tcW w:w="851" w:type="dxa"/>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2022</w:t>
            </w:r>
          </w:p>
        </w:tc>
        <w:tc>
          <w:tcPr>
            <w:tcW w:w="992" w:type="dxa"/>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2021</w:t>
            </w:r>
          </w:p>
        </w:tc>
        <w:tc>
          <w:tcPr>
            <w:tcW w:w="992" w:type="dxa"/>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2022</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3964" w:type="dxa"/>
          </w:tcPr>
          <w:p w:rsidR="00AE25A7" w:rsidRPr="00B57DAB" w:rsidRDefault="00AE25A7" w:rsidP="00AE25A7">
            <w:pPr>
              <w:jc w:val="both"/>
              <w:rPr>
                <w:rFonts w:ascii="GHEA Grapalat" w:hAnsi="GHEA Grapalat"/>
                <w:sz w:val="20"/>
                <w:szCs w:val="20"/>
              </w:rPr>
            </w:pPr>
            <w:r w:rsidRPr="00B57DAB">
              <w:rPr>
                <w:rFonts w:ascii="GHEA Grapalat" w:hAnsi="GHEA Grapalat"/>
                <w:sz w:val="20"/>
                <w:szCs w:val="20"/>
              </w:rPr>
              <w:t>Ընդամենը</w:t>
            </w:r>
          </w:p>
        </w:tc>
        <w:tc>
          <w:tcPr>
            <w:tcW w:w="993" w:type="dxa"/>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B57DAB">
              <w:rPr>
                <w:rFonts w:ascii="GHEA Grapalat" w:hAnsi="GHEA Grapalat"/>
                <w:b/>
                <w:bCs/>
                <w:sz w:val="20"/>
                <w:szCs w:val="20"/>
              </w:rPr>
              <w:t>100</w:t>
            </w:r>
          </w:p>
        </w:tc>
        <w:tc>
          <w:tcPr>
            <w:tcW w:w="850" w:type="dxa"/>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B57DAB">
              <w:rPr>
                <w:rFonts w:ascii="GHEA Grapalat" w:hAnsi="GHEA Grapalat"/>
                <w:b/>
                <w:bCs/>
                <w:sz w:val="20"/>
                <w:szCs w:val="20"/>
              </w:rPr>
              <w:t>100</w:t>
            </w:r>
          </w:p>
        </w:tc>
        <w:tc>
          <w:tcPr>
            <w:tcW w:w="992" w:type="dxa"/>
            <w:vAlign w:val="bottom"/>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-11.0</w:t>
            </w:r>
          </w:p>
        </w:tc>
        <w:tc>
          <w:tcPr>
            <w:tcW w:w="851" w:type="dxa"/>
            <w:vAlign w:val="bottom"/>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45.6</w:t>
            </w:r>
          </w:p>
        </w:tc>
        <w:tc>
          <w:tcPr>
            <w:tcW w:w="992" w:type="dxa"/>
            <w:vAlign w:val="bottom"/>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-11.0</w:t>
            </w:r>
          </w:p>
        </w:tc>
        <w:tc>
          <w:tcPr>
            <w:tcW w:w="992" w:type="dxa"/>
            <w:vAlign w:val="bottom"/>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45.6</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AE25A7" w:rsidRPr="00B57DAB" w:rsidRDefault="00AE25A7" w:rsidP="00AE25A7">
            <w:pPr>
              <w:jc w:val="both"/>
              <w:rPr>
                <w:rFonts w:ascii="GHEA Grapalat" w:hAnsi="GHEA Grapalat"/>
                <w:b w:val="0"/>
                <w:sz w:val="20"/>
                <w:szCs w:val="20"/>
              </w:rPr>
            </w:pPr>
            <w:r w:rsidRPr="00B57DAB">
              <w:rPr>
                <w:rFonts w:ascii="GHEA Grapalat" w:hAnsi="GHEA Grapalat"/>
                <w:b w:val="0"/>
                <w:sz w:val="20"/>
                <w:szCs w:val="20"/>
              </w:rPr>
              <w:t>Վերջնական սպառման ապրանքներ</w:t>
            </w:r>
          </w:p>
        </w:tc>
        <w:tc>
          <w:tcPr>
            <w:tcW w:w="993" w:type="dxa"/>
            <w:vAlign w:val="bottom"/>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26.8</w:t>
            </w:r>
          </w:p>
        </w:tc>
        <w:tc>
          <w:tcPr>
            <w:tcW w:w="850" w:type="dxa"/>
            <w:vAlign w:val="bottom"/>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25.6</w:t>
            </w:r>
          </w:p>
        </w:tc>
        <w:tc>
          <w:tcPr>
            <w:tcW w:w="992" w:type="dxa"/>
            <w:vAlign w:val="bottom"/>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-13.9</w:t>
            </w:r>
          </w:p>
        </w:tc>
        <w:tc>
          <w:tcPr>
            <w:tcW w:w="851" w:type="dxa"/>
            <w:vAlign w:val="bottom"/>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39.3</w:t>
            </w:r>
          </w:p>
        </w:tc>
        <w:tc>
          <w:tcPr>
            <w:tcW w:w="992" w:type="dxa"/>
            <w:vAlign w:val="bottom"/>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-3.9</w:t>
            </w:r>
          </w:p>
        </w:tc>
        <w:tc>
          <w:tcPr>
            <w:tcW w:w="992" w:type="dxa"/>
            <w:vAlign w:val="bottom"/>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10.5</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3964" w:type="dxa"/>
          </w:tcPr>
          <w:p w:rsidR="00AE25A7" w:rsidRPr="00B57DAB" w:rsidRDefault="00AE25A7" w:rsidP="00AE25A7">
            <w:pPr>
              <w:jc w:val="both"/>
              <w:rPr>
                <w:rFonts w:ascii="GHEA Grapalat" w:hAnsi="GHEA Grapalat"/>
                <w:b w:val="0"/>
                <w:sz w:val="20"/>
                <w:szCs w:val="20"/>
              </w:rPr>
            </w:pPr>
            <w:r w:rsidRPr="00B57DAB">
              <w:rPr>
                <w:rFonts w:ascii="GHEA Grapalat" w:hAnsi="GHEA Grapalat"/>
                <w:b w:val="0"/>
                <w:sz w:val="20"/>
                <w:szCs w:val="20"/>
              </w:rPr>
              <w:t>Միջանկյալ սպառման ապրանքներ</w:t>
            </w:r>
          </w:p>
        </w:tc>
        <w:tc>
          <w:tcPr>
            <w:tcW w:w="993" w:type="dxa"/>
            <w:vAlign w:val="bottom"/>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56.8</w:t>
            </w:r>
          </w:p>
        </w:tc>
        <w:tc>
          <w:tcPr>
            <w:tcW w:w="850" w:type="dxa"/>
            <w:vAlign w:val="bottom"/>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56.5</w:t>
            </w:r>
          </w:p>
        </w:tc>
        <w:tc>
          <w:tcPr>
            <w:tcW w:w="992" w:type="dxa"/>
            <w:vAlign w:val="bottom"/>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-6.4</w:t>
            </w:r>
          </w:p>
        </w:tc>
        <w:tc>
          <w:tcPr>
            <w:tcW w:w="851" w:type="dxa"/>
            <w:vAlign w:val="bottom"/>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44.8</w:t>
            </w:r>
          </w:p>
        </w:tc>
        <w:tc>
          <w:tcPr>
            <w:tcW w:w="992" w:type="dxa"/>
            <w:vAlign w:val="bottom"/>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-3.5</w:t>
            </w:r>
          </w:p>
        </w:tc>
        <w:tc>
          <w:tcPr>
            <w:tcW w:w="992" w:type="dxa"/>
            <w:vAlign w:val="bottom"/>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25.5</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AE25A7" w:rsidRPr="00B57DAB" w:rsidRDefault="00AE25A7" w:rsidP="00AE25A7">
            <w:pPr>
              <w:jc w:val="both"/>
              <w:rPr>
                <w:rFonts w:ascii="GHEA Grapalat" w:hAnsi="GHEA Grapalat"/>
                <w:b w:val="0"/>
                <w:sz w:val="20"/>
                <w:szCs w:val="20"/>
              </w:rPr>
            </w:pPr>
            <w:r w:rsidRPr="00B57DAB">
              <w:rPr>
                <w:rFonts w:ascii="GHEA Grapalat" w:hAnsi="GHEA Grapalat"/>
                <w:b w:val="0"/>
                <w:sz w:val="20"/>
                <w:szCs w:val="20"/>
              </w:rPr>
              <w:t>Կապիտալ ապրանքներ</w:t>
            </w:r>
          </w:p>
        </w:tc>
        <w:tc>
          <w:tcPr>
            <w:tcW w:w="993" w:type="dxa"/>
            <w:vAlign w:val="bottom"/>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15.5</w:t>
            </w:r>
          </w:p>
        </w:tc>
        <w:tc>
          <w:tcPr>
            <w:tcW w:w="850" w:type="dxa"/>
            <w:vAlign w:val="bottom"/>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14.0</w:t>
            </w:r>
          </w:p>
        </w:tc>
        <w:tc>
          <w:tcPr>
            <w:tcW w:w="992" w:type="dxa"/>
            <w:vAlign w:val="bottom"/>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-19.0</w:t>
            </w:r>
          </w:p>
        </w:tc>
        <w:tc>
          <w:tcPr>
            <w:tcW w:w="851" w:type="dxa"/>
            <w:vAlign w:val="bottom"/>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32.1</w:t>
            </w:r>
          </w:p>
        </w:tc>
        <w:tc>
          <w:tcPr>
            <w:tcW w:w="992" w:type="dxa"/>
            <w:vAlign w:val="bottom"/>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-3.2</w:t>
            </w:r>
          </w:p>
        </w:tc>
        <w:tc>
          <w:tcPr>
            <w:tcW w:w="992" w:type="dxa"/>
            <w:vAlign w:val="bottom"/>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5.0</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3964" w:type="dxa"/>
          </w:tcPr>
          <w:p w:rsidR="00AE25A7" w:rsidRPr="00B57DAB" w:rsidRDefault="00AE25A7" w:rsidP="00AE25A7">
            <w:pPr>
              <w:jc w:val="both"/>
              <w:rPr>
                <w:rFonts w:ascii="GHEA Grapalat" w:hAnsi="GHEA Grapalat"/>
                <w:b w:val="0"/>
                <w:sz w:val="20"/>
                <w:szCs w:val="20"/>
              </w:rPr>
            </w:pPr>
            <w:r w:rsidRPr="00B57DAB">
              <w:rPr>
                <w:rFonts w:ascii="GHEA Grapalat" w:hAnsi="GHEA Grapalat"/>
                <w:b w:val="0"/>
                <w:sz w:val="20"/>
                <w:szCs w:val="20"/>
              </w:rPr>
              <w:t>Ավտոմեքենա մարդատար</w:t>
            </w:r>
          </w:p>
        </w:tc>
        <w:tc>
          <w:tcPr>
            <w:tcW w:w="993" w:type="dxa"/>
            <w:vAlign w:val="bottom"/>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0.9</w:t>
            </w:r>
          </w:p>
        </w:tc>
        <w:tc>
          <w:tcPr>
            <w:tcW w:w="850" w:type="dxa"/>
            <w:vAlign w:val="bottom"/>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3.8</w:t>
            </w:r>
          </w:p>
        </w:tc>
        <w:tc>
          <w:tcPr>
            <w:tcW w:w="992" w:type="dxa"/>
            <w:vAlign w:val="bottom"/>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-33.2</w:t>
            </w:r>
          </w:p>
        </w:tc>
        <w:tc>
          <w:tcPr>
            <w:tcW w:w="851" w:type="dxa"/>
            <w:vAlign w:val="bottom"/>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514.1</w:t>
            </w:r>
          </w:p>
        </w:tc>
        <w:tc>
          <w:tcPr>
            <w:tcW w:w="992" w:type="dxa"/>
            <w:vAlign w:val="bottom"/>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-0.4</w:t>
            </w:r>
          </w:p>
        </w:tc>
        <w:tc>
          <w:tcPr>
            <w:tcW w:w="992" w:type="dxa"/>
            <w:vAlign w:val="bottom"/>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4.7</w:t>
            </w:r>
          </w:p>
        </w:tc>
      </w:tr>
    </w:tbl>
    <w:p w:rsidR="00976886" w:rsidRPr="00B57DAB" w:rsidRDefault="00563135" w:rsidP="00D95F0B">
      <w:pPr>
        <w:pStyle w:val="Heading1"/>
        <w:overflowPunct/>
        <w:autoSpaceDE/>
        <w:autoSpaceDN/>
        <w:adjustRightInd/>
        <w:ind w:firstLine="0"/>
        <w:jc w:val="left"/>
        <w:textAlignment w:val="auto"/>
        <w:rPr>
          <w:rFonts w:ascii="GHEA Grapalat" w:hAnsi="GHEA Grapalat" w:cs="Sylfaen"/>
          <w:noProof/>
          <w:sz w:val="22"/>
          <w:szCs w:val="22"/>
          <w:lang w:val="hy-AM"/>
        </w:rPr>
      </w:pPr>
      <w:r w:rsidRPr="00B57DAB">
        <w:rPr>
          <w:rFonts w:ascii="GHEA Grapalat" w:hAnsi="GHEA Grapalat" w:cs="Sylfaen"/>
          <w:noProof/>
          <w:sz w:val="22"/>
          <w:szCs w:val="22"/>
        </w:rPr>
        <w:br w:type="page"/>
      </w:r>
      <w:bookmarkStart w:id="36" w:name="_Toc102759887"/>
      <w:r w:rsidR="00B356EF" w:rsidRPr="00B57DAB">
        <w:rPr>
          <w:rFonts w:ascii="GHEA Grapalat" w:hAnsi="GHEA Grapalat" w:cs="Sylfaen"/>
          <w:noProof/>
          <w:sz w:val="22"/>
          <w:szCs w:val="22"/>
          <w:lang w:val="hy-AM"/>
        </w:rPr>
        <w:lastRenderedPageBreak/>
        <w:t>ՀՀ ՊԵՏԱԿԱՆ ԲՅՈՒՋԵԻ 2022</w:t>
      </w:r>
      <w:r w:rsidR="00976886" w:rsidRPr="00B57DAB">
        <w:rPr>
          <w:rFonts w:ascii="GHEA Grapalat" w:hAnsi="GHEA Grapalat" w:cs="Sylfaen"/>
          <w:noProof/>
          <w:sz w:val="22"/>
          <w:szCs w:val="22"/>
          <w:lang w:val="hy-AM"/>
        </w:rPr>
        <w:t xml:space="preserve"> ԹՎԱԿԱՆԻ </w:t>
      </w:r>
      <w:r w:rsidR="00B356EF" w:rsidRPr="00B57DAB">
        <w:rPr>
          <w:rFonts w:ascii="GHEA Grapalat" w:hAnsi="GHEA Grapalat" w:cs="Sylfaen"/>
          <w:noProof/>
          <w:sz w:val="22"/>
          <w:szCs w:val="22"/>
          <w:lang w:val="hy-AM"/>
        </w:rPr>
        <w:t>ԱՌԱՋԻՆ ԵՌԱՄՍՅԱԿԻ</w:t>
      </w:r>
      <w:r w:rsidR="00976886" w:rsidRPr="00B57DAB">
        <w:rPr>
          <w:rFonts w:ascii="GHEA Grapalat" w:hAnsi="GHEA Grapalat" w:cs="Sylfaen"/>
          <w:noProof/>
          <w:sz w:val="22"/>
          <w:szCs w:val="22"/>
          <w:lang w:val="hy-AM"/>
        </w:rPr>
        <w:t xml:space="preserve"> ՑՈՒՑԱՆԻՇՆԵՐԸ</w:t>
      </w:r>
      <w:bookmarkEnd w:id="5"/>
      <w:r w:rsidR="00CC4C47" w:rsidRPr="00B57DAB">
        <w:rPr>
          <w:vertAlign w:val="superscript"/>
          <w:lang w:val="hy-AM"/>
        </w:rPr>
        <w:footnoteReference w:id="27"/>
      </w:r>
      <w:bookmarkEnd w:id="36"/>
    </w:p>
    <w:p w:rsidR="00976886" w:rsidRPr="00B57DAB" w:rsidRDefault="00976886" w:rsidP="00976886">
      <w:pPr>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lang w:val="hy-AM"/>
        </w:rPr>
        <w:t>«Հայաստանի Հանրապետության 202</w:t>
      </w:r>
      <w:r w:rsidR="00B356EF" w:rsidRPr="00B57DAB">
        <w:rPr>
          <w:rFonts w:ascii="GHEA Grapalat" w:hAnsi="GHEA Grapalat" w:cs="GHEA Grapalat"/>
          <w:sz w:val="22"/>
          <w:szCs w:val="22"/>
        </w:rPr>
        <w:t>2</w:t>
      </w:r>
      <w:r w:rsidRPr="00B57DAB">
        <w:rPr>
          <w:rFonts w:ascii="GHEA Grapalat" w:hAnsi="GHEA Grapalat" w:cs="GHEA Grapalat"/>
          <w:sz w:val="22"/>
          <w:szCs w:val="22"/>
          <w:lang w:val="hy-AM"/>
        </w:rPr>
        <w:t xml:space="preserve"> թվականի պետական բյուջեի մասին» ՀՀ օրենքով (այսուհետ՝ Օրենք) </w:t>
      </w:r>
      <w:r w:rsidRPr="00B57DAB">
        <w:rPr>
          <w:rFonts w:ascii="GHEA Grapalat" w:hAnsi="GHEA Grapalat" w:cs="GHEA Grapalat"/>
          <w:sz w:val="22"/>
          <w:szCs w:val="22"/>
        </w:rPr>
        <w:t>պետական բյուջեի տարեկան եկամուտները սահմանվել էին</w:t>
      </w:r>
      <w:r w:rsidRPr="00B57DAB">
        <w:rPr>
          <w:rFonts w:ascii="GHEA Grapalat" w:hAnsi="GHEA Grapalat" w:cs="GHEA Grapalat"/>
          <w:sz w:val="22"/>
          <w:szCs w:val="22"/>
          <w:lang w:val="hy-AM"/>
        </w:rPr>
        <w:t xml:space="preserve"> 1,</w:t>
      </w:r>
      <w:r w:rsidR="00B356EF" w:rsidRPr="00B57DAB">
        <w:rPr>
          <w:rFonts w:ascii="GHEA Grapalat" w:hAnsi="GHEA Grapalat" w:cs="GHEA Grapalat"/>
          <w:sz w:val="22"/>
          <w:szCs w:val="22"/>
        </w:rPr>
        <w:t>947.8</w:t>
      </w:r>
      <w:r w:rsidRPr="00B57DAB">
        <w:rPr>
          <w:rFonts w:ascii="GHEA Grapalat" w:hAnsi="GHEA Grapalat" w:cs="GHEA Grapalat"/>
          <w:sz w:val="22"/>
          <w:szCs w:val="22"/>
          <w:lang w:val="hy-AM"/>
        </w:rPr>
        <w:t xml:space="preserve"> մլրդ դրամ,</w:t>
      </w:r>
      <w:r w:rsidRPr="00B57DAB">
        <w:rPr>
          <w:rFonts w:ascii="GHEA Grapalat" w:hAnsi="GHEA Grapalat" w:cs="GHEA Grapalat"/>
          <w:sz w:val="22"/>
          <w:szCs w:val="22"/>
        </w:rPr>
        <w:t xml:space="preserve"> ծախսերը՝ </w:t>
      </w:r>
      <w:r w:rsidR="00B356EF" w:rsidRPr="00B57DAB">
        <w:rPr>
          <w:rFonts w:ascii="GHEA Grapalat" w:hAnsi="GHEA Grapalat" w:cs="GHEA Grapalat"/>
          <w:sz w:val="22"/>
          <w:szCs w:val="22"/>
        </w:rPr>
        <w:t>2</w:t>
      </w:r>
      <w:r w:rsidRPr="00B57DAB">
        <w:rPr>
          <w:rFonts w:ascii="GHEA Grapalat" w:hAnsi="GHEA Grapalat" w:cs="GHEA Grapalat"/>
          <w:sz w:val="22"/>
          <w:szCs w:val="22"/>
        </w:rPr>
        <w:t>,</w:t>
      </w:r>
      <w:r w:rsidR="00B356EF" w:rsidRPr="00B57DAB">
        <w:rPr>
          <w:rFonts w:ascii="GHEA Grapalat" w:hAnsi="GHEA Grapalat" w:cs="GHEA Grapalat"/>
          <w:sz w:val="22"/>
          <w:szCs w:val="22"/>
        </w:rPr>
        <w:t>184.0</w:t>
      </w:r>
      <w:r w:rsidRPr="00B57DAB">
        <w:rPr>
          <w:rFonts w:ascii="GHEA Grapalat" w:hAnsi="GHEA Grapalat" w:cs="GHEA Grapalat"/>
          <w:sz w:val="22"/>
          <w:szCs w:val="22"/>
        </w:rPr>
        <w:t xml:space="preserve"> մլրդ դրամ, պակասուրդը՝ </w:t>
      </w:r>
      <w:r w:rsidR="00B356EF" w:rsidRPr="00B57DAB">
        <w:rPr>
          <w:rFonts w:ascii="GHEA Grapalat" w:hAnsi="GHEA Grapalat" w:cs="GHEA Grapalat"/>
          <w:sz w:val="22"/>
          <w:szCs w:val="22"/>
        </w:rPr>
        <w:t>236.3</w:t>
      </w:r>
      <w:r w:rsidRPr="00B57DAB">
        <w:rPr>
          <w:rFonts w:ascii="GHEA Grapalat" w:hAnsi="GHEA Grapalat" w:cs="GHEA Grapalat"/>
          <w:sz w:val="22"/>
          <w:szCs w:val="22"/>
        </w:rPr>
        <w:t xml:space="preserve"> մլրդ դրամ:</w:t>
      </w:r>
      <w:r w:rsidRPr="00B57DAB">
        <w:rPr>
          <w:rFonts w:ascii="GHEA Grapalat" w:hAnsi="GHEA Grapalat" w:cs="GHEA Grapalat"/>
          <w:sz w:val="22"/>
          <w:szCs w:val="22"/>
          <w:lang w:val="hy-AM"/>
        </w:rPr>
        <w:t xml:space="preserve"> </w:t>
      </w:r>
      <w:r w:rsidR="00B356EF" w:rsidRPr="00B57DAB">
        <w:rPr>
          <w:rFonts w:ascii="GHEA Grapalat" w:hAnsi="GHEA Grapalat" w:cs="GHEA Grapalat"/>
          <w:sz w:val="22"/>
          <w:szCs w:val="22"/>
        </w:rPr>
        <w:t>Առաջին եռամսյակի</w:t>
      </w:r>
      <w:r w:rsidRPr="00B57DAB">
        <w:rPr>
          <w:rFonts w:ascii="GHEA Grapalat" w:hAnsi="GHEA Grapalat" w:cs="Sylfaen"/>
          <w:sz w:val="22"/>
          <w:szCs w:val="22"/>
          <w:lang w:val="hy-AM"/>
        </w:rPr>
        <w:t xml:space="preserve"> </w:t>
      </w:r>
      <w:r w:rsidRPr="00B57DAB">
        <w:rPr>
          <w:rFonts w:ascii="GHEA Grapalat" w:hAnsi="GHEA Grapalat" w:cs="GHEA Grapalat"/>
          <w:sz w:val="22"/>
          <w:szCs w:val="22"/>
          <w:lang w:val="hy-AM"/>
        </w:rPr>
        <w:t>hամար ՀՀ կառավարության կողմից հաստատված եռամսյակային համամասնություններով</w:t>
      </w:r>
      <w:r w:rsidRPr="00B57DAB">
        <w:rPr>
          <w:rFonts w:ascii="GHEA Grapalat" w:hAnsi="GHEA Grapalat" w:cs="GHEA Grapalat"/>
          <w:sz w:val="22"/>
          <w:szCs w:val="22"/>
        </w:rPr>
        <w:t xml:space="preserve"> եկամուտների, ծախսերի և պակասուրդի մեծությունները սահմանվել էին համապատասխանաբար</w:t>
      </w:r>
      <w:r w:rsidRPr="00B57DAB">
        <w:rPr>
          <w:rFonts w:ascii="GHEA Grapalat" w:hAnsi="GHEA Grapalat" w:cs="GHEA Grapalat"/>
          <w:sz w:val="22"/>
          <w:szCs w:val="22"/>
          <w:lang w:val="hy-AM"/>
        </w:rPr>
        <w:t xml:space="preserve"> </w:t>
      </w:r>
      <w:r w:rsidR="00B356EF" w:rsidRPr="00B57DAB">
        <w:rPr>
          <w:rFonts w:ascii="GHEA Grapalat" w:hAnsi="GHEA Grapalat" w:cs="GHEA Grapalat"/>
          <w:sz w:val="22"/>
          <w:szCs w:val="22"/>
        </w:rPr>
        <w:t>413.2</w:t>
      </w:r>
      <w:r w:rsidRPr="00B57DAB">
        <w:rPr>
          <w:rFonts w:ascii="GHEA Grapalat" w:hAnsi="GHEA Grapalat" w:cs="GHEA Grapalat"/>
          <w:sz w:val="22"/>
          <w:szCs w:val="22"/>
          <w:lang w:val="hy-AM"/>
        </w:rPr>
        <w:t xml:space="preserve"> մլրդ դրամ</w:t>
      </w:r>
      <w:r w:rsidRPr="00B57DAB">
        <w:rPr>
          <w:rFonts w:ascii="GHEA Grapalat" w:hAnsi="GHEA Grapalat" w:cs="GHEA Grapalat"/>
          <w:sz w:val="22"/>
          <w:szCs w:val="22"/>
        </w:rPr>
        <w:t xml:space="preserve">, </w:t>
      </w:r>
      <w:r w:rsidR="00B356EF" w:rsidRPr="00B57DAB">
        <w:rPr>
          <w:rFonts w:ascii="GHEA Grapalat" w:hAnsi="GHEA Grapalat" w:cs="GHEA Grapalat"/>
          <w:sz w:val="22"/>
          <w:szCs w:val="22"/>
        </w:rPr>
        <w:t>480.0</w:t>
      </w:r>
      <w:r w:rsidRPr="00B57DAB">
        <w:rPr>
          <w:rFonts w:ascii="GHEA Grapalat" w:hAnsi="GHEA Grapalat" w:cs="GHEA Grapalat"/>
          <w:sz w:val="22"/>
          <w:szCs w:val="22"/>
        </w:rPr>
        <w:t xml:space="preserve"> մլրդ դրամ և </w:t>
      </w:r>
      <w:r w:rsidR="00B356EF" w:rsidRPr="00B57DAB">
        <w:rPr>
          <w:rFonts w:ascii="GHEA Grapalat" w:hAnsi="GHEA Grapalat" w:cs="GHEA Grapalat"/>
          <w:sz w:val="22"/>
          <w:szCs w:val="22"/>
        </w:rPr>
        <w:t>66.8</w:t>
      </w:r>
      <w:r w:rsidRPr="00B57DAB">
        <w:rPr>
          <w:rFonts w:ascii="GHEA Grapalat" w:hAnsi="GHEA Grapalat" w:cs="GHEA Grapalat"/>
          <w:sz w:val="22"/>
          <w:szCs w:val="22"/>
        </w:rPr>
        <w:t xml:space="preserve"> մլրդ դրամ</w:t>
      </w:r>
      <w:r w:rsidRPr="00B57DAB">
        <w:rPr>
          <w:rFonts w:ascii="GHEA Grapalat" w:hAnsi="GHEA Grapalat" w:cs="GHEA Grapalat"/>
          <w:sz w:val="22"/>
          <w:szCs w:val="22"/>
          <w:lang w:val="hy-AM"/>
        </w:rPr>
        <w:t>:</w:t>
      </w:r>
      <w:r w:rsidRPr="00B57DAB">
        <w:rPr>
          <w:rFonts w:ascii="GHEA Grapalat" w:hAnsi="GHEA Grapalat" w:cs="GHEA Grapalat"/>
          <w:sz w:val="22"/>
          <w:szCs w:val="22"/>
        </w:rPr>
        <w:t xml:space="preserve"> </w:t>
      </w:r>
      <w:r w:rsidR="008779B5" w:rsidRPr="00B57DAB">
        <w:rPr>
          <w:rFonts w:ascii="GHEA Grapalat" w:hAnsi="GHEA Grapalat" w:cs="GHEA Grapalat"/>
          <w:sz w:val="22"/>
          <w:szCs w:val="22"/>
        </w:rPr>
        <w:t>Եռամսյակի</w:t>
      </w:r>
      <w:r w:rsidRPr="00B57DAB">
        <w:rPr>
          <w:rFonts w:ascii="GHEA Grapalat" w:hAnsi="GHEA Grapalat" w:cs="GHEA Grapalat"/>
          <w:sz w:val="22"/>
          <w:szCs w:val="22"/>
        </w:rPr>
        <w:t xml:space="preserve"> ընթացքում պետական բյուջեի ցուցանիշներում </w:t>
      </w:r>
      <w:r w:rsidRPr="00B57DAB">
        <w:rPr>
          <w:rFonts w:ascii="GHEA Grapalat" w:hAnsi="GHEA Grapalat" w:cs="GHEA Grapalat"/>
          <w:sz w:val="22"/>
          <w:szCs w:val="22"/>
          <w:lang w:val="hy-AM"/>
        </w:rPr>
        <w:t>ՀՀ կառավարության լիազորությունների շրջանակներում</w:t>
      </w:r>
      <w:r w:rsidRPr="00B57DAB">
        <w:rPr>
          <w:rFonts w:ascii="GHEA Grapalat" w:hAnsi="GHEA Grapalat" w:cs="GHEA Grapalat"/>
          <w:sz w:val="22"/>
          <w:szCs w:val="22"/>
        </w:rPr>
        <w:t xml:space="preserve"> կատարվել են փոփոխություններ՝ ներառելով նաև </w:t>
      </w:r>
      <w:r w:rsidRPr="00B57DAB">
        <w:rPr>
          <w:rFonts w:ascii="GHEA Grapalat" w:hAnsi="GHEA Grapalat" w:cs="GHEA Grapalat"/>
          <w:sz w:val="22"/>
          <w:szCs w:val="22"/>
          <w:lang w:val="hy-AM"/>
        </w:rPr>
        <w:t>պետության դրամական միջոցների համախմբված հաշվառման նպատակով</w:t>
      </w:r>
      <w:r w:rsidRPr="00B57DAB">
        <w:rPr>
          <w:rFonts w:ascii="GHEA Grapalat" w:hAnsi="GHEA Grapalat" w:cs="GHEA Grapalat"/>
          <w:sz w:val="22"/>
          <w:szCs w:val="22"/>
        </w:rPr>
        <w:t xml:space="preserve"> Օ</w:t>
      </w:r>
      <w:r w:rsidRPr="00B57DAB">
        <w:rPr>
          <w:rFonts w:ascii="GHEA Grapalat" w:hAnsi="GHEA Grapalat" w:cs="GHEA Grapalat"/>
          <w:sz w:val="22"/>
          <w:szCs w:val="22"/>
          <w:lang w:val="hy-AM"/>
        </w:rPr>
        <w:t>րենքի 9-րդ հոդվածի 2</w:t>
      </w:r>
      <w:r w:rsidRPr="00B57DAB">
        <w:rPr>
          <w:rFonts w:ascii="GHEA Grapalat" w:hAnsi="GHEA Grapalat" w:cs="GHEA Grapalat"/>
          <w:sz w:val="22"/>
          <w:szCs w:val="22"/>
          <w:lang w:val="hy-AM"/>
        </w:rPr>
        <w:noBreakHyphen/>
        <w:t>րդ կետ</w:t>
      </w:r>
      <w:r w:rsidRPr="00B57DAB">
        <w:rPr>
          <w:rFonts w:ascii="GHEA Grapalat" w:hAnsi="GHEA Grapalat" w:cs="GHEA Grapalat"/>
          <w:sz w:val="22"/>
          <w:szCs w:val="22"/>
        </w:rPr>
        <w:t>ով</w:t>
      </w:r>
      <w:r w:rsidRPr="00B57DAB">
        <w:rPr>
          <w:rFonts w:ascii="GHEA Grapalat" w:hAnsi="GHEA Grapalat" w:cs="GHEA Grapalat"/>
          <w:sz w:val="22"/>
          <w:szCs w:val="22"/>
          <w:lang w:val="hy-AM"/>
        </w:rPr>
        <w:t xml:space="preserve"> </w:t>
      </w:r>
      <w:r w:rsidRPr="00B57DAB">
        <w:rPr>
          <w:rFonts w:ascii="GHEA Grapalat" w:hAnsi="GHEA Grapalat" w:cs="GHEA Grapalat"/>
          <w:sz w:val="22"/>
          <w:szCs w:val="22"/>
        </w:rPr>
        <w:t>սահմանված՝ առանց սահմանափակման պետական բյուջեից կատարվող վճարումները և վերջիններիս արդյունքում ձևավորված եկամուտները:</w:t>
      </w:r>
    </w:p>
    <w:p w:rsidR="00976886" w:rsidRPr="00B57DAB" w:rsidRDefault="00976886" w:rsidP="0097688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rPr>
        <w:t>202</w:t>
      </w:r>
      <w:r w:rsidR="008779B5" w:rsidRPr="00B57DAB">
        <w:rPr>
          <w:rFonts w:ascii="GHEA Grapalat" w:hAnsi="GHEA Grapalat" w:cs="GHEA Grapalat"/>
          <w:sz w:val="22"/>
          <w:szCs w:val="22"/>
        </w:rPr>
        <w:t>2 թվականի առաջին եռամսյակի</w:t>
      </w:r>
      <w:r w:rsidRPr="00B57DAB">
        <w:rPr>
          <w:rFonts w:ascii="GHEA Grapalat" w:hAnsi="GHEA Grapalat" w:cs="GHEA Grapalat"/>
          <w:sz w:val="22"/>
          <w:szCs w:val="22"/>
        </w:rPr>
        <w:t xml:space="preserve"> ընթացքում ՀՀ պետական բյուջեի եկամուտները կազմել են </w:t>
      </w:r>
      <w:r w:rsidR="008779B5" w:rsidRPr="00B57DAB">
        <w:rPr>
          <w:rFonts w:ascii="GHEA Grapalat" w:hAnsi="GHEA Grapalat" w:cs="GHEA Grapalat"/>
          <w:sz w:val="22"/>
          <w:szCs w:val="22"/>
        </w:rPr>
        <w:t>425.5</w:t>
      </w:r>
      <w:r w:rsidRPr="00B57DAB">
        <w:rPr>
          <w:rFonts w:ascii="GHEA Grapalat" w:hAnsi="GHEA Grapalat" w:cs="GHEA Grapalat"/>
          <w:sz w:val="22"/>
          <w:szCs w:val="22"/>
        </w:rPr>
        <w:t xml:space="preserve"> մլրդ դրամ, ծախսերը` </w:t>
      </w:r>
      <w:r w:rsidR="008779B5" w:rsidRPr="00B57DAB">
        <w:rPr>
          <w:rFonts w:ascii="GHEA Grapalat" w:hAnsi="GHEA Grapalat" w:cs="GHEA Grapalat"/>
          <w:sz w:val="22"/>
          <w:szCs w:val="22"/>
        </w:rPr>
        <w:t>396.8 մլրդ դրամ, հավել</w:t>
      </w:r>
      <w:r w:rsidRPr="00B57DAB">
        <w:rPr>
          <w:rFonts w:ascii="GHEA Grapalat" w:hAnsi="GHEA Grapalat" w:cs="GHEA Grapalat"/>
          <w:sz w:val="22"/>
          <w:szCs w:val="22"/>
        </w:rPr>
        <w:t>ուրդը՝ </w:t>
      </w:r>
      <w:r w:rsidR="008779B5" w:rsidRPr="00B57DAB">
        <w:rPr>
          <w:rFonts w:ascii="GHEA Grapalat" w:hAnsi="GHEA Grapalat" w:cs="GHEA Grapalat"/>
          <w:sz w:val="22"/>
          <w:szCs w:val="22"/>
        </w:rPr>
        <w:t>28.7</w:t>
      </w:r>
      <w:r w:rsidRPr="00B57DAB">
        <w:rPr>
          <w:rFonts w:ascii="GHEA Grapalat" w:hAnsi="GHEA Grapalat" w:cs="GHEA Grapalat"/>
          <w:sz w:val="22"/>
          <w:szCs w:val="22"/>
        </w:rPr>
        <w:t xml:space="preserve"> մլրդ դրամ: Բյուջեի եկամուտների գծով արձանագրվել է </w:t>
      </w:r>
      <w:r w:rsidR="00751216" w:rsidRPr="00B57DAB">
        <w:rPr>
          <w:rFonts w:ascii="GHEA Grapalat" w:hAnsi="GHEA Grapalat" w:cs="GHEA Grapalat"/>
          <w:sz w:val="22"/>
          <w:szCs w:val="22"/>
        </w:rPr>
        <w:t>եռամսյակային</w:t>
      </w:r>
      <w:r w:rsidRPr="00B57DAB">
        <w:rPr>
          <w:rFonts w:ascii="GHEA Grapalat" w:hAnsi="GHEA Grapalat" w:cs="GHEA Grapalat"/>
          <w:sz w:val="22"/>
          <w:szCs w:val="22"/>
        </w:rPr>
        <w:t xml:space="preserve"> ծրագրային ցուցանիշի գերակատարում, մինչդեռ ծախսերը զիջել են ծրագրված ցուցանիշը</w:t>
      </w:r>
      <w:r w:rsidR="00751216" w:rsidRPr="00B57DAB">
        <w:rPr>
          <w:rFonts w:ascii="GHEA Grapalat" w:hAnsi="GHEA Grapalat" w:cs="GHEA Grapalat"/>
          <w:sz w:val="22"/>
          <w:szCs w:val="22"/>
        </w:rPr>
        <w:t xml:space="preserve">, </w:t>
      </w:r>
      <w:r w:rsidR="00C85015" w:rsidRPr="00B57DAB">
        <w:rPr>
          <w:rFonts w:ascii="GHEA Grapalat" w:hAnsi="GHEA Grapalat" w:cs="GHEA Grapalat"/>
          <w:sz w:val="22"/>
          <w:szCs w:val="22"/>
        </w:rPr>
        <w:t>արդյունքում</w:t>
      </w:r>
      <w:r w:rsidR="00751216" w:rsidRPr="00B57DAB">
        <w:rPr>
          <w:rFonts w:ascii="GHEA Grapalat" w:hAnsi="GHEA Grapalat" w:cs="GHEA Grapalat"/>
          <w:sz w:val="22"/>
          <w:szCs w:val="22"/>
        </w:rPr>
        <w:t xml:space="preserve"> պակասուրդի փոխարեն արձանագրվել է հավելուրդ</w:t>
      </w:r>
      <w:r w:rsidRPr="00B57DAB">
        <w:rPr>
          <w:rFonts w:ascii="GHEA Grapalat" w:hAnsi="GHEA Grapalat" w:cs="GHEA Grapalat"/>
          <w:sz w:val="22"/>
          <w:szCs w:val="22"/>
        </w:rPr>
        <w:t xml:space="preserve">: Նախորդ տարվա </w:t>
      </w:r>
      <w:r w:rsidR="00751216" w:rsidRPr="00B57DAB">
        <w:rPr>
          <w:rFonts w:ascii="GHEA Grapalat" w:hAnsi="GHEA Grapalat" w:cs="GHEA Grapalat"/>
          <w:sz w:val="22"/>
          <w:szCs w:val="22"/>
        </w:rPr>
        <w:t>առաջին եռամսյակի</w:t>
      </w:r>
      <w:r w:rsidRPr="00B57DAB">
        <w:rPr>
          <w:rFonts w:ascii="GHEA Grapalat" w:hAnsi="GHEA Grapalat" w:cs="GHEA Grapalat"/>
          <w:sz w:val="22"/>
          <w:szCs w:val="22"/>
        </w:rPr>
        <w:t xml:space="preserve"> համեմատ պետական բյուջեի եկամուտների </w:t>
      </w:r>
      <w:r w:rsidR="00751216" w:rsidRPr="00B57DAB">
        <w:rPr>
          <w:rFonts w:ascii="GHEA Grapalat" w:hAnsi="GHEA Grapalat" w:cs="GHEA Grapalat"/>
          <w:sz w:val="22"/>
          <w:szCs w:val="22"/>
        </w:rPr>
        <w:t>21.8</w:t>
      </w:r>
      <w:r w:rsidRPr="00B57DAB">
        <w:rPr>
          <w:rFonts w:ascii="GHEA Grapalat" w:hAnsi="GHEA Grapalat" w:cs="GHEA Grapalat"/>
          <w:sz w:val="22"/>
          <w:szCs w:val="22"/>
        </w:rPr>
        <w:t>% (</w:t>
      </w:r>
      <w:r w:rsidR="00751216" w:rsidRPr="00B57DAB">
        <w:rPr>
          <w:rFonts w:ascii="GHEA Grapalat" w:hAnsi="GHEA Grapalat" w:cs="GHEA Grapalat"/>
          <w:sz w:val="22"/>
          <w:szCs w:val="22"/>
        </w:rPr>
        <w:t>76.2</w:t>
      </w:r>
      <w:r w:rsidRPr="00B57DAB">
        <w:rPr>
          <w:rFonts w:ascii="GHEA Grapalat" w:hAnsi="GHEA Grapalat" w:cs="GHEA Grapalat"/>
          <w:sz w:val="22"/>
          <w:szCs w:val="22"/>
        </w:rPr>
        <w:t xml:space="preserve"> մլրդ դրամ) աճը հիմնականում պայմանավորված է հարկային եկամուտների</w:t>
      </w:r>
      <w:r w:rsidR="00C85015" w:rsidRPr="00B57DAB">
        <w:rPr>
          <w:rFonts w:ascii="GHEA Grapalat" w:hAnsi="GHEA Grapalat" w:cs="GHEA Grapalat"/>
          <w:sz w:val="22"/>
          <w:szCs w:val="22"/>
        </w:rPr>
        <w:t xml:space="preserve"> և պետական տուրքերի</w:t>
      </w:r>
      <w:r w:rsidRPr="00B57DAB">
        <w:rPr>
          <w:rFonts w:ascii="GHEA Grapalat" w:hAnsi="GHEA Grapalat" w:cs="GHEA Grapalat"/>
          <w:sz w:val="22"/>
          <w:szCs w:val="22"/>
        </w:rPr>
        <w:t xml:space="preserve"> աճով, իսկ ծախսերի </w:t>
      </w:r>
      <w:r w:rsidR="00751216" w:rsidRPr="00B57DAB">
        <w:rPr>
          <w:rFonts w:ascii="GHEA Grapalat" w:hAnsi="GHEA Grapalat" w:cs="GHEA Grapalat"/>
          <w:sz w:val="22"/>
          <w:szCs w:val="22"/>
        </w:rPr>
        <w:t>2</w:t>
      </w:r>
      <w:r w:rsidRPr="00B57DAB">
        <w:rPr>
          <w:rFonts w:ascii="GHEA Grapalat" w:hAnsi="GHEA Grapalat" w:cs="GHEA Grapalat"/>
          <w:sz w:val="22"/>
          <w:szCs w:val="22"/>
        </w:rPr>
        <w:t>% (</w:t>
      </w:r>
      <w:r w:rsidR="00751216" w:rsidRPr="00B57DAB">
        <w:rPr>
          <w:rFonts w:ascii="GHEA Grapalat" w:hAnsi="GHEA Grapalat" w:cs="GHEA Grapalat"/>
          <w:sz w:val="22"/>
          <w:szCs w:val="22"/>
        </w:rPr>
        <w:t>8</w:t>
      </w:r>
      <w:r w:rsidRPr="00B57DAB">
        <w:rPr>
          <w:rFonts w:ascii="GHEA Grapalat" w:hAnsi="GHEA Grapalat" w:cs="GHEA Grapalat"/>
          <w:sz w:val="22"/>
          <w:szCs w:val="22"/>
        </w:rPr>
        <w:t xml:space="preserve">.1 մլրդ դրամ) </w:t>
      </w:r>
      <w:r w:rsidR="00751216" w:rsidRPr="00B57DAB">
        <w:rPr>
          <w:rFonts w:ascii="GHEA Grapalat" w:hAnsi="GHEA Grapalat" w:cs="GHEA Grapalat"/>
          <w:sz w:val="22"/>
          <w:szCs w:val="22"/>
        </w:rPr>
        <w:t>նվազումը</w:t>
      </w:r>
      <w:r w:rsidRPr="00B57DAB">
        <w:rPr>
          <w:rFonts w:ascii="GHEA Grapalat" w:hAnsi="GHEA Grapalat" w:cs="GHEA Grapalat"/>
          <w:sz w:val="22"/>
          <w:szCs w:val="22"/>
          <w:lang w:val="hy-AM"/>
        </w:rPr>
        <w:t xml:space="preserve">՝ </w:t>
      </w:r>
      <w:r w:rsidR="00DC269B" w:rsidRPr="00B57DAB">
        <w:rPr>
          <w:rFonts w:ascii="GHEA Grapalat" w:hAnsi="GHEA Grapalat"/>
          <w:sz w:val="22"/>
          <w:lang w:val="hy-AM"/>
        </w:rPr>
        <w:t xml:space="preserve">կապիտալ ծախսերի </w:t>
      </w:r>
      <w:r w:rsidR="00DC269B" w:rsidRPr="00B57DAB">
        <w:rPr>
          <w:rFonts w:ascii="GHEA Grapalat" w:hAnsi="GHEA Grapalat"/>
          <w:sz w:val="22"/>
        </w:rPr>
        <w:t>նվազ</w:t>
      </w:r>
      <w:r w:rsidR="00DC269B" w:rsidRPr="00B57DAB">
        <w:rPr>
          <w:rFonts w:ascii="GHEA Grapalat" w:hAnsi="GHEA Grapalat"/>
          <w:sz w:val="22"/>
          <w:lang w:val="hy-AM"/>
        </w:rPr>
        <w:t>մամբ</w:t>
      </w:r>
      <w:r w:rsidRPr="00B57DAB">
        <w:rPr>
          <w:rFonts w:ascii="GHEA Grapalat" w:hAnsi="GHEA Grapalat" w:cs="GHEA Grapalat"/>
          <w:sz w:val="22"/>
          <w:szCs w:val="22"/>
          <w:lang w:val="hy-AM"/>
        </w:rPr>
        <w:t>:</w:t>
      </w:r>
    </w:p>
    <w:p w:rsidR="00976886" w:rsidRPr="00B57DAB" w:rsidRDefault="00976886" w:rsidP="00976886">
      <w:pPr>
        <w:spacing w:line="360" w:lineRule="auto"/>
        <w:ind w:firstLine="567"/>
        <w:jc w:val="both"/>
        <w:rPr>
          <w:rFonts w:ascii="GHEA Grapalat" w:hAnsi="GHEA Grapalat" w:cs="GHEA Grapalat"/>
          <w:sz w:val="22"/>
          <w:szCs w:val="22"/>
          <w:lang w:val="hy-AM"/>
        </w:rPr>
      </w:pPr>
    </w:p>
    <w:p w:rsidR="00976886" w:rsidRPr="00B57DAB" w:rsidRDefault="00976886" w:rsidP="00976886">
      <w:pPr>
        <w:pStyle w:val="Caption"/>
        <w:keepNext/>
        <w:numPr>
          <w:ilvl w:val="0"/>
          <w:numId w:val="8"/>
        </w:numPr>
        <w:tabs>
          <w:tab w:val="left" w:pos="1134"/>
        </w:tabs>
        <w:ind w:left="0" w:firstLine="0"/>
        <w:jc w:val="left"/>
        <w:rPr>
          <w:rFonts w:ascii="GHEA Grapalat" w:hAnsi="GHEA Grapalat"/>
          <w:i/>
          <w:sz w:val="18"/>
          <w:szCs w:val="18"/>
          <w:lang w:val="hy-AM"/>
        </w:rPr>
      </w:pPr>
      <w:r w:rsidRPr="00B57DAB">
        <w:rPr>
          <w:rFonts w:ascii="GHEA Grapalat" w:hAnsi="GHEA Grapalat"/>
          <w:i/>
          <w:sz w:val="18"/>
          <w:szCs w:val="18"/>
          <w:lang w:val="hy-AM"/>
        </w:rPr>
        <w:t>ՀՀ պետական բյուջեի ցուցանիշները (մլրդ դրամ)</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276"/>
        <w:gridCol w:w="1134"/>
        <w:gridCol w:w="1275"/>
        <w:gridCol w:w="1276"/>
        <w:gridCol w:w="1276"/>
        <w:gridCol w:w="1276"/>
        <w:gridCol w:w="1275"/>
      </w:tblGrid>
      <w:tr w:rsidR="00DC269B" w:rsidRPr="00B57DAB" w:rsidTr="00DC269B">
        <w:trPr>
          <w:trHeight w:val="1050"/>
        </w:trPr>
        <w:tc>
          <w:tcPr>
            <w:tcW w:w="1526" w:type="dxa"/>
            <w:shd w:val="clear" w:color="auto" w:fill="auto"/>
            <w:noWrap/>
            <w:vAlign w:val="center"/>
            <w:hideMark/>
          </w:tcPr>
          <w:p w:rsidR="00DC269B" w:rsidRPr="00B57DAB" w:rsidRDefault="00DC269B" w:rsidP="008779B5">
            <w:pPr>
              <w:rPr>
                <w:rFonts w:ascii="GHEA Grapalat" w:hAnsi="GHEA Grapalat" w:cs="Calibri"/>
                <w:color w:val="000000"/>
                <w:sz w:val="18"/>
                <w:szCs w:val="18"/>
              </w:rPr>
            </w:pPr>
            <w:r w:rsidRPr="00B57DAB">
              <w:rPr>
                <w:rFonts w:ascii="Courier New" w:hAnsi="Courier New" w:cs="Courier New"/>
                <w:color w:val="000000"/>
                <w:sz w:val="18"/>
                <w:szCs w:val="18"/>
              </w:rPr>
              <w:t> </w:t>
            </w:r>
          </w:p>
        </w:tc>
        <w:tc>
          <w:tcPr>
            <w:tcW w:w="1276" w:type="dxa"/>
          </w:tcPr>
          <w:p w:rsidR="00DC269B" w:rsidRPr="00B57DAB" w:rsidRDefault="00DC269B" w:rsidP="00DC269B">
            <w:pPr>
              <w:jc w:val="center"/>
              <w:rPr>
                <w:rFonts w:ascii="GHEA Grapalat" w:hAnsi="GHEA Grapalat" w:cs="Calibri"/>
                <w:b/>
                <w:bCs/>
                <w:sz w:val="18"/>
                <w:szCs w:val="18"/>
              </w:rPr>
            </w:pPr>
            <w:r w:rsidRPr="00B57DAB">
              <w:rPr>
                <w:rFonts w:ascii="GHEA Grapalat" w:hAnsi="GHEA Grapalat" w:cs="Calibri"/>
                <w:b/>
                <w:bCs/>
                <w:sz w:val="18"/>
                <w:szCs w:val="18"/>
              </w:rPr>
              <w:t>2021թ. առաջին եռամսյակի</w:t>
            </w:r>
            <w:r w:rsidRPr="00B57DAB">
              <w:rPr>
                <w:rFonts w:ascii="GHEA Grapalat" w:hAnsi="GHEA Grapalat" w:cs="Calibri"/>
                <w:b/>
                <w:bCs/>
                <w:sz w:val="18"/>
                <w:szCs w:val="18"/>
              </w:rPr>
              <w:br/>
              <w:t>փաստ</w:t>
            </w:r>
          </w:p>
        </w:tc>
        <w:tc>
          <w:tcPr>
            <w:tcW w:w="1134" w:type="dxa"/>
          </w:tcPr>
          <w:p w:rsidR="00DC269B" w:rsidRPr="00B57DAB" w:rsidRDefault="00DC269B" w:rsidP="00DC269B">
            <w:pPr>
              <w:jc w:val="center"/>
              <w:rPr>
                <w:rFonts w:ascii="GHEA Grapalat" w:hAnsi="GHEA Grapalat" w:cs="Calibri"/>
                <w:b/>
                <w:bCs/>
                <w:sz w:val="18"/>
                <w:szCs w:val="18"/>
              </w:rPr>
            </w:pPr>
            <w:r w:rsidRPr="00B57DAB">
              <w:rPr>
                <w:rFonts w:ascii="GHEA Grapalat" w:hAnsi="GHEA Grapalat" w:cs="Calibri"/>
                <w:b/>
                <w:bCs/>
                <w:sz w:val="18"/>
                <w:szCs w:val="18"/>
              </w:rPr>
              <w:t>2022թ. տարեկան ճշտված պլան</w:t>
            </w:r>
          </w:p>
        </w:tc>
        <w:tc>
          <w:tcPr>
            <w:tcW w:w="1275" w:type="dxa"/>
            <w:shd w:val="clear" w:color="auto" w:fill="auto"/>
            <w:hideMark/>
          </w:tcPr>
          <w:p w:rsidR="00DC269B" w:rsidRPr="00B57DAB" w:rsidRDefault="00DC269B" w:rsidP="00DC269B">
            <w:pPr>
              <w:jc w:val="center"/>
              <w:rPr>
                <w:rFonts w:ascii="GHEA Grapalat" w:hAnsi="GHEA Grapalat" w:cs="Calibri"/>
                <w:b/>
                <w:bCs/>
                <w:sz w:val="18"/>
                <w:szCs w:val="18"/>
              </w:rPr>
            </w:pPr>
            <w:r w:rsidRPr="00B57DAB">
              <w:rPr>
                <w:rFonts w:ascii="GHEA Grapalat" w:hAnsi="GHEA Grapalat" w:cs="Calibri"/>
                <w:b/>
                <w:bCs/>
                <w:sz w:val="18"/>
                <w:szCs w:val="18"/>
              </w:rPr>
              <w:t>2022թ.</w:t>
            </w:r>
          </w:p>
          <w:p w:rsidR="00DC269B" w:rsidRPr="00B57DAB" w:rsidRDefault="00DC269B" w:rsidP="00DC269B">
            <w:pPr>
              <w:jc w:val="center"/>
              <w:rPr>
                <w:rFonts w:ascii="GHEA Grapalat" w:hAnsi="GHEA Grapalat" w:cs="Calibri"/>
                <w:b/>
                <w:bCs/>
                <w:sz w:val="18"/>
                <w:szCs w:val="18"/>
              </w:rPr>
            </w:pPr>
            <w:r w:rsidRPr="00B57DAB">
              <w:rPr>
                <w:rFonts w:ascii="GHEA Grapalat" w:hAnsi="GHEA Grapalat" w:cs="Calibri"/>
                <w:b/>
                <w:bCs/>
                <w:sz w:val="18"/>
                <w:szCs w:val="18"/>
              </w:rPr>
              <w:t>առաջին եռամսյակի ճշտված պլան</w:t>
            </w:r>
          </w:p>
        </w:tc>
        <w:tc>
          <w:tcPr>
            <w:tcW w:w="1276" w:type="dxa"/>
            <w:shd w:val="clear" w:color="auto" w:fill="auto"/>
            <w:hideMark/>
          </w:tcPr>
          <w:p w:rsidR="00DC269B" w:rsidRPr="00B57DAB" w:rsidRDefault="00DC269B" w:rsidP="00DC269B">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w:t>
            </w:r>
            <w:r w:rsidRPr="00B57DAB">
              <w:rPr>
                <w:rFonts w:ascii="GHEA Grapalat" w:hAnsi="GHEA Grapalat" w:cs="Calibri"/>
                <w:b/>
                <w:bCs/>
                <w:sz w:val="18"/>
                <w:szCs w:val="18"/>
              </w:rPr>
              <w:br/>
              <w:t>փաստ</w:t>
            </w:r>
          </w:p>
        </w:tc>
        <w:tc>
          <w:tcPr>
            <w:tcW w:w="1276" w:type="dxa"/>
          </w:tcPr>
          <w:p w:rsidR="00DC269B" w:rsidRPr="00B57DAB" w:rsidRDefault="00DC269B" w:rsidP="00DC269B">
            <w:pPr>
              <w:jc w:val="center"/>
              <w:rPr>
                <w:rFonts w:ascii="GHEA Grapalat" w:hAnsi="GHEA Grapalat" w:cs="Calibri"/>
                <w:b/>
                <w:bCs/>
                <w:sz w:val="18"/>
                <w:szCs w:val="18"/>
              </w:rPr>
            </w:pPr>
            <w:r w:rsidRPr="00B57DAB">
              <w:rPr>
                <w:rFonts w:ascii="GHEA Grapalat" w:hAnsi="GHEA Grapalat" w:cs="Calibri"/>
                <w:b/>
                <w:bCs/>
                <w:sz w:val="18"/>
                <w:szCs w:val="18"/>
              </w:rPr>
              <w:t>Կատարո-ղականը տարեկան ճշտված պլանի նկատմամբ</w:t>
            </w:r>
          </w:p>
          <w:p w:rsidR="00DC269B" w:rsidRPr="00B57DAB" w:rsidRDefault="00DC269B" w:rsidP="00DC269B">
            <w:pPr>
              <w:jc w:val="center"/>
              <w:rPr>
                <w:rFonts w:ascii="GHEA Grapalat" w:hAnsi="GHEA Grapalat" w:cs="Calibri"/>
                <w:b/>
                <w:bCs/>
                <w:sz w:val="18"/>
                <w:szCs w:val="18"/>
              </w:rPr>
            </w:pPr>
            <w:r w:rsidRPr="00B57DAB">
              <w:rPr>
                <w:rFonts w:ascii="GHEA Grapalat" w:hAnsi="GHEA Grapalat" w:cs="Calibri"/>
                <w:b/>
                <w:bCs/>
                <w:sz w:val="18"/>
                <w:szCs w:val="18"/>
              </w:rPr>
              <w:t>(%)</w:t>
            </w:r>
          </w:p>
        </w:tc>
        <w:tc>
          <w:tcPr>
            <w:tcW w:w="1276" w:type="dxa"/>
            <w:shd w:val="clear" w:color="auto" w:fill="auto"/>
            <w:hideMark/>
          </w:tcPr>
          <w:p w:rsidR="00DC269B" w:rsidRPr="00B57DAB" w:rsidRDefault="00DC269B" w:rsidP="00DC269B">
            <w:pPr>
              <w:jc w:val="center"/>
              <w:rPr>
                <w:rFonts w:ascii="GHEA Grapalat" w:hAnsi="GHEA Grapalat" w:cs="Calibri"/>
                <w:b/>
                <w:bCs/>
                <w:sz w:val="18"/>
                <w:szCs w:val="18"/>
              </w:rPr>
            </w:pPr>
            <w:r w:rsidRPr="00B57DAB">
              <w:rPr>
                <w:rFonts w:ascii="GHEA Grapalat" w:hAnsi="GHEA Grapalat" w:cs="Calibri"/>
                <w:b/>
                <w:bCs/>
                <w:sz w:val="18"/>
                <w:szCs w:val="18"/>
              </w:rPr>
              <w:t>Կատարո-ղականը առաջին եռամսյակի ճշտված պլանի նկատմամբ</w:t>
            </w:r>
          </w:p>
          <w:p w:rsidR="00DC269B" w:rsidRPr="00B57DAB" w:rsidRDefault="00DC269B" w:rsidP="00DC269B">
            <w:pPr>
              <w:jc w:val="center"/>
              <w:rPr>
                <w:rFonts w:ascii="GHEA Grapalat" w:hAnsi="GHEA Grapalat" w:cs="Calibri"/>
                <w:b/>
                <w:bCs/>
                <w:sz w:val="18"/>
                <w:szCs w:val="18"/>
              </w:rPr>
            </w:pPr>
            <w:r w:rsidRPr="00B57DAB">
              <w:rPr>
                <w:rFonts w:ascii="GHEA Grapalat" w:hAnsi="GHEA Grapalat" w:cs="Calibri"/>
                <w:b/>
                <w:bCs/>
                <w:sz w:val="18"/>
                <w:szCs w:val="18"/>
              </w:rPr>
              <w:t>(%)</w:t>
            </w:r>
          </w:p>
        </w:tc>
        <w:tc>
          <w:tcPr>
            <w:tcW w:w="1275" w:type="dxa"/>
          </w:tcPr>
          <w:p w:rsidR="00DC269B" w:rsidRPr="00B57DAB" w:rsidRDefault="00DC269B" w:rsidP="00DC269B">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եռամսյակը 2021թ. առաջին եռամսյակի նկատմամբ</w:t>
            </w:r>
          </w:p>
          <w:p w:rsidR="00DC269B" w:rsidRPr="00B57DAB" w:rsidRDefault="00DC269B" w:rsidP="00DC269B">
            <w:pPr>
              <w:jc w:val="center"/>
              <w:rPr>
                <w:rFonts w:ascii="GHEA Grapalat" w:hAnsi="GHEA Grapalat" w:cs="Calibri"/>
                <w:b/>
                <w:bCs/>
                <w:sz w:val="18"/>
                <w:szCs w:val="18"/>
              </w:rPr>
            </w:pPr>
            <w:r w:rsidRPr="00B57DAB">
              <w:rPr>
                <w:rFonts w:ascii="GHEA Grapalat" w:hAnsi="GHEA Grapalat" w:cs="Calibri"/>
                <w:b/>
                <w:bCs/>
                <w:sz w:val="18"/>
                <w:szCs w:val="18"/>
              </w:rPr>
              <w:t>(%)</w:t>
            </w:r>
          </w:p>
        </w:tc>
      </w:tr>
      <w:tr w:rsidR="00DC269B" w:rsidRPr="00B57DAB" w:rsidTr="00DC269B">
        <w:trPr>
          <w:trHeight w:val="360"/>
        </w:trPr>
        <w:tc>
          <w:tcPr>
            <w:tcW w:w="1526" w:type="dxa"/>
            <w:shd w:val="clear" w:color="auto" w:fill="auto"/>
            <w:noWrap/>
            <w:vAlign w:val="bottom"/>
            <w:hideMark/>
          </w:tcPr>
          <w:p w:rsidR="00976886" w:rsidRPr="00B57DAB" w:rsidRDefault="00976886" w:rsidP="00DC269B">
            <w:pPr>
              <w:rPr>
                <w:rFonts w:ascii="GHEA Grapalat" w:hAnsi="GHEA Grapalat" w:cs="Calibri"/>
                <w:color w:val="000000"/>
                <w:sz w:val="18"/>
                <w:szCs w:val="18"/>
              </w:rPr>
            </w:pPr>
            <w:r w:rsidRPr="00B57DAB">
              <w:rPr>
                <w:rFonts w:ascii="GHEA Grapalat" w:hAnsi="GHEA Grapalat" w:cs="Calibri"/>
                <w:color w:val="000000"/>
                <w:sz w:val="18"/>
                <w:szCs w:val="18"/>
              </w:rPr>
              <w:t>Եկամուտներ</w:t>
            </w:r>
          </w:p>
        </w:tc>
        <w:tc>
          <w:tcPr>
            <w:tcW w:w="1276" w:type="dxa"/>
            <w:vAlign w:val="bottom"/>
          </w:tcPr>
          <w:p w:rsidR="00976886" w:rsidRPr="00B57DAB" w:rsidRDefault="00DC269B" w:rsidP="00DC269B">
            <w:pPr>
              <w:jc w:val="right"/>
              <w:rPr>
                <w:rFonts w:ascii="GHEA Grapalat" w:hAnsi="GHEA Grapalat" w:cs="Calibri"/>
                <w:color w:val="000000"/>
                <w:sz w:val="18"/>
                <w:szCs w:val="18"/>
              </w:rPr>
            </w:pPr>
            <w:r w:rsidRPr="00B57DAB">
              <w:rPr>
                <w:rFonts w:ascii="GHEA Grapalat" w:hAnsi="GHEA Grapalat" w:cs="Calibri"/>
                <w:color w:val="000000"/>
                <w:sz w:val="18"/>
                <w:szCs w:val="18"/>
              </w:rPr>
              <w:t>349.3</w:t>
            </w:r>
          </w:p>
        </w:tc>
        <w:tc>
          <w:tcPr>
            <w:tcW w:w="1134" w:type="dxa"/>
            <w:vAlign w:val="bottom"/>
          </w:tcPr>
          <w:p w:rsidR="00976886" w:rsidRPr="00B57DAB" w:rsidRDefault="00DC269B" w:rsidP="00DC269B">
            <w:pPr>
              <w:jc w:val="right"/>
              <w:rPr>
                <w:rFonts w:ascii="GHEA Grapalat" w:hAnsi="GHEA Grapalat" w:cs="Calibri"/>
                <w:color w:val="000000"/>
                <w:sz w:val="18"/>
                <w:szCs w:val="18"/>
              </w:rPr>
            </w:pPr>
            <w:r w:rsidRPr="00B57DAB">
              <w:rPr>
                <w:rFonts w:ascii="GHEA Grapalat" w:hAnsi="GHEA Grapalat" w:cs="Calibri"/>
                <w:color w:val="000000"/>
                <w:sz w:val="18"/>
                <w:szCs w:val="18"/>
              </w:rPr>
              <w:t>1,959.4</w:t>
            </w:r>
          </w:p>
        </w:tc>
        <w:tc>
          <w:tcPr>
            <w:tcW w:w="1275" w:type="dxa"/>
            <w:shd w:val="clear" w:color="auto" w:fill="auto"/>
            <w:noWrap/>
            <w:vAlign w:val="bottom"/>
            <w:hideMark/>
          </w:tcPr>
          <w:p w:rsidR="00976886" w:rsidRPr="00B57DAB" w:rsidRDefault="00DC269B" w:rsidP="00DC269B">
            <w:pPr>
              <w:jc w:val="right"/>
              <w:rPr>
                <w:rFonts w:ascii="GHEA Grapalat" w:hAnsi="GHEA Grapalat" w:cs="Calibri"/>
                <w:color w:val="000000"/>
                <w:sz w:val="18"/>
                <w:szCs w:val="18"/>
              </w:rPr>
            </w:pPr>
            <w:r w:rsidRPr="00B57DAB">
              <w:rPr>
                <w:rFonts w:ascii="GHEA Grapalat" w:hAnsi="GHEA Grapalat" w:cs="Calibri"/>
                <w:color w:val="000000"/>
                <w:sz w:val="18"/>
                <w:szCs w:val="18"/>
              </w:rPr>
              <w:t>419.3</w:t>
            </w:r>
            <w:r w:rsidR="00976886" w:rsidRPr="00B57DAB">
              <w:rPr>
                <w:rFonts w:ascii="GHEA Grapalat" w:hAnsi="GHEA Grapalat" w:cs="Calibri"/>
                <w:color w:val="000000"/>
                <w:sz w:val="18"/>
                <w:szCs w:val="18"/>
              </w:rPr>
              <w:t xml:space="preserve"> </w:t>
            </w:r>
          </w:p>
        </w:tc>
        <w:tc>
          <w:tcPr>
            <w:tcW w:w="1276" w:type="dxa"/>
            <w:shd w:val="clear" w:color="auto" w:fill="auto"/>
            <w:noWrap/>
            <w:vAlign w:val="bottom"/>
            <w:hideMark/>
          </w:tcPr>
          <w:p w:rsidR="00976886" w:rsidRPr="00B57DAB" w:rsidRDefault="00DC269B" w:rsidP="00DC269B">
            <w:pPr>
              <w:jc w:val="right"/>
              <w:rPr>
                <w:rFonts w:ascii="GHEA Grapalat" w:hAnsi="GHEA Grapalat" w:cs="Calibri"/>
                <w:color w:val="000000"/>
                <w:sz w:val="18"/>
                <w:szCs w:val="18"/>
              </w:rPr>
            </w:pPr>
            <w:r w:rsidRPr="00B57DAB">
              <w:rPr>
                <w:rFonts w:ascii="GHEA Grapalat" w:hAnsi="GHEA Grapalat" w:cs="Calibri"/>
                <w:color w:val="000000"/>
                <w:sz w:val="18"/>
                <w:szCs w:val="18"/>
              </w:rPr>
              <w:t>425.5</w:t>
            </w:r>
          </w:p>
        </w:tc>
        <w:tc>
          <w:tcPr>
            <w:tcW w:w="1276" w:type="dxa"/>
            <w:vAlign w:val="bottom"/>
          </w:tcPr>
          <w:p w:rsidR="00976886" w:rsidRPr="00B57DAB" w:rsidRDefault="00DC269B" w:rsidP="00DC269B">
            <w:pPr>
              <w:jc w:val="right"/>
              <w:rPr>
                <w:rFonts w:ascii="GHEA Grapalat" w:hAnsi="GHEA Grapalat" w:cs="Calibri"/>
                <w:color w:val="000000"/>
                <w:sz w:val="18"/>
                <w:szCs w:val="18"/>
              </w:rPr>
            </w:pPr>
            <w:r w:rsidRPr="00B57DAB">
              <w:rPr>
                <w:rFonts w:ascii="GHEA Grapalat" w:hAnsi="GHEA Grapalat" w:cs="Calibri"/>
                <w:color w:val="000000"/>
                <w:sz w:val="18"/>
                <w:szCs w:val="18"/>
              </w:rPr>
              <w:t>21.7</w:t>
            </w:r>
          </w:p>
        </w:tc>
        <w:tc>
          <w:tcPr>
            <w:tcW w:w="1276" w:type="dxa"/>
            <w:shd w:val="clear" w:color="auto" w:fill="auto"/>
            <w:noWrap/>
            <w:vAlign w:val="bottom"/>
            <w:hideMark/>
          </w:tcPr>
          <w:p w:rsidR="00976886" w:rsidRPr="00B57DAB" w:rsidRDefault="00DC269B" w:rsidP="00DC269B">
            <w:pPr>
              <w:jc w:val="right"/>
              <w:rPr>
                <w:rFonts w:ascii="GHEA Grapalat" w:hAnsi="GHEA Grapalat" w:cs="Calibri"/>
                <w:color w:val="000000"/>
                <w:sz w:val="18"/>
                <w:szCs w:val="18"/>
              </w:rPr>
            </w:pPr>
            <w:r w:rsidRPr="00B57DAB">
              <w:rPr>
                <w:rFonts w:ascii="GHEA Grapalat" w:hAnsi="GHEA Grapalat" w:cs="Calibri"/>
                <w:color w:val="000000"/>
                <w:sz w:val="18"/>
                <w:szCs w:val="18"/>
              </w:rPr>
              <w:t>101.5</w:t>
            </w:r>
          </w:p>
        </w:tc>
        <w:tc>
          <w:tcPr>
            <w:tcW w:w="1275" w:type="dxa"/>
            <w:vAlign w:val="bottom"/>
          </w:tcPr>
          <w:p w:rsidR="00976886" w:rsidRPr="00B57DAB" w:rsidRDefault="00976886" w:rsidP="00DC269B">
            <w:pPr>
              <w:jc w:val="right"/>
              <w:rPr>
                <w:rFonts w:ascii="GHEA Grapalat" w:hAnsi="GHEA Grapalat" w:cs="Calibri"/>
                <w:color w:val="000000"/>
                <w:sz w:val="18"/>
                <w:szCs w:val="18"/>
              </w:rPr>
            </w:pPr>
            <w:r w:rsidRPr="00B57DAB">
              <w:rPr>
                <w:rFonts w:ascii="GHEA Grapalat" w:hAnsi="GHEA Grapalat" w:cs="Calibri"/>
                <w:color w:val="000000"/>
                <w:sz w:val="18"/>
                <w:szCs w:val="18"/>
              </w:rPr>
              <w:t>1</w:t>
            </w:r>
            <w:r w:rsidR="00DC269B" w:rsidRPr="00B57DAB">
              <w:rPr>
                <w:rFonts w:ascii="GHEA Grapalat" w:hAnsi="GHEA Grapalat" w:cs="Calibri"/>
                <w:color w:val="000000"/>
                <w:sz w:val="18"/>
                <w:szCs w:val="18"/>
              </w:rPr>
              <w:t>2</w:t>
            </w:r>
            <w:r w:rsidRPr="00B57DAB">
              <w:rPr>
                <w:rFonts w:ascii="GHEA Grapalat" w:hAnsi="GHEA Grapalat" w:cs="Calibri"/>
                <w:color w:val="000000"/>
                <w:sz w:val="18"/>
                <w:szCs w:val="18"/>
              </w:rPr>
              <w:t>1.8</w:t>
            </w:r>
          </w:p>
        </w:tc>
      </w:tr>
      <w:tr w:rsidR="00DC269B" w:rsidRPr="00B57DAB" w:rsidTr="00DC269B">
        <w:trPr>
          <w:trHeight w:val="360"/>
        </w:trPr>
        <w:tc>
          <w:tcPr>
            <w:tcW w:w="1526" w:type="dxa"/>
            <w:shd w:val="clear" w:color="auto" w:fill="auto"/>
            <w:noWrap/>
            <w:vAlign w:val="bottom"/>
            <w:hideMark/>
          </w:tcPr>
          <w:p w:rsidR="00976886" w:rsidRPr="00B57DAB" w:rsidRDefault="00976886" w:rsidP="00DC269B">
            <w:pPr>
              <w:rPr>
                <w:rFonts w:ascii="GHEA Grapalat" w:hAnsi="GHEA Grapalat" w:cs="Calibri"/>
                <w:color w:val="000000"/>
                <w:sz w:val="18"/>
                <w:szCs w:val="18"/>
              </w:rPr>
            </w:pPr>
            <w:r w:rsidRPr="00B57DAB">
              <w:rPr>
                <w:rFonts w:ascii="GHEA Grapalat" w:hAnsi="GHEA Grapalat" w:cs="Calibri"/>
                <w:color w:val="000000"/>
                <w:sz w:val="18"/>
                <w:szCs w:val="18"/>
              </w:rPr>
              <w:t>Ծախսեր</w:t>
            </w:r>
          </w:p>
        </w:tc>
        <w:tc>
          <w:tcPr>
            <w:tcW w:w="1276" w:type="dxa"/>
            <w:vAlign w:val="bottom"/>
          </w:tcPr>
          <w:p w:rsidR="00976886" w:rsidRPr="00B57DAB" w:rsidRDefault="00DC269B" w:rsidP="00DC269B">
            <w:pPr>
              <w:jc w:val="right"/>
              <w:rPr>
                <w:rFonts w:ascii="GHEA Grapalat" w:hAnsi="GHEA Grapalat" w:cs="Calibri"/>
                <w:color w:val="000000"/>
                <w:sz w:val="18"/>
                <w:szCs w:val="18"/>
              </w:rPr>
            </w:pPr>
            <w:r w:rsidRPr="00B57DAB">
              <w:rPr>
                <w:rFonts w:ascii="GHEA Grapalat" w:hAnsi="GHEA Grapalat" w:cs="Calibri"/>
                <w:color w:val="000000"/>
                <w:sz w:val="18"/>
                <w:szCs w:val="18"/>
              </w:rPr>
              <w:t>404.9</w:t>
            </w:r>
          </w:p>
        </w:tc>
        <w:tc>
          <w:tcPr>
            <w:tcW w:w="1134" w:type="dxa"/>
            <w:vAlign w:val="bottom"/>
          </w:tcPr>
          <w:p w:rsidR="00976886" w:rsidRPr="00B57DAB" w:rsidRDefault="00DC269B" w:rsidP="00DC269B">
            <w:pPr>
              <w:jc w:val="right"/>
              <w:rPr>
                <w:rFonts w:ascii="GHEA Grapalat" w:hAnsi="GHEA Grapalat" w:cs="Calibri"/>
                <w:color w:val="000000"/>
                <w:sz w:val="18"/>
                <w:szCs w:val="18"/>
              </w:rPr>
            </w:pPr>
            <w:r w:rsidRPr="00B57DAB">
              <w:rPr>
                <w:rFonts w:ascii="GHEA Grapalat" w:hAnsi="GHEA Grapalat" w:cs="Calibri"/>
                <w:color w:val="000000"/>
                <w:sz w:val="18"/>
                <w:szCs w:val="18"/>
              </w:rPr>
              <w:t>2,196.6</w:t>
            </w:r>
          </w:p>
        </w:tc>
        <w:tc>
          <w:tcPr>
            <w:tcW w:w="1275" w:type="dxa"/>
            <w:shd w:val="clear" w:color="auto" w:fill="auto"/>
            <w:noWrap/>
            <w:vAlign w:val="bottom"/>
            <w:hideMark/>
          </w:tcPr>
          <w:p w:rsidR="00976886" w:rsidRPr="00B57DAB" w:rsidRDefault="00DC269B" w:rsidP="00DC269B">
            <w:pPr>
              <w:jc w:val="right"/>
              <w:rPr>
                <w:rFonts w:ascii="GHEA Grapalat" w:hAnsi="GHEA Grapalat" w:cs="Calibri"/>
                <w:color w:val="000000"/>
                <w:sz w:val="18"/>
                <w:szCs w:val="18"/>
              </w:rPr>
            </w:pPr>
            <w:r w:rsidRPr="00B57DAB">
              <w:rPr>
                <w:rFonts w:ascii="GHEA Grapalat" w:hAnsi="GHEA Grapalat" w:cs="Calibri"/>
                <w:color w:val="000000"/>
                <w:sz w:val="18"/>
                <w:szCs w:val="18"/>
              </w:rPr>
              <w:t>486.4</w:t>
            </w:r>
            <w:r w:rsidR="00976886" w:rsidRPr="00B57DAB">
              <w:rPr>
                <w:rFonts w:ascii="GHEA Grapalat" w:hAnsi="GHEA Grapalat" w:cs="Calibri"/>
                <w:color w:val="000000"/>
                <w:sz w:val="18"/>
                <w:szCs w:val="18"/>
              </w:rPr>
              <w:t xml:space="preserve"> </w:t>
            </w:r>
          </w:p>
        </w:tc>
        <w:tc>
          <w:tcPr>
            <w:tcW w:w="1276" w:type="dxa"/>
            <w:shd w:val="clear" w:color="auto" w:fill="auto"/>
            <w:noWrap/>
            <w:vAlign w:val="bottom"/>
            <w:hideMark/>
          </w:tcPr>
          <w:p w:rsidR="00976886" w:rsidRPr="00B57DAB" w:rsidRDefault="00DC269B" w:rsidP="00DC269B">
            <w:pPr>
              <w:jc w:val="right"/>
              <w:rPr>
                <w:rFonts w:ascii="GHEA Grapalat" w:hAnsi="GHEA Grapalat" w:cs="Calibri"/>
                <w:color w:val="000000"/>
                <w:sz w:val="18"/>
                <w:szCs w:val="18"/>
              </w:rPr>
            </w:pPr>
            <w:r w:rsidRPr="00B57DAB">
              <w:rPr>
                <w:rFonts w:ascii="GHEA Grapalat" w:hAnsi="GHEA Grapalat" w:cs="Calibri"/>
                <w:color w:val="000000"/>
                <w:sz w:val="18"/>
                <w:szCs w:val="18"/>
              </w:rPr>
              <w:t>396.8</w:t>
            </w:r>
          </w:p>
        </w:tc>
        <w:tc>
          <w:tcPr>
            <w:tcW w:w="1276" w:type="dxa"/>
            <w:vAlign w:val="bottom"/>
          </w:tcPr>
          <w:p w:rsidR="00976886" w:rsidRPr="00B57DAB" w:rsidRDefault="00DC269B" w:rsidP="00DC269B">
            <w:pPr>
              <w:jc w:val="right"/>
              <w:rPr>
                <w:rFonts w:ascii="GHEA Grapalat" w:hAnsi="GHEA Grapalat" w:cs="Calibri"/>
                <w:color w:val="000000"/>
                <w:sz w:val="18"/>
                <w:szCs w:val="18"/>
              </w:rPr>
            </w:pPr>
            <w:r w:rsidRPr="00B57DAB">
              <w:rPr>
                <w:rFonts w:ascii="GHEA Grapalat" w:hAnsi="GHEA Grapalat" w:cs="Calibri"/>
                <w:color w:val="000000"/>
                <w:sz w:val="18"/>
                <w:szCs w:val="18"/>
              </w:rPr>
              <w:t>18.1</w:t>
            </w:r>
          </w:p>
        </w:tc>
        <w:tc>
          <w:tcPr>
            <w:tcW w:w="1276" w:type="dxa"/>
            <w:shd w:val="clear" w:color="auto" w:fill="auto"/>
            <w:noWrap/>
            <w:vAlign w:val="bottom"/>
            <w:hideMark/>
          </w:tcPr>
          <w:p w:rsidR="00976886" w:rsidRPr="00B57DAB" w:rsidRDefault="00DC269B" w:rsidP="00DC269B">
            <w:pPr>
              <w:jc w:val="right"/>
              <w:rPr>
                <w:rFonts w:ascii="GHEA Grapalat" w:hAnsi="GHEA Grapalat" w:cs="Calibri"/>
                <w:color w:val="000000"/>
                <w:sz w:val="18"/>
                <w:szCs w:val="18"/>
              </w:rPr>
            </w:pPr>
            <w:r w:rsidRPr="00B57DAB">
              <w:rPr>
                <w:rFonts w:ascii="GHEA Grapalat" w:hAnsi="GHEA Grapalat" w:cs="Calibri"/>
                <w:color w:val="000000"/>
                <w:sz w:val="18"/>
                <w:szCs w:val="18"/>
              </w:rPr>
              <w:t>81.6</w:t>
            </w:r>
          </w:p>
        </w:tc>
        <w:tc>
          <w:tcPr>
            <w:tcW w:w="1275" w:type="dxa"/>
            <w:vAlign w:val="bottom"/>
          </w:tcPr>
          <w:p w:rsidR="00976886" w:rsidRPr="00B57DAB" w:rsidRDefault="00BB7B7B" w:rsidP="00DC269B">
            <w:pPr>
              <w:jc w:val="right"/>
              <w:rPr>
                <w:rFonts w:ascii="GHEA Grapalat" w:hAnsi="GHEA Grapalat" w:cs="Calibri"/>
                <w:color w:val="000000"/>
                <w:sz w:val="18"/>
                <w:szCs w:val="18"/>
              </w:rPr>
            </w:pPr>
            <w:r w:rsidRPr="00B57DAB">
              <w:rPr>
                <w:rFonts w:ascii="GHEA Grapalat" w:hAnsi="GHEA Grapalat" w:cs="Calibri"/>
                <w:color w:val="000000"/>
                <w:sz w:val="18"/>
                <w:szCs w:val="18"/>
              </w:rPr>
              <w:t>98.0</w:t>
            </w:r>
          </w:p>
        </w:tc>
      </w:tr>
      <w:tr w:rsidR="00DC269B" w:rsidRPr="00B57DAB" w:rsidTr="00DC269B">
        <w:trPr>
          <w:trHeight w:val="360"/>
        </w:trPr>
        <w:tc>
          <w:tcPr>
            <w:tcW w:w="1526" w:type="dxa"/>
            <w:shd w:val="clear" w:color="auto" w:fill="auto"/>
            <w:noWrap/>
            <w:vAlign w:val="bottom"/>
            <w:hideMark/>
          </w:tcPr>
          <w:p w:rsidR="00976886" w:rsidRPr="00B57DAB" w:rsidRDefault="00976886" w:rsidP="00DC269B">
            <w:pPr>
              <w:rPr>
                <w:rFonts w:ascii="GHEA Grapalat" w:hAnsi="GHEA Grapalat" w:cs="Calibri"/>
                <w:color w:val="000000"/>
                <w:sz w:val="18"/>
                <w:szCs w:val="18"/>
              </w:rPr>
            </w:pPr>
            <w:r w:rsidRPr="00B57DAB">
              <w:rPr>
                <w:rFonts w:ascii="GHEA Grapalat" w:hAnsi="GHEA Grapalat" w:cs="Calibri"/>
                <w:color w:val="000000"/>
                <w:sz w:val="18"/>
                <w:szCs w:val="18"/>
              </w:rPr>
              <w:t>Պակասուրդ</w:t>
            </w:r>
          </w:p>
        </w:tc>
        <w:tc>
          <w:tcPr>
            <w:tcW w:w="1276" w:type="dxa"/>
            <w:vAlign w:val="bottom"/>
          </w:tcPr>
          <w:p w:rsidR="00976886" w:rsidRPr="00B57DAB" w:rsidRDefault="00DC269B" w:rsidP="00DC269B">
            <w:pPr>
              <w:jc w:val="right"/>
              <w:rPr>
                <w:rFonts w:ascii="GHEA Grapalat" w:hAnsi="GHEA Grapalat" w:cs="Calibri"/>
                <w:color w:val="000000"/>
                <w:sz w:val="18"/>
                <w:szCs w:val="18"/>
              </w:rPr>
            </w:pPr>
            <w:r w:rsidRPr="00B57DAB">
              <w:rPr>
                <w:rFonts w:ascii="GHEA Grapalat" w:hAnsi="GHEA Grapalat" w:cs="Calibri"/>
                <w:color w:val="000000"/>
                <w:sz w:val="18"/>
                <w:szCs w:val="18"/>
              </w:rPr>
              <w:t>55.6</w:t>
            </w:r>
          </w:p>
        </w:tc>
        <w:tc>
          <w:tcPr>
            <w:tcW w:w="1134" w:type="dxa"/>
            <w:vAlign w:val="bottom"/>
          </w:tcPr>
          <w:p w:rsidR="00976886" w:rsidRPr="00B57DAB" w:rsidRDefault="00DC269B" w:rsidP="00DC269B">
            <w:pPr>
              <w:jc w:val="right"/>
              <w:rPr>
                <w:rFonts w:ascii="GHEA Grapalat" w:hAnsi="GHEA Grapalat" w:cs="Calibri"/>
                <w:color w:val="000000"/>
                <w:sz w:val="18"/>
                <w:szCs w:val="18"/>
              </w:rPr>
            </w:pPr>
            <w:r w:rsidRPr="00B57DAB">
              <w:rPr>
                <w:rFonts w:ascii="GHEA Grapalat" w:hAnsi="GHEA Grapalat" w:cs="Calibri"/>
                <w:color w:val="000000"/>
                <w:sz w:val="18"/>
                <w:szCs w:val="18"/>
              </w:rPr>
              <w:t>237.2</w:t>
            </w:r>
          </w:p>
        </w:tc>
        <w:tc>
          <w:tcPr>
            <w:tcW w:w="1275" w:type="dxa"/>
            <w:shd w:val="clear" w:color="auto" w:fill="auto"/>
            <w:noWrap/>
            <w:vAlign w:val="bottom"/>
            <w:hideMark/>
          </w:tcPr>
          <w:p w:rsidR="00976886" w:rsidRPr="00B57DAB" w:rsidRDefault="00DC269B" w:rsidP="00DC269B">
            <w:pPr>
              <w:jc w:val="right"/>
              <w:rPr>
                <w:rFonts w:ascii="GHEA Grapalat" w:hAnsi="GHEA Grapalat" w:cs="Calibri"/>
                <w:color w:val="000000"/>
                <w:sz w:val="18"/>
                <w:szCs w:val="18"/>
              </w:rPr>
            </w:pPr>
            <w:r w:rsidRPr="00B57DAB">
              <w:rPr>
                <w:rFonts w:ascii="GHEA Grapalat" w:hAnsi="GHEA Grapalat" w:cs="Calibri"/>
                <w:color w:val="000000"/>
                <w:sz w:val="18"/>
                <w:szCs w:val="18"/>
              </w:rPr>
              <w:t>67.1</w:t>
            </w:r>
            <w:r w:rsidR="00976886" w:rsidRPr="00B57DAB">
              <w:rPr>
                <w:rFonts w:ascii="GHEA Grapalat" w:hAnsi="GHEA Grapalat" w:cs="Calibri"/>
                <w:color w:val="000000"/>
                <w:sz w:val="18"/>
                <w:szCs w:val="18"/>
              </w:rPr>
              <w:t xml:space="preserve"> </w:t>
            </w:r>
          </w:p>
        </w:tc>
        <w:tc>
          <w:tcPr>
            <w:tcW w:w="1276" w:type="dxa"/>
            <w:shd w:val="clear" w:color="auto" w:fill="auto"/>
            <w:noWrap/>
            <w:vAlign w:val="bottom"/>
            <w:hideMark/>
          </w:tcPr>
          <w:p w:rsidR="00976886" w:rsidRPr="00B57DAB" w:rsidRDefault="00DC269B" w:rsidP="00DC269B">
            <w:pPr>
              <w:jc w:val="right"/>
              <w:rPr>
                <w:rFonts w:ascii="GHEA Grapalat" w:hAnsi="GHEA Grapalat" w:cs="Calibri"/>
                <w:color w:val="000000"/>
                <w:sz w:val="18"/>
                <w:szCs w:val="18"/>
              </w:rPr>
            </w:pPr>
            <w:r w:rsidRPr="00B57DAB">
              <w:rPr>
                <w:rFonts w:ascii="GHEA Grapalat" w:hAnsi="GHEA Grapalat" w:cs="Calibri"/>
                <w:color w:val="000000"/>
                <w:sz w:val="18"/>
                <w:szCs w:val="18"/>
              </w:rPr>
              <w:t>(28.7)</w:t>
            </w:r>
          </w:p>
        </w:tc>
        <w:tc>
          <w:tcPr>
            <w:tcW w:w="1276" w:type="dxa"/>
            <w:vAlign w:val="bottom"/>
          </w:tcPr>
          <w:p w:rsidR="00976886" w:rsidRPr="00B57DAB" w:rsidRDefault="00DC269B" w:rsidP="00DC269B">
            <w:pPr>
              <w:keepNext/>
              <w:jc w:val="right"/>
              <w:rPr>
                <w:rFonts w:ascii="GHEA Grapalat" w:hAnsi="GHEA Grapalat" w:cs="Calibri"/>
                <w:color w:val="000000"/>
                <w:sz w:val="18"/>
                <w:szCs w:val="18"/>
              </w:rPr>
            </w:pPr>
            <w:r w:rsidRPr="00B57DAB">
              <w:rPr>
                <w:rFonts w:ascii="GHEA Grapalat" w:hAnsi="GHEA Grapalat" w:cs="Calibri"/>
                <w:color w:val="000000"/>
                <w:sz w:val="18"/>
                <w:szCs w:val="18"/>
              </w:rPr>
              <w:t>(12.1)</w:t>
            </w:r>
          </w:p>
        </w:tc>
        <w:tc>
          <w:tcPr>
            <w:tcW w:w="1276" w:type="dxa"/>
            <w:shd w:val="clear" w:color="auto" w:fill="auto"/>
            <w:noWrap/>
            <w:vAlign w:val="bottom"/>
            <w:hideMark/>
          </w:tcPr>
          <w:p w:rsidR="00976886" w:rsidRPr="00B57DAB" w:rsidRDefault="00DC269B" w:rsidP="00DC269B">
            <w:pPr>
              <w:jc w:val="right"/>
              <w:rPr>
                <w:rFonts w:ascii="GHEA Grapalat" w:hAnsi="GHEA Grapalat" w:cs="Calibri"/>
                <w:color w:val="000000"/>
                <w:sz w:val="18"/>
                <w:szCs w:val="18"/>
              </w:rPr>
            </w:pPr>
            <w:r w:rsidRPr="00B57DAB">
              <w:rPr>
                <w:rFonts w:ascii="GHEA Grapalat" w:hAnsi="GHEA Grapalat" w:cs="Calibri"/>
                <w:color w:val="000000"/>
                <w:sz w:val="18"/>
                <w:szCs w:val="18"/>
              </w:rPr>
              <w:t>(</w:t>
            </w:r>
            <w:r w:rsidR="00976886" w:rsidRPr="00B57DAB">
              <w:rPr>
                <w:rFonts w:ascii="GHEA Grapalat" w:hAnsi="GHEA Grapalat" w:cs="Calibri"/>
                <w:color w:val="000000"/>
                <w:sz w:val="18"/>
                <w:szCs w:val="18"/>
              </w:rPr>
              <w:t>42.</w:t>
            </w:r>
            <w:r w:rsidRPr="00B57DAB">
              <w:rPr>
                <w:rFonts w:ascii="GHEA Grapalat" w:hAnsi="GHEA Grapalat" w:cs="Calibri"/>
                <w:color w:val="000000"/>
                <w:sz w:val="18"/>
                <w:szCs w:val="18"/>
              </w:rPr>
              <w:t>7)</w:t>
            </w:r>
          </w:p>
        </w:tc>
        <w:tc>
          <w:tcPr>
            <w:tcW w:w="1275" w:type="dxa"/>
            <w:vAlign w:val="bottom"/>
          </w:tcPr>
          <w:p w:rsidR="00976886" w:rsidRPr="00B57DAB" w:rsidRDefault="00BB7B7B" w:rsidP="00DC269B">
            <w:pPr>
              <w:keepNext/>
              <w:jc w:val="right"/>
              <w:rPr>
                <w:rFonts w:ascii="GHEA Grapalat" w:hAnsi="GHEA Grapalat" w:cs="Calibri"/>
                <w:color w:val="000000"/>
                <w:sz w:val="18"/>
                <w:szCs w:val="18"/>
              </w:rPr>
            </w:pPr>
            <w:r w:rsidRPr="00B57DAB">
              <w:rPr>
                <w:rFonts w:ascii="GHEA Grapalat" w:hAnsi="GHEA Grapalat" w:cs="Calibri"/>
                <w:color w:val="000000"/>
                <w:sz w:val="18"/>
                <w:szCs w:val="18"/>
              </w:rPr>
              <w:t>(51.6)</w:t>
            </w:r>
          </w:p>
        </w:tc>
      </w:tr>
    </w:tbl>
    <w:p w:rsidR="00976886" w:rsidRPr="00B57DAB" w:rsidRDefault="00976886" w:rsidP="00976886">
      <w:pPr>
        <w:spacing w:line="360" w:lineRule="auto"/>
        <w:ind w:firstLine="567"/>
        <w:jc w:val="both"/>
        <w:rPr>
          <w:rFonts w:ascii="GHEA Grapalat" w:hAnsi="GHEA Grapalat" w:cs="GHEA Grapalat"/>
          <w:sz w:val="22"/>
          <w:szCs w:val="22"/>
          <w:lang w:val="hy-AM"/>
        </w:rPr>
      </w:pPr>
    </w:p>
    <w:p w:rsidR="00976886" w:rsidRPr="00B57DAB" w:rsidRDefault="00976886" w:rsidP="00976886">
      <w:pPr>
        <w:spacing w:line="360" w:lineRule="auto"/>
        <w:ind w:firstLine="567"/>
        <w:jc w:val="both"/>
        <w:rPr>
          <w:rFonts w:ascii="GHEA Grapalat" w:hAnsi="GHEA Grapalat" w:cs="GHEA Grapalat"/>
          <w:sz w:val="22"/>
          <w:szCs w:val="22"/>
          <w:lang w:val="hy-AM"/>
        </w:rPr>
        <w:sectPr w:rsidR="00976886" w:rsidRPr="00B57DAB" w:rsidSect="009C41C6">
          <w:pgSz w:w="11907" w:h="16840" w:code="9"/>
          <w:pgMar w:top="1134" w:right="567" w:bottom="567" w:left="1134" w:header="720" w:footer="567" w:gutter="0"/>
          <w:cols w:space="720"/>
        </w:sectPr>
      </w:pPr>
    </w:p>
    <w:p w:rsidR="00C60B5A" w:rsidRPr="00B57DAB" w:rsidRDefault="00C60B5A" w:rsidP="005E065C">
      <w:pPr>
        <w:pStyle w:val="Heading1"/>
        <w:overflowPunct/>
        <w:autoSpaceDE/>
        <w:autoSpaceDN/>
        <w:adjustRightInd/>
        <w:ind w:firstLine="0"/>
        <w:jc w:val="left"/>
        <w:textAlignment w:val="auto"/>
        <w:rPr>
          <w:rFonts w:ascii="GHEA Grapalat" w:hAnsi="GHEA Grapalat" w:cs="Sylfaen"/>
          <w:noProof/>
          <w:sz w:val="22"/>
          <w:szCs w:val="22"/>
          <w:lang w:val="hy-AM"/>
        </w:rPr>
      </w:pPr>
      <w:bookmarkStart w:id="37" w:name="_Toc102759888"/>
      <w:r w:rsidRPr="00B57DAB">
        <w:rPr>
          <w:rFonts w:ascii="GHEA Grapalat" w:hAnsi="GHEA Grapalat" w:cs="Sylfaen"/>
          <w:noProof/>
          <w:sz w:val="22"/>
          <w:szCs w:val="22"/>
          <w:lang w:val="hy-AM"/>
        </w:rPr>
        <w:lastRenderedPageBreak/>
        <w:t>ՀՀ ՊԵՏԱԿԱՆ ԲՅՈՒՋԵԻ ԵԿԱՄՈՒՏՆԵՐԸ</w:t>
      </w:r>
      <w:bookmarkEnd w:id="6"/>
      <w:r w:rsidR="004862A7" w:rsidRPr="00B57DAB">
        <w:rPr>
          <w:rFonts w:ascii="GHEA Grapalat" w:hAnsi="GHEA Grapalat" w:cs="Sylfaen"/>
          <w:noProof/>
          <w:sz w:val="22"/>
          <w:szCs w:val="22"/>
          <w:lang w:val="hy-AM"/>
        </w:rPr>
        <w:t xml:space="preserve"> 202</w:t>
      </w:r>
      <w:r w:rsidR="00606AEA" w:rsidRPr="00B57DAB">
        <w:rPr>
          <w:rFonts w:ascii="GHEA Grapalat" w:hAnsi="GHEA Grapalat" w:cs="Sylfaen"/>
          <w:noProof/>
          <w:sz w:val="22"/>
          <w:szCs w:val="22"/>
          <w:lang w:val="hy-AM"/>
        </w:rPr>
        <w:t>2</w:t>
      </w:r>
      <w:r w:rsidR="000B32BA" w:rsidRPr="00B57DAB">
        <w:rPr>
          <w:rFonts w:ascii="GHEA Grapalat" w:hAnsi="GHEA Grapalat" w:cs="Sylfaen"/>
          <w:noProof/>
          <w:sz w:val="22"/>
          <w:szCs w:val="22"/>
          <w:lang w:val="hy-AM"/>
        </w:rPr>
        <w:t xml:space="preserve"> </w:t>
      </w:r>
      <w:r w:rsidR="00D16570" w:rsidRPr="00B57DAB">
        <w:rPr>
          <w:rFonts w:ascii="GHEA Grapalat" w:hAnsi="GHEA Grapalat" w:cs="Sylfaen"/>
          <w:noProof/>
          <w:sz w:val="22"/>
          <w:szCs w:val="22"/>
          <w:lang w:val="hy-AM"/>
        </w:rPr>
        <w:t>ԹՎԱԿԱՆԻ ԱՌԱՋԻՆ ԵՌԱՄՍՅԱԿՈՒՄ</w:t>
      </w:r>
      <w:bookmarkEnd w:id="7"/>
      <w:bookmarkEnd w:id="37"/>
    </w:p>
    <w:p w:rsidR="00372C78" w:rsidRPr="00B57DAB" w:rsidRDefault="00372C78" w:rsidP="00372C78">
      <w:pPr>
        <w:spacing w:line="360" w:lineRule="auto"/>
        <w:ind w:firstLine="567"/>
        <w:jc w:val="both"/>
        <w:rPr>
          <w:rFonts w:ascii="GHEA Grapalat" w:hAnsi="GHEA Grapalat" w:cs="GHEA Grapalat"/>
          <w:sz w:val="22"/>
          <w:szCs w:val="22"/>
        </w:rPr>
      </w:pPr>
      <w:bookmarkStart w:id="38" w:name="_Toc71311891"/>
      <w:r w:rsidRPr="00B57DAB">
        <w:rPr>
          <w:rFonts w:ascii="GHEA Grapalat" w:hAnsi="GHEA Grapalat" w:cs="GHEA Grapalat"/>
          <w:sz w:val="22"/>
          <w:szCs w:val="22"/>
        </w:rPr>
        <w:t>2022 թվականի առաջին եռամսյակում ստացվել են շուրջ 425.5 մլրդ դրամ փաստացի եկամուտներ` 1.5%</w:t>
      </w:r>
      <w:r w:rsidRPr="00B57DAB">
        <w:rPr>
          <w:rFonts w:ascii="GHEA Grapalat" w:hAnsi="GHEA Grapalat" w:cs="GHEA Grapalat"/>
          <w:sz w:val="22"/>
          <w:szCs w:val="22"/>
        </w:rPr>
        <w:noBreakHyphen/>
        <w:t>ով գերազանցելով եռամսյակային ճշտված ծրագրով կանխատեսված ցուցանիշը: Նշված գումարից շուրջ 424.2 մլրդ դրամը կազմել են ներքին աղբյուրներից ստացված եկամուտները` ապահովելով ծրագրի 102.7%</w:t>
      </w:r>
      <w:r w:rsidRPr="00B57DAB">
        <w:rPr>
          <w:rFonts w:ascii="GHEA Grapalat" w:hAnsi="GHEA Grapalat" w:cs="GHEA Grapalat"/>
          <w:sz w:val="22"/>
          <w:szCs w:val="22"/>
        </w:rPr>
        <w:noBreakHyphen/>
        <w:t>ը, 1.3 մլրդ դրամը ստացվել է պաշտոնական դրամաշնորհների տեսքով, որոնք 79.4%-ով զիջել են ծրագրված ցուցանիշը: 2021 թվականի առաջին եռամսյակի համեմատ պետական բյուջեի եկամուտներն աճել են 21.8%</w:t>
      </w:r>
      <w:r w:rsidRPr="00B57DAB">
        <w:rPr>
          <w:rFonts w:ascii="GHEA Grapalat" w:hAnsi="GHEA Grapalat" w:cs="GHEA Grapalat"/>
          <w:sz w:val="22"/>
          <w:szCs w:val="22"/>
        </w:rPr>
        <w:noBreakHyphen/>
        <w:t xml:space="preserve">ով կամ 76.2 մլրդ դրամով, որը հիմնականում պայմանավորված է հարկային եկամուտների և պետական տուրքերի աճով: Ընդ որում, </w:t>
      </w:r>
      <w:r w:rsidR="00F7377C" w:rsidRPr="00B57DAB">
        <w:rPr>
          <w:rFonts w:ascii="GHEA Grapalat" w:hAnsi="GHEA Grapalat" w:cs="GHEA Grapalat"/>
          <w:sz w:val="22"/>
          <w:szCs w:val="22"/>
        </w:rPr>
        <w:t>եկամուտների երեք հիմնական խմբերում էլ արարձանագրվել է մուտքերի աճ</w:t>
      </w:r>
      <w:r w:rsidRPr="00B57DAB">
        <w:rPr>
          <w:rFonts w:ascii="GHEA Grapalat" w:hAnsi="GHEA Grapalat" w:cs="GHEA Grapalat"/>
          <w:sz w:val="22"/>
          <w:szCs w:val="22"/>
        </w:rPr>
        <w:t>:</w:t>
      </w:r>
    </w:p>
    <w:p w:rsidR="00372C78" w:rsidRPr="00B57DAB" w:rsidRDefault="00372C78" w:rsidP="00372C78">
      <w:pPr>
        <w:spacing w:line="360" w:lineRule="auto"/>
        <w:ind w:firstLine="567"/>
        <w:jc w:val="both"/>
        <w:rPr>
          <w:rFonts w:ascii="GHEA Grapalat" w:hAnsi="GHEA Grapalat" w:cs="GHEA Grapalat"/>
          <w:sz w:val="22"/>
          <w:szCs w:val="22"/>
        </w:rPr>
      </w:pPr>
    </w:p>
    <w:p w:rsidR="00372C78" w:rsidRPr="00B57DAB" w:rsidRDefault="00372C78" w:rsidP="00F533F8">
      <w:pPr>
        <w:pStyle w:val="Caption"/>
        <w:keepNext/>
        <w:numPr>
          <w:ilvl w:val="0"/>
          <w:numId w:val="8"/>
        </w:numPr>
        <w:tabs>
          <w:tab w:val="left" w:pos="1134"/>
        </w:tabs>
        <w:ind w:left="0" w:firstLine="0"/>
        <w:jc w:val="left"/>
        <w:rPr>
          <w:rFonts w:ascii="GHEA Grapalat" w:hAnsi="GHEA Grapalat"/>
          <w:bCs w:val="0"/>
          <w:i/>
          <w:sz w:val="18"/>
          <w:szCs w:val="18"/>
        </w:rPr>
      </w:pPr>
      <w:r w:rsidRPr="00B57DAB">
        <w:rPr>
          <w:rFonts w:ascii="GHEA Grapalat" w:hAnsi="GHEA Grapalat"/>
          <w:bCs w:val="0"/>
          <w:i/>
          <w:sz w:val="18"/>
          <w:szCs w:val="18"/>
        </w:rPr>
        <w:t xml:space="preserve">ՀՀ պետական բյուջեի եկամուտները (մլրդ դրամ) </w:t>
      </w:r>
    </w:p>
    <w:tbl>
      <w:tblPr>
        <w:tblW w:w="10206" w:type="dxa"/>
        <w:tblInd w:w="108" w:type="dxa"/>
        <w:tblLayout w:type="fixed"/>
        <w:tblLook w:val="04A0" w:firstRow="1" w:lastRow="0" w:firstColumn="1" w:lastColumn="0" w:noHBand="0" w:noVBand="1"/>
      </w:tblPr>
      <w:tblGrid>
        <w:gridCol w:w="3544"/>
        <w:gridCol w:w="992"/>
        <w:gridCol w:w="993"/>
        <w:gridCol w:w="992"/>
        <w:gridCol w:w="1276"/>
        <w:gridCol w:w="1275"/>
        <w:gridCol w:w="1134"/>
      </w:tblGrid>
      <w:tr w:rsidR="00372C78" w:rsidRPr="00B57DAB" w:rsidTr="00F7377C">
        <w:trPr>
          <w:trHeight w:val="855"/>
        </w:trPr>
        <w:tc>
          <w:tcPr>
            <w:tcW w:w="3544" w:type="dxa"/>
            <w:tcBorders>
              <w:top w:val="single" w:sz="4" w:space="0" w:color="auto"/>
              <w:left w:val="single" w:sz="4" w:space="0" w:color="auto"/>
              <w:bottom w:val="single" w:sz="4" w:space="0" w:color="auto"/>
              <w:right w:val="single" w:sz="4" w:space="0" w:color="auto"/>
            </w:tcBorders>
            <w:noWrap/>
            <w:vAlign w:val="bottom"/>
            <w:hideMark/>
          </w:tcPr>
          <w:p w:rsidR="00372C78" w:rsidRPr="00B57DAB" w:rsidRDefault="00372C78" w:rsidP="00372C78">
            <w:pPr>
              <w:rPr>
                <w:rFonts w:ascii="GHEA Grapalat" w:hAnsi="GHEA Grapalat" w:cs="Calibri"/>
                <w:sz w:val="18"/>
                <w:szCs w:val="18"/>
              </w:rPr>
            </w:pPr>
            <w:r w:rsidRPr="00B57DAB">
              <w:rPr>
                <w:rFonts w:ascii="Courier New" w:hAnsi="Courier New" w:cs="Courier New"/>
                <w:sz w:val="18"/>
                <w:szCs w:val="18"/>
              </w:rPr>
              <w:t> </w:t>
            </w:r>
          </w:p>
        </w:tc>
        <w:tc>
          <w:tcPr>
            <w:tcW w:w="992" w:type="dxa"/>
            <w:tcBorders>
              <w:top w:val="single" w:sz="4" w:space="0" w:color="auto"/>
              <w:left w:val="nil"/>
              <w:bottom w:val="single" w:sz="4" w:space="0" w:color="auto"/>
              <w:right w:val="single" w:sz="4" w:space="0" w:color="auto"/>
            </w:tcBorders>
            <w:hideMark/>
          </w:tcPr>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2021թ. առաջին եռամս</w:t>
            </w:r>
            <w:r w:rsidR="00F7377C" w:rsidRPr="00B57DAB">
              <w:rPr>
                <w:rFonts w:ascii="GHEA Grapalat" w:hAnsi="GHEA Grapalat" w:cs="Calibri"/>
                <w:b/>
                <w:bCs/>
                <w:sz w:val="18"/>
                <w:szCs w:val="18"/>
              </w:rPr>
              <w:t>-</w:t>
            </w:r>
            <w:r w:rsidRPr="00B57DAB">
              <w:rPr>
                <w:rFonts w:ascii="GHEA Grapalat" w:hAnsi="GHEA Grapalat" w:cs="Calibri"/>
                <w:b/>
                <w:bCs/>
                <w:sz w:val="18"/>
                <w:szCs w:val="18"/>
              </w:rPr>
              <w:t>յակի</w:t>
            </w:r>
            <w:r w:rsidRPr="00B57DAB">
              <w:rPr>
                <w:rFonts w:ascii="GHEA Grapalat" w:hAnsi="GHEA Grapalat" w:cs="Calibri"/>
                <w:b/>
                <w:bCs/>
                <w:sz w:val="18"/>
                <w:szCs w:val="18"/>
              </w:rPr>
              <w:br/>
              <w:t>փաստ</w:t>
            </w:r>
          </w:p>
        </w:tc>
        <w:tc>
          <w:tcPr>
            <w:tcW w:w="993" w:type="dxa"/>
            <w:tcBorders>
              <w:top w:val="single" w:sz="4" w:space="0" w:color="auto"/>
              <w:left w:val="nil"/>
              <w:bottom w:val="single" w:sz="4" w:space="0" w:color="auto"/>
              <w:right w:val="single" w:sz="4" w:space="0" w:color="auto"/>
            </w:tcBorders>
            <w:shd w:val="clear" w:color="auto" w:fill="FFFFFF"/>
            <w:hideMark/>
          </w:tcPr>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 xml:space="preserve">2022թ. </w:t>
            </w:r>
          </w:p>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առաջին եռամս</w:t>
            </w:r>
            <w:r w:rsidR="00F7377C" w:rsidRPr="00B57DAB">
              <w:rPr>
                <w:rFonts w:ascii="GHEA Grapalat" w:hAnsi="GHEA Grapalat" w:cs="Calibri"/>
                <w:b/>
                <w:bCs/>
                <w:sz w:val="18"/>
                <w:szCs w:val="18"/>
              </w:rPr>
              <w:t>-</w:t>
            </w:r>
            <w:r w:rsidRPr="00B57DAB">
              <w:rPr>
                <w:rFonts w:ascii="GHEA Grapalat" w:hAnsi="GHEA Grapalat" w:cs="Calibri"/>
                <w:b/>
                <w:bCs/>
                <w:sz w:val="18"/>
                <w:szCs w:val="18"/>
              </w:rPr>
              <w:t>յակի ճշտված պլան</w:t>
            </w:r>
          </w:p>
        </w:tc>
        <w:tc>
          <w:tcPr>
            <w:tcW w:w="992" w:type="dxa"/>
            <w:tcBorders>
              <w:top w:val="single" w:sz="4" w:space="0" w:color="auto"/>
              <w:left w:val="nil"/>
              <w:bottom w:val="single" w:sz="4" w:space="0" w:color="auto"/>
              <w:right w:val="single" w:sz="4" w:space="0" w:color="auto"/>
            </w:tcBorders>
            <w:shd w:val="clear" w:color="auto" w:fill="FFFFFF"/>
            <w:hideMark/>
          </w:tcPr>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w:t>
            </w:r>
            <w:r w:rsidR="00F7377C" w:rsidRPr="00B57DAB">
              <w:rPr>
                <w:rFonts w:ascii="GHEA Grapalat" w:hAnsi="GHEA Grapalat" w:cs="Calibri"/>
                <w:b/>
                <w:bCs/>
                <w:sz w:val="18"/>
                <w:szCs w:val="18"/>
              </w:rPr>
              <w:t>-</w:t>
            </w:r>
            <w:r w:rsidRPr="00B57DAB">
              <w:rPr>
                <w:rFonts w:ascii="GHEA Grapalat" w:hAnsi="GHEA Grapalat" w:cs="Calibri"/>
                <w:b/>
                <w:bCs/>
                <w:sz w:val="18"/>
                <w:szCs w:val="18"/>
              </w:rPr>
              <w:t>յակի</w:t>
            </w:r>
            <w:r w:rsidRPr="00B57DAB">
              <w:rPr>
                <w:rFonts w:ascii="GHEA Grapalat" w:hAnsi="GHEA Grapalat" w:cs="Calibri"/>
                <w:b/>
                <w:bCs/>
                <w:sz w:val="18"/>
                <w:szCs w:val="18"/>
              </w:rPr>
              <w:br/>
              <w:t>փաստ</w:t>
            </w:r>
          </w:p>
        </w:tc>
        <w:tc>
          <w:tcPr>
            <w:tcW w:w="1276" w:type="dxa"/>
            <w:tcBorders>
              <w:top w:val="single" w:sz="4" w:space="0" w:color="auto"/>
              <w:left w:val="nil"/>
              <w:bottom w:val="single" w:sz="4" w:space="0" w:color="auto"/>
              <w:right w:val="single" w:sz="4" w:space="0" w:color="auto"/>
            </w:tcBorders>
            <w:shd w:val="clear" w:color="auto" w:fill="FFFFFF"/>
            <w:hideMark/>
          </w:tcPr>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Կատարո-ղականը առաջին եռամսյակի ճշտված պլանի նկատմամբ</w:t>
            </w:r>
          </w:p>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w:t>
            </w:r>
          </w:p>
        </w:tc>
        <w:tc>
          <w:tcPr>
            <w:tcW w:w="1275" w:type="dxa"/>
            <w:tcBorders>
              <w:top w:val="single" w:sz="4" w:space="0" w:color="auto"/>
              <w:left w:val="nil"/>
              <w:bottom w:val="single" w:sz="4" w:space="0" w:color="auto"/>
              <w:right w:val="single" w:sz="4" w:space="0" w:color="auto"/>
            </w:tcBorders>
            <w:shd w:val="clear" w:color="auto" w:fill="FFFFFF"/>
            <w:hideMark/>
          </w:tcPr>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եռամսյակը 2021թ. առաջին եռամսյակի նկատմամբ</w:t>
            </w:r>
          </w:p>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w:t>
            </w:r>
          </w:p>
        </w:tc>
        <w:tc>
          <w:tcPr>
            <w:tcW w:w="1134" w:type="dxa"/>
            <w:tcBorders>
              <w:top w:val="single" w:sz="4" w:space="0" w:color="auto"/>
              <w:left w:val="nil"/>
              <w:bottom w:val="single" w:sz="4" w:space="0" w:color="auto"/>
              <w:right w:val="single" w:sz="4" w:space="0" w:color="auto"/>
            </w:tcBorders>
            <w:shd w:val="clear" w:color="auto" w:fill="FFFFFF"/>
            <w:hideMark/>
          </w:tcPr>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2022թ. և 2021թ. տարբե-րությունը</w:t>
            </w:r>
          </w:p>
        </w:tc>
      </w:tr>
      <w:tr w:rsidR="00372C78" w:rsidRPr="00B57DAB" w:rsidTr="00F7377C">
        <w:trPr>
          <w:trHeight w:val="293"/>
        </w:trPr>
        <w:tc>
          <w:tcPr>
            <w:tcW w:w="3544" w:type="dxa"/>
            <w:tcBorders>
              <w:top w:val="nil"/>
              <w:left w:val="single" w:sz="4" w:space="0" w:color="auto"/>
              <w:bottom w:val="single" w:sz="4" w:space="0" w:color="auto"/>
              <w:right w:val="single" w:sz="4" w:space="0" w:color="auto"/>
            </w:tcBorders>
            <w:hideMark/>
          </w:tcPr>
          <w:p w:rsidR="00372C78" w:rsidRPr="00B57DAB" w:rsidRDefault="00372C78" w:rsidP="00372C78">
            <w:pPr>
              <w:rPr>
                <w:rFonts w:ascii="GHEA Grapalat" w:hAnsi="GHEA Grapalat" w:cs="Calibri"/>
                <w:b/>
                <w:bCs/>
                <w:sz w:val="18"/>
                <w:szCs w:val="18"/>
              </w:rPr>
            </w:pPr>
            <w:r w:rsidRPr="00B57DAB">
              <w:rPr>
                <w:rFonts w:ascii="GHEA Grapalat" w:hAnsi="GHEA Grapalat" w:cs="Calibri"/>
                <w:b/>
                <w:bCs/>
                <w:sz w:val="18"/>
                <w:szCs w:val="18"/>
              </w:rPr>
              <w:t>Պետական բյուջեի եկամուտներ</w:t>
            </w:r>
          </w:p>
        </w:tc>
        <w:tc>
          <w:tcPr>
            <w:tcW w:w="992" w:type="dxa"/>
            <w:tcBorders>
              <w:top w:val="single" w:sz="4" w:space="0" w:color="auto"/>
              <w:left w:val="single" w:sz="4" w:space="0" w:color="auto"/>
              <w:bottom w:val="single" w:sz="4" w:space="0" w:color="auto"/>
              <w:right w:val="single" w:sz="4" w:space="0" w:color="auto"/>
            </w:tcBorders>
            <w:vAlign w:val="center"/>
            <w:hideMark/>
          </w:tcPr>
          <w:p w:rsidR="00372C78" w:rsidRPr="00B57DAB" w:rsidRDefault="00372C78" w:rsidP="00372C78">
            <w:pPr>
              <w:jc w:val="right"/>
              <w:rPr>
                <w:rFonts w:ascii="GHEA Grapalat" w:hAnsi="GHEA Grapalat" w:cs="Calibri"/>
                <w:b/>
                <w:bCs/>
                <w:sz w:val="18"/>
                <w:szCs w:val="18"/>
              </w:rPr>
            </w:pPr>
            <w:r w:rsidRPr="00B57DAB">
              <w:rPr>
                <w:rFonts w:ascii="GHEA Grapalat" w:hAnsi="GHEA Grapalat" w:cs="Calibri"/>
                <w:b/>
                <w:bCs/>
                <w:sz w:val="18"/>
                <w:szCs w:val="18"/>
              </w:rPr>
              <w:t>349.3</w:t>
            </w:r>
          </w:p>
        </w:tc>
        <w:tc>
          <w:tcPr>
            <w:tcW w:w="993" w:type="dxa"/>
            <w:tcBorders>
              <w:top w:val="nil"/>
              <w:left w:val="nil"/>
              <w:bottom w:val="single" w:sz="4" w:space="0" w:color="auto"/>
              <w:right w:val="single" w:sz="4" w:space="0" w:color="auto"/>
            </w:tcBorders>
            <w:noWrap/>
            <w:vAlign w:val="center"/>
            <w:hideMark/>
          </w:tcPr>
          <w:p w:rsidR="00372C78" w:rsidRPr="00B57DAB" w:rsidRDefault="00372C78" w:rsidP="00372C78">
            <w:pPr>
              <w:jc w:val="right"/>
              <w:rPr>
                <w:rFonts w:ascii="GHEA Grapalat" w:hAnsi="GHEA Grapalat" w:cs="Calibri"/>
                <w:b/>
                <w:bCs/>
                <w:sz w:val="18"/>
                <w:szCs w:val="18"/>
              </w:rPr>
            </w:pPr>
            <w:r w:rsidRPr="00B57DAB">
              <w:rPr>
                <w:rFonts w:ascii="GHEA Grapalat" w:hAnsi="GHEA Grapalat" w:cs="Calibri"/>
                <w:b/>
                <w:bCs/>
                <w:sz w:val="18"/>
                <w:szCs w:val="18"/>
              </w:rPr>
              <w:t>419.3</w:t>
            </w:r>
          </w:p>
        </w:tc>
        <w:tc>
          <w:tcPr>
            <w:tcW w:w="992" w:type="dxa"/>
            <w:tcBorders>
              <w:top w:val="nil"/>
              <w:left w:val="nil"/>
              <w:bottom w:val="single" w:sz="4" w:space="0" w:color="auto"/>
              <w:right w:val="single" w:sz="4" w:space="0" w:color="auto"/>
            </w:tcBorders>
            <w:noWrap/>
            <w:vAlign w:val="center"/>
            <w:hideMark/>
          </w:tcPr>
          <w:p w:rsidR="00372C78" w:rsidRPr="00B57DAB" w:rsidRDefault="00372C78" w:rsidP="00372C78">
            <w:pPr>
              <w:jc w:val="right"/>
              <w:rPr>
                <w:rFonts w:ascii="GHEA Grapalat" w:hAnsi="GHEA Grapalat" w:cs="Calibri"/>
                <w:b/>
                <w:bCs/>
                <w:sz w:val="18"/>
                <w:szCs w:val="18"/>
              </w:rPr>
            </w:pPr>
            <w:r w:rsidRPr="00B57DAB">
              <w:rPr>
                <w:rFonts w:ascii="GHEA Grapalat" w:hAnsi="GHEA Grapalat" w:cs="Calibri"/>
                <w:b/>
                <w:bCs/>
                <w:sz w:val="18"/>
                <w:szCs w:val="18"/>
              </w:rPr>
              <w:t>425.5</w:t>
            </w:r>
          </w:p>
        </w:tc>
        <w:tc>
          <w:tcPr>
            <w:tcW w:w="1276" w:type="dxa"/>
            <w:tcBorders>
              <w:top w:val="nil"/>
              <w:left w:val="nil"/>
              <w:bottom w:val="single" w:sz="4" w:space="0" w:color="auto"/>
              <w:right w:val="single" w:sz="4" w:space="0" w:color="auto"/>
            </w:tcBorders>
            <w:vAlign w:val="center"/>
            <w:hideMark/>
          </w:tcPr>
          <w:p w:rsidR="00372C78" w:rsidRPr="00B57DAB" w:rsidRDefault="00372C78" w:rsidP="00372C78">
            <w:pPr>
              <w:jc w:val="right"/>
              <w:rPr>
                <w:rFonts w:ascii="GHEA Grapalat" w:hAnsi="GHEA Grapalat" w:cs="Calibri"/>
                <w:b/>
                <w:bCs/>
                <w:sz w:val="18"/>
                <w:szCs w:val="18"/>
              </w:rPr>
            </w:pPr>
            <w:r w:rsidRPr="00B57DAB">
              <w:rPr>
                <w:rFonts w:ascii="GHEA Grapalat" w:hAnsi="GHEA Grapalat" w:cs="Calibri"/>
                <w:b/>
                <w:bCs/>
                <w:sz w:val="18"/>
                <w:szCs w:val="18"/>
              </w:rPr>
              <w:t>101.5</w:t>
            </w:r>
          </w:p>
        </w:tc>
        <w:tc>
          <w:tcPr>
            <w:tcW w:w="1275" w:type="dxa"/>
            <w:tcBorders>
              <w:top w:val="nil"/>
              <w:left w:val="nil"/>
              <w:bottom w:val="single" w:sz="4" w:space="0" w:color="auto"/>
              <w:right w:val="single" w:sz="4" w:space="0" w:color="auto"/>
            </w:tcBorders>
            <w:vAlign w:val="center"/>
            <w:hideMark/>
          </w:tcPr>
          <w:p w:rsidR="00372C78" w:rsidRPr="00B57DAB" w:rsidRDefault="00372C78" w:rsidP="00372C78">
            <w:pPr>
              <w:jc w:val="right"/>
              <w:rPr>
                <w:rFonts w:ascii="GHEA Grapalat" w:hAnsi="GHEA Grapalat" w:cs="Calibri"/>
                <w:b/>
                <w:bCs/>
                <w:sz w:val="18"/>
                <w:szCs w:val="18"/>
              </w:rPr>
            </w:pPr>
            <w:r w:rsidRPr="00B57DAB">
              <w:rPr>
                <w:rFonts w:ascii="GHEA Grapalat" w:hAnsi="GHEA Grapalat" w:cs="Calibri"/>
                <w:b/>
                <w:bCs/>
                <w:sz w:val="18"/>
                <w:szCs w:val="18"/>
              </w:rPr>
              <w:t>121.8</w:t>
            </w:r>
          </w:p>
        </w:tc>
        <w:tc>
          <w:tcPr>
            <w:tcW w:w="1134" w:type="dxa"/>
            <w:tcBorders>
              <w:top w:val="nil"/>
              <w:left w:val="nil"/>
              <w:bottom w:val="single" w:sz="4" w:space="0" w:color="auto"/>
              <w:right w:val="single" w:sz="4" w:space="0" w:color="auto"/>
            </w:tcBorders>
            <w:vAlign w:val="center"/>
            <w:hideMark/>
          </w:tcPr>
          <w:p w:rsidR="00372C78" w:rsidRPr="00B57DAB" w:rsidRDefault="00372C78" w:rsidP="00372C78">
            <w:pPr>
              <w:jc w:val="right"/>
              <w:rPr>
                <w:rFonts w:ascii="GHEA Grapalat" w:hAnsi="GHEA Grapalat" w:cs="Calibri"/>
                <w:b/>
                <w:bCs/>
                <w:sz w:val="18"/>
                <w:szCs w:val="18"/>
              </w:rPr>
            </w:pPr>
            <w:r w:rsidRPr="00B57DAB">
              <w:rPr>
                <w:rFonts w:ascii="GHEA Grapalat" w:hAnsi="GHEA Grapalat" w:cs="Calibri"/>
                <w:b/>
                <w:bCs/>
                <w:sz w:val="18"/>
                <w:szCs w:val="18"/>
              </w:rPr>
              <w:t>76.2</w:t>
            </w:r>
          </w:p>
        </w:tc>
      </w:tr>
      <w:tr w:rsidR="00372C78" w:rsidRPr="00B57DAB" w:rsidTr="00F7377C">
        <w:trPr>
          <w:trHeight w:val="293"/>
        </w:trPr>
        <w:tc>
          <w:tcPr>
            <w:tcW w:w="3544" w:type="dxa"/>
            <w:tcBorders>
              <w:top w:val="nil"/>
              <w:left w:val="single" w:sz="4" w:space="0" w:color="auto"/>
              <w:bottom w:val="single" w:sz="4" w:space="0" w:color="auto"/>
              <w:right w:val="single" w:sz="4" w:space="0" w:color="auto"/>
            </w:tcBorders>
            <w:noWrap/>
            <w:hideMark/>
          </w:tcPr>
          <w:p w:rsidR="00372C78" w:rsidRPr="00B57DAB" w:rsidRDefault="00372C78" w:rsidP="00372C78">
            <w:pPr>
              <w:ind w:firstLineChars="100" w:firstLine="180"/>
              <w:rPr>
                <w:rFonts w:ascii="GHEA Grapalat" w:hAnsi="GHEA Grapalat" w:cs="Calibri"/>
                <w:sz w:val="18"/>
                <w:szCs w:val="18"/>
              </w:rPr>
            </w:pPr>
            <w:r w:rsidRPr="00B57DAB">
              <w:rPr>
                <w:rFonts w:ascii="GHEA Grapalat" w:hAnsi="GHEA Grapalat" w:cs="Calibri"/>
                <w:sz w:val="18"/>
                <w:szCs w:val="18"/>
              </w:rPr>
              <w:t>Հարկային եկամուտներ և պետական տուրքեր</w:t>
            </w:r>
          </w:p>
        </w:tc>
        <w:tc>
          <w:tcPr>
            <w:tcW w:w="992" w:type="dxa"/>
            <w:tcBorders>
              <w:top w:val="nil"/>
              <w:left w:val="single" w:sz="4" w:space="0" w:color="auto"/>
              <w:bottom w:val="single" w:sz="4" w:space="0" w:color="auto"/>
              <w:right w:val="single" w:sz="4" w:space="0" w:color="auto"/>
            </w:tcBorders>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 xml:space="preserve">332.9 </w:t>
            </w:r>
          </w:p>
        </w:tc>
        <w:tc>
          <w:tcPr>
            <w:tcW w:w="993" w:type="dxa"/>
            <w:tcBorders>
              <w:top w:val="nil"/>
              <w:left w:val="nil"/>
              <w:bottom w:val="single" w:sz="4" w:space="0" w:color="auto"/>
              <w:right w:val="single" w:sz="4" w:space="0" w:color="auto"/>
            </w:tcBorders>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 xml:space="preserve">395.5 </w:t>
            </w:r>
          </w:p>
        </w:tc>
        <w:tc>
          <w:tcPr>
            <w:tcW w:w="992" w:type="dxa"/>
            <w:tcBorders>
              <w:top w:val="nil"/>
              <w:left w:val="nil"/>
              <w:bottom w:val="single" w:sz="4" w:space="0" w:color="auto"/>
              <w:right w:val="single" w:sz="4" w:space="0" w:color="auto"/>
            </w:tcBorders>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 xml:space="preserve">400.6 </w:t>
            </w:r>
          </w:p>
        </w:tc>
        <w:tc>
          <w:tcPr>
            <w:tcW w:w="1276" w:type="dxa"/>
            <w:tcBorders>
              <w:top w:val="nil"/>
              <w:left w:val="nil"/>
              <w:bottom w:val="single" w:sz="4" w:space="0" w:color="auto"/>
              <w:right w:val="single" w:sz="4" w:space="0" w:color="auto"/>
            </w:tcBorders>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101.3</w:t>
            </w:r>
          </w:p>
        </w:tc>
        <w:tc>
          <w:tcPr>
            <w:tcW w:w="1275" w:type="dxa"/>
            <w:tcBorders>
              <w:top w:val="nil"/>
              <w:left w:val="nil"/>
              <w:bottom w:val="single" w:sz="4" w:space="0" w:color="auto"/>
              <w:right w:val="single" w:sz="4" w:space="0" w:color="auto"/>
            </w:tcBorders>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120.3</w:t>
            </w:r>
          </w:p>
        </w:tc>
        <w:tc>
          <w:tcPr>
            <w:tcW w:w="1134" w:type="dxa"/>
            <w:tcBorders>
              <w:top w:val="nil"/>
              <w:left w:val="nil"/>
              <w:bottom w:val="single" w:sz="4" w:space="0" w:color="auto"/>
              <w:right w:val="single" w:sz="4" w:space="0" w:color="auto"/>
            </w:tcBorders>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67.7</w:t>
            </w:r>
          </w:p>
        </w:tc>
      </w:tr>
      <w:tr w:rsidR="00372C78" w:rsidRPr="00B57DAB" w:rsidTr="00F7377C">
        <w:trPr>
          <w:trHeight w:val="300"/>
        </w:trPr>
        <w:tc>
          <w:tcPr>
            <w:tcW w:w="3544" w:type="dxa"/>
            <w:tcBorders>
              <w:top w:val="nil"/>
              <w:left w:val="single" w:sz="4" w:space="0" w:color="auto"/>
              <w:bottom w:val="single" w:sz="4" w:space="0" w:color="auto"/>
              <w:right w:val="single" w:sz="4" w:space="0" w:color="auto"/>
            </w:tcBorders>
            <w:noWrap/>
            <w:hideMark/>
          </w:tcPr>
          <w:p w:rsidR="00372C78" w:rsidRPr="00B57DAB" w:rsidRDefault="00372C78" w:rsidP="00372C78">
            <w:pPr>
              <w:ind w:firstLineChars="100" w:firstLine="180"/>
              <w:rPr>
                <w:rFonts w:ascii="GHEA Grapalat" w:hAnsi="GHEA Grapalat" w:cs="Calibri"/>
                <w:sz w:val="18"/>
                <w:szCs w:val="18"/>
              </w:rPr>
            </w:pPr>
            <w:r w:rsidRPr="00B57DAB">
              <w:rPr>
                <w:rFonts w:ascii="GHEA Grapalat" w:hAnsi="GHEA Grapalat" w:cs="Calibri"/>
                <w:sz w:val="18"/>
                <w:szCs w:val="18"/>
              </w:rPr>
              <w:t>Պաշտոնական դրամաշնորհներ</w:t>
            </w:r>
          </w:p>
        </w:tc>
        <w:tc>
          <w:tcPr>
            <w:tcW w:w="992" w:type="dxa"/>
            <w:tcBorders>
              <w:top w:val="nil"/>
              <w:left w:val="single" w:sz="4" w:space="0" w:color="auto"/>
              <w:bottom w:val="single" w:sz="4" w:space="0" w:color="auto"/>
              <w:right w:val="single" w:sz="4" w:space="0" w:color="auto"/>
            </w:tcBorders>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 xml:space="preserve">1.2 </w:t>
            </w:r>
          </w:p>
        </w:tc>
        <w:tc>
          <w:tcPr>
            <w:tcW w:w="993" w:type="dxa"/>
            <w:tcBorders>
              <w:top w:val="nil"/>
              <w:left w:val="nil"/>
              <w:bottom w:val="single" w:sz="4" w:space="0" w:color="auto"/>
              <w:right w:val="single" w:sz="4" w:space="0" w:color="auto"/>
            </w:tcBorders>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 xml:space="preserve">6.4 </w:t>
            </w:r>
          </w:p>
        </w:tc>
        <w:tc>
          <w:tcPr>
            <w:tcW w:w="992" w:type="dxa"/>
            <w:tcBorders>
              <w:top w:val="nil"/>
              <w:left w:val="nil"/>
              <w:bottom w:val="single" w:sz="4" w:space="0" w:color="auto"/>
              <w:right w:val="single" w:sz="4" w:space="0" w:color="auto"/>
            </w:tcBorders>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 xml:space="preserve">1.3 </w:t>
            </w:r>
          </w:p>
        </w:tc>
        <w:tc>
          <w:tcPr>
            <w:tcW w:w="1276" w:type="dxa"/>
            <w:tcBorders>
              <w:top w:val="nil"/>
              <w:left w:val="nil"/>
              <w:bottom w:val="single" w:sz="4" w:space="0" w:color="auto"/>
              <w:right w:val="single" w:sz="4" w:space="0" w:color="auto"/>
            </w:tcBorders>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20.6</w:t>
            </w:r>
          </w:p>
        </w:tc>
        <w:tc>
          <w:tcPr>
            <w:tcW w:w="1275" w:type="dxa"/>
            <w:tcBorders>
              <w:top w:val="nil"/>
              <w:left w:val="nil"/>
              <w:bottom w:val="single" w:sz="4" w:space="0" w:color="auto"/>
              <w:right w:val="single" w:sz="4" w:space="0" w:color="auto"/>
            </w:tcBorders>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105.6</w:t>
            </w:r>
          </w:p>
        </w:tc>
        <w:tc>
          <w:tcPr>
            <w:tcW w:w="1134" w:type="dxa"/>
            <w:tcBorders>
              <w:top w:val="nil"/>
              <w:left w:val="nil"/>
              <w:bottom w:val="single" w:sz="4" w:space="0" w:color="auto"/>
              <w:right w:val="single" w:sz="4" w:space="0" w:color="auto"/>
            </w:tcBorders>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0.1</w:t>
            </w:r>
          </w:p>
        </w:tc>
      </w:tr>
      <w:tr w:rsidR="00372C78" w:rsidRPr="00B57DAB" w:rsidTr="00F7377C">
        <w:trPr>
          <w:trHeight w:val="167"/>
        </w:trPr>
        <w:tc>
          <w:tcPr>
            <w:tcW w:w="3544" w:type="dxa"/>
            <w:tcBorders>
              <w:top w:val="nil"/>
              <w:left w:val="single" w:sz="4" w:space="0" w:color="auto"/>
              <w:bottom w:val="single" w:sz="4" w:space="0" w:color="auto"/>
              <w:right w:val="single" w:sz="4" w:space="0" w:color="auto"/>
            </w:tcBorders>
            <w:noWrap/>
            <w:hideMark/>
          </w:tcPr>
          <w:p w:rsidR="00372C78" w:rsidRPr="00B57DAB" w:rsidRDefault="00372C78" w:rsidP="00372C78">
            <w:pPr>
              <w:ind w:firstLineChars="100" w:firstLine="180"/>
              <w:rPr>
                <w:rFonts w:ascii="GHEA Grapalat" w:hAnsi="GHEA Grapalat" w:cs="Calibri"/>
                <w:sz w:val="18"/>
                <w:szCs w:val="18"/>
              </w:rPr>
            </w:pPr>
            <w:r w:rsidRPr="00B57DAB">
              <w:rPr>
                <w:rFonts w:ascii="GHEA Grapalat" w:hAnsi="GHEA Grapalat" w:cs="Calibri"/>
                <w:sz w:val="18"/>
                <w:szCs w:val="18"/>
              </w:rPr>
              <w:t>Այլ եկամուտներ</w:t>
            </w:r>
          </w:p>
        </w:tc>
        <w:tc>
          <w:tcPr>
            <w:tcW w:w="992" w:type="dxa"/>
            <w:tcBorders>
              <w:top w:val="nil"/>
              <w:left w:val="single" w:sz="4" w:space="0" w:color="auto"/>
              <w:bottom w:val="single" w:sz="4" w:space="0" w:color="auto"/>
              <w:right w:val="single" w:sz="4" w:space="0" w:color="auto"/>
            </w:tcBorders>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 xml:space="preserve">15.2 </w:t>
            </w:r>
          </w:p>
        </w:tc>
        <w:tc>
          <w:tcPr>
            <w:tcW w:w="993" w:type="dxa"/>
            <w:tcBorders>
              <w:top w:val="nil"/>
              <w:left w:val="nil"/>
              <w:bottom w:val="single" w:sz="4" w:space="0" w:color="auto"/>
              <w:right w:val="single" w:sz="4" w:space="0" w:color="auto"/>
            </w:tcBorders>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 xml:space="preserve">17.4 </w:t>
            </w:r>
          </w:p>
        </w:tc>
        <w:tc>
          <w:tcPr>
            <w:tcW w:w="992" w:type="dxa"/>
            <w:tcBorders>
              <w:top w:val="nil"/>
              <w:left w:val="nil"/>
              <w:bottom w:val="single" w:sz="4" w:space="0" w:color="auto"/>
              <w:right w:val="single" w:sz="4" w:space="0" w:color="auto"/>
            </w:tcBorders>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 xml:space="preserve">23.6 </w:t>
            </w:r>
          </w:p>
        </w:tc>
        <w:tc>
          <w:tcPr>
            <w:tcW w:w="1276" w:type="dxa"/>
            <w:tcBorders>
              <w:top w:val="nil"/>
              <w:left w:val="nil"/>
              <w:bottom w:val="single" w:sz="4" w:space="0" w:color="auto"/>
              <w:right w:val="single" w:sz="4" w:space="0" w:color="auto"/>
            </w:tcBorders>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135.9</w:t>
            </w:r>
          </w:p>
        </w:tc>
        <w:tc>
          <w:tcPr>
            <w:tcW w:w="1275" w:type="dxa"/>
            <w:tcBorders>
              <w:top w:val="nil"/>
              <w:left w:val="nil"/>
              <w:bottom w:val="single" w:sz="4" w:space="0" w:color="auto"/>
              <w:right w:val="single" w:sz="4" w:space="0" w:color="auto"/>
            </w:tcBorders>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156.0</w:t>
            </w:r>
          </w:p>
        </w:tc>
        <w:tc>
          <w:tcPr>
            <w:tcW w:w="1134" w:type="dxa"/>
            <w:tcBorders>
              <w:top w:val="nil"/>
              <w:left w:val="nil"/>
              <w:bottom w:val="single" w:sz="4" w:space="0" w:color="auto"/>
              <w:right w:val="single" w:sz="4" w:space="0" w:color="auto"/>
            </w:tcBorders>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8.5</w:t>
            </w:r>
          </w:p>
        </w:tc>
      </w:tr>
    </w:tbl>
    <w:p w:rsidR="00372C78" w:rsidRPr="00B57DAB" w:rsidRDefault="00372C78" w:rsidP="00396851">
      <w:pPr>
        <w:autoSpaceDE w:val="0"/>
        <w:autoSpaceDN w:val="0"/>
        <w:adjustRightInd w:val="0"/>
        <w:spacing w:line="360" w:lineRule="auto"/>
        <w:ind w:firstLine="567"/>
        <w:jc w:val="both"/>
        <w:rPr>
          <w:rFonts w:ascii="GHEA Grapalat" w:hAnsi="GHEA Grapalat" w:cs="GHEA Grapalat"/>
          <w:sz w:val="22"/>
          <w:szCs w:val="22"/>
        </w:rPr>
      </w:pPr>
    </w:p>
    <w:p w:rsidR="00372C78" w:rsidRPr="00B57DAB" w:rsidRDefault="00372C78" w:rsidP="00372C78">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 xml:space="preserve">2021 թվականի առաջին եռամսյակի համեմատ </w:t>
      </w:r>
      <w:r w:rsidR="00396851" w:rsidRPr="00B57DAB">
        <w:rPr>
          <w:rFonts w:ascii="GHEA Grapalat" w:hAnsi="GHEA Grapalat" w:cs="GHEA Grapalat"/>
          <w:sz w:val="22"/>
          <w:szCs w:val="22"/>
        </w:rPr>
        <w:t>այլ եկամուտների առաջանցիկ</w:t>
      </w:r>
      <w:r w:rsidRPr="00B57DAB">
        <w:rPr>
          <w:rFonts w:ascii="GHEA Grapalat" w:hAnsi="GHEA Grapalat" w:cs="GHEA Grapalat"/>
          <w:sz w:val="22"/>
          <w:szCs w:val="22"/>
        </w:rPr>
        <w:t xml:space="preserve"> աճի արդյունքում </w:t>
      </w:r>
      <w:r w:rsidR="00396851" w:rsidRPr="00B57DAB">
        <w:rPr>
          <w:rFonts w:ascii="GHEA Grapalat" w:hAnsi="GHEA Grapalat" w:cs="GHEA Grapalat"/>
          <w:sz w:val="22"/>
          <w:szCs w:val="22"/>
        </w:rPr>
        <w:t xml:space="preserve">բյուջեի </w:t>
      </w:r>
      <w:r w:rsidRPr="00B57DAB">
        <w:rPr>
          <w:rFonts w:ascii="GHEA Grapalat" w:hAnsi="GHEA Grapalat" w:cs="GHEA Grapalat"/>
          <w:sz w:val="22"/>
          <w:szCs w:val="22"/>
        </w:rPr>
        <w:t>եկամուտներում 1.3 տոկոսային կետով ավելացել է այլ եկամուտների տեսակարար կշիռը, իսկ հարկային եկամուտների (ներառյալ` պետական տուրքերը) և պաշտոնական դրամաշնորհների տեսակարար կշիռները նվազել են համապատասխանաբար 1.2 և 0.1 տոկոսային կետով:</w:t>
      </w:r>
    </w:p>
    <w:p w:rsidR="00372C78" w:rsidRPr="00B57DAB" w:rsidRDefault="00372C78" w:rsidP="00372C78">
      <w:pPr>
        <w:autoSpaceDE w:val="0"/>
        <w:autoSpaceDN w:val="0"/>
        <w:adjustRightInd w:val="0"/>
        <w:spacing w:line="360" w:lineRule="auto"/>
        <w:ind w:firstLine="567"/>
        <w:jc w:val="both"/>
        <w:rPr>
          <w:rFonts w:ascii="GHEA Grapalat" w:hAnsi="GHEA Grapalat" w:cs="GHEA Grapalat"/>
          <w:sz w:val="22"/>
          <w:szCs w:val="22"/>
        </w:rPr>
      </w:pPr>
    </w:p>
    <w:p w:rsidR="00372C78" w:rsidRPr="00B57DAB" w:rsidRDefault="00372C78" w:rsidP="00F533F8">
      <w:pPr>
        <w:pStyle w:val="a8"/>
        <w:numPr>
          <w:ilvl w:val="0"/>
          <w:numId w:val="32"/>
        </w:numPr>
        <w:ind w:left="0" w:firstLine="0"/>
        <w:jc w:val="both"/>
        <w:rPr>
          <w:sz w:val="22"/>
          <w:szCs w:val="22"/>
        </w:rPr>
      </w:pPr>
      <w:r w:rsidRPr="00B57DAB">
        <w:rPr>
          <w:sz w:val="22"/>
          <w:szCs w:val="22"/>
        </w:rPr>
        <w:lastRenderedPageBreak/>
        <w:t xml:space="preserve">ՀՀ պետական բյուջեի եկամուտների կառուցվածքը 2021-2022թթ. </w:t>
      </w:r>
    </w:p>
    <w:p w:rsidR="00372C78" w:rsidRPr="00B57DAB" w:rsidRDefault="00372C78" w:rsidP="00372C78">
      <w:pPr>
        <w:pBdr>
          <w:top w:val="single" w:sz="4" w:space="1" w:color="auto"/>
          <w:left w:val="single" w:sz="4" w:space="4" w:color="auto"/>
          <w:bottom w:val="single" w:sz="4" w:space="1" w:color="auto"/>
          <w:right w:val="single" w:sz="4" w:space="4" w:color="auto"/>
        </w:pBdr>
        <w:rPr>
          <w:rFonts w:ascii="GHEA Grapalat" w:hAnsi="GHEA Grapalat"/>
          <w:bCs/>
          <w:i/>
          <w:sz w:val="22"/>
          <w:szCs w:val="22"/>
          <w:lang w:val="de-AT"/>
        </w:rPr>
      </w:pPr>
      <w:bookmarkStart w:id="39" w:name="_Toc79417560"/>
      <w:r w:rsidRPr="00B57DAB">
        <w:rPr>
          <w:rFonts w:ascii="GHEA Grapalat" w:hAnsi="GHEA Grapalat" w:cs="Calibri"/>
          <w:noProof/>
          <w:sz w:val="22"/>
          <w:szCs w:val="22"/>
        </w:rPr>
        <w:drawing>
          <wp:inline distT="0" distB="0" distL="0" distR="0" wp14:anchorId="780AEDA7" wp14:editId="564C08CB">
            <wp:extent cx="3039745" cy="1820545"/>
            <wp:effectExtent l="0" t="0" r="0" b="0"/>
            <wp:docPr id="28" name="Object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B57DAB">
        <w:rPr>
          <w:rFonts w:ascii="GHEA Grapalat" w:hAnsi="GHEA Grapalat"/>
        </w:rPr>
        <w:tab/>
        <w:t xml:space="preserve"> </w:t>
      </w:r>
      <w:r w:rsidRPr="00B57DAB">
        <w:rPr>
          <w:rFonts w:ascii="GHEA Grapalat" w:hAnsi="GHEA Grapalat" w:cs="Calibri"/>
          <w:noProof/>
          <w:sz w:val="22"/>
          <w:szCs w:val="22"/>
        </w:rPr>
        <w:drawing>
          <wp:inline distT="0" distB="0" distL="0" distR="0" wp14:anchorId="3DFA2797" wp14:editId="40CDAF83">
            <wp:extent cx="3108960" cy="1828800"/>
            <wp:effectExtent l="0" t="0" r="0" b="0"/>
            <wp:docPr id="29"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72C78" w:rsidRPr="00B57DAB" w:rsidRDefault="00372C78" w:rsidP="00372C78">
      <w:pPr>
        <w:spacing w:line="360" w:lineRule="auto"/>
        <w:ind w:firstLine="567"/>
        <w:jc w:val="both"/>
        <w:rPr>
          <w:rFonts w:ascii="GHEA Grapalat" w:hAnsi="GHEA Grapalat"/>
          <w:sz w:val="22"/>
          <w:szCs w:val="22"/>
        </w:rPr>
      </w:pPr>
    </w:p>
    <w:p w:rsidR="00372C78" w:rsidRPr="00B57DAB" w:rsidRDefault="00372C78" w:rsidP="005E065C">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40" w:name="_Toc87365143"/>
      <w:bookmarkStart w:id="41" w:name="_Toc100649913"/>
      <w:bookmarkStart w:id="42" w:name="_Toc102759889"/>
      <w:r w:rsidRPr="00B57DAB">
        <w:rPr>
          <w:rFonts w:ascii="GHEA Grapalat" w:hAnsi="GHEA Grapalat"/>
          <w:bCs/>
          <w:i w:val="0"/>
          <w:noProof/>
          <w:sz w:val="22"/>
          <w:szCs w:val="22"/>
          <w:lang w:val="de-AT"/>
        </w:rPr>
        <w:t>Հարկային եկամուտներ և պետական տուրքեր</w:t>
      </w:r>
      <w:bookmarkEnd w:id="39"/>
      <w:bookmarkEnd w:id="40"/>
      <w:bookmarkEnd w:id="41"/>
      <w:bookmarkEnd w:id="42"/>
    </w:p>
    <w:p w:rsidR="00372C78" w:rsidRPr="00B57DAB" w:rsidRDefault="00372C78" w:rsidP="00372C78">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Կառավարության</w:t>
      </w:r>
      <w:r w:rsidRPr="00B57DAB">
        <w:rPr>
          <w:rFonts w:ascii="GHEA Grapalat" w:hAnsi="GHEA Grapalat" w:cs="GHEA Grapalat"/>
          <w:sz w:val="22"/>
          <w:szCs w:val="22"/>
          <w:lang w:val="de-AT"/>
        </w:rPr>
        <w:t xml:space="preserve"> </w:t>
      </w:r>
      <w:r w:rsidRPr="00B57DAB">
        <w:rPr>
          <w:rFonts w:ascii="GHEA Grapalat" w:hAnsi="GHEA Grapalat" w:cs="GHEA Grapalat"/>
          <w:sz w:val="22"/>
          <w:szCs w:val="22"/>
        </w:rPr>
        <w:t>սկզբնական</w:t>
      </w:r>
      <w:r w:rsidRPr="00B57DAB">
        <w:rPr>
          <w:rFonts w:ascii="GHEA Grapalat" w:hAnsi="GHEA Grapalat" w:cs="GHEA Grapalat"/>
          <w:sz w:val="22"/>
          <w:szCs w:val="22"/>
          <w:lang w:val="de-AT"/>
        </w:rPr>
        <w:t xml:space="preserve"> </w:t>
      </w:r>
      <w:r w:rsidRPr="00B57DAB">
        <w:rPr>
          <w:rFonts w:ascii="GHEA Grapalat" w:hAnsi="GHEA Grapalat" w:cs="GHEA Grapalat"/>
          <w:sz w:val="22"/>
          <w:szCs w:val="22"/>
        </w:rPr>
        <w:t>ծրագրով</w:t>
      </w:r>
      <w:r w:rsidRPr="00B57DAB">
        <w:rPr>
          <w:rFonts w:ascii="GHEA Grapalat" w:hAnsi="GHEA Grapalat" w:cs="GHEA Grapalat"/>
          <w:sz w:val="22"/>
          <w:szCs w:val="22"/>
          <w:lang w:val="de-AT"/>
        </w:rPr>
        <w:t xml:space="preserve"> 2022 </w:t>
      </w:r>
      <w:r w:rsidRPr="00B57DAB">
        <w:rPr>
          <w:rFonts w:ascii="GHEA Grapalat" w:hAnsi="GHEA Grapalat" w:cs="GHEA Grapalat"/>
          <w:sz w:val="22"/>
          <w:szCs w:val="22"/>
        </w:rPr>
        <w:t>թվականի</w:t>
      </w:r>
      <w:r w:rsidRPr="00B57DAB">
        <w:rPr>
          <w:rFonts w:ascii="GHEA Grapalat" w:hAnsi="GHEA Grapalat" w:cs="GHEA Grapalat"/>
          <w:sz w:val="22"/>
          <w:szCs w:val="22"/>
          <w:lang w:val="de-AT"/>
        </w:rPr>
        <w:t xml:space="preserve"> </w:t>
      </w:r>
      <w:r w:rsidRPr="00B57DAB">
        <w:rPr>
          <w:rFonts w:ascii="GHEA Grapalat" w:hAnsi="GHEA Grapalat" w:cs="GHEA Grapalat"/>
          <w:sz w:val="22"/>
          <w:szCs w:val="22"/>
        </w:rPr>
        <w:t>առաջին</w:t>
      </w:r>
      <w:r w:rsidRPr="00B57DAB">
        <w:rPr>
          <w:rFonts w:ascii="GHEA Grapalat" w:hAnsi="GHEA Grapalat" w:cs="GHEA Grapalat"/>
          <w:sz w:val="22"/>
          <w:szCs w:val="22"/>
          <w:lang w:val="de-AT"/>
        </w:rPr>
        <w:t xml:space="preserve"> </w:t>
      </w:r>
      <w:r w:rsidRPr="00B57DAB">
        <w:rPr>
          <w:rFonts w:ascii="GHEA Grapalat" w:hAnsi="GHEA Grapalat" w:cs="GHEA Grapalat"/>
          <w:sz w:val="22"/>
          <w:szCs w:val="22"/>
        </w:rPr>
        <w:t>եռամսյակի</w:t>
      </w:r>
      <w:r w:rsidRPr="00B57DAB">
        <w:rPr>
          <w:rFonts w:ascii="GHEA Grapalat" w:hAnsi="GHEA Grapalat" w:cs="GHEA Grapalat"/>
          <w:sz w:val="22"/>
          <w:szCs w:val="22"/>
          <w:lang w:val="de-AT"/>
        </w:rPr>
        <w:t xml:space="preserve"> </w:t>
      </w:r>
      <w:r w:rsidRPr="00B57DAB">
        <w:rPr>
          <w:rFonts w:ascii="GHEA Grapalat" w:hAnsi="GHEA Grapalat" w:cs="GHEA Grapalat"/>
          <w:sz w:val="22"/>
          <w:szCs w:val="22"/>
        </w:rPr>
        <w:t>համար</w:t>
      </w:r>
      <w:r w:rsidRPr="00B57DAB">
        <w:rPr>
          <w:rFonts w:ascii="GHEA Grapalat" w:hAnsi="GHEA Grapalat" w:cs="GHEA Grapalat"/>
          <w:sz w:val="22"/>
          <w:szCs w:val="22"/>
          <w:lang w:val="de-AT"/>
        </w:rPr>
        <w:t xml:space="preserve"> </w:t>
      </w:r>
      <w:r w:rsidRPr="00B57DAB">
        <w:rPr>
          <w:rFonts w:ascii="GHEA Grapalat" w:hAnsi="GHEA Grapalat" w:cs="GHEA Grapalat"/>
          <w:sz w:val="22"/>
          <w:szCs w:val="22"/>
        </w:rPr>
        <w:t>սահմանվել</w:t>
      </w:r>
      <w:r w:rsidRPr="00B57DAB">
        <w:rPr>
          <w:rFonts w:ascii="GHEA Grapalat" w:hAnsi="GHEA Grapalat" w:cs="GHEA Grapalat"/>
          <w:sz w:val="22"/>
          <w:szCs w:val="22"/>
          <w:lang w:val="de-AT"/>
        </w:rPr>
        <w:t xml:space="preserve"> </w:t>
      </w:r>
      <w:r w:rsidRPr="00B57DAB">
        <w:rPr>
          <w:rFonts w:ascii="GHEA Grapalat" w:hAnsi="GHEA Grapalat" w:cs="GHEA Grapalat"/>
          <w:sz w:val="22"/>
          <w:szCs w:val="22"/>
        </w:rPr>
        <w:t>էր</w:t>
      </w:r>
      <w:r w:rsidRPr="00B57DAB">
        <w:rPr>
          <w:rFonts w:ascii="GHEA Grapalat" w:hAnsi="GHEA Grapalat" w:cs="GHEA Grapalat"/>
          <w:sz w:val="22"/>
          <w:szCs w:val="22"/>
          <w:lang w:val="de-AT"/>
        </w:rPr>
        <w:t xml:space="preserve"> 395.4 </w:t>
      </w:r>
      <w:r w:rsidRPr="00B57DAB">
        <w:rPr>
          <w:rFonts w:ascii="GHEA Grapalat" w:hAnsi="GHEA Grapalat" w:cs="GHEA Grapalat"/>
          <w:sz w:val="22"/>
          <w:szCs w:val="22"/>
        </w:rPr>
        <w:t>մլրդ</w:t>
      </w:r>
      <w:r w:rsidRPr="00B57DAB">
        <w:rPr>
          <w:rFonts w:ascii="GHEA Grapalat" w:hAnsi="GHEA Grapalat" w:cs="GHEA Grapalat"/>
          <w:sz w:val="22"/>
          <w:szCs w:val="22"/>
          <w:lang w:val="de-AT"/>
        </w:rPr>
        <w:t xml:space="preserve"> </w:t>
      </w:r>
      <w:r w:rsidRPr="00B57DAB">
        <w:rPr>
          <w:rFonts w:ascii="GHEA Grapalat" w:hAnsi="GHEA Grapalat" w:cs="GHEA Grapalat"/>
          <w:sz w:val="22"/>
          <w:szCs w:val="22"/>
        </w:rPr>
        <w:t>դրամ</w:t>
      </w:r>
      <w:r w:rsidRPr="00B57DAB">
        <w:rPr>
          <w:rFonts w:ascii="GHEA Grapalat" w:hAnsi="GHEA Grapalat" w:cs="GHEA Grapalat"/>
          <w:sz w:val="22"/>
          <w:szCs w:val="22"/>
          <w:lang w:val="de-AT"/>
        </w:rPr>
        <w:t xml:space="preserve"> </w:t>
      </w:r>
      <w:r w:rsidRPr="00B57DAB">
        <w:rPr>
          <w:rFonts w:ascii="GHEA Grapalat" w:hAnsi="GHEA Grapalat" w:cs="GHEA Grapalat"/>
          <w:sz w:val="22"/>
          <w:szCs w:val="22"/>
        </w:rPr>
        <w:t>հարկերի ու տուրքերի ստացում: Կառավարության լիազորությունների շրջանակներում կատարված փոփոխությունների արդյունքում 2022 թվականի առաջին եռամսյակի ճշտված ծրագիրը կազմել է 395.5 մլրդ դրամ, որի դիմաց ՀՀ պետական բյուջե են մուտքագրվել շուրջ 400.6 մլրդ դրամ հարկային եկամուտներ և պետական տուրքեր, որոնք 1.3%</w:t>
      </w:r>
      <w:r w:rsidRPr="00B57DAB">
        <w:rPr>
          <w:rFonts w:ascii="GHEA Grapalat" w:hAnsi="GHEA Grapalat" w:cs="GHEA Grapalat"/>
          <w:sz w:val="22"/>
          <w:szCs w:val="22"/>
        </w:rPr>
        <w:noBreakHyphen/>
        <w:t>ով գերազանցել են առաջին եռամսյակի ծրագրային ցուցանիշը:</w:t>
      </w:r>
    </w:p>
    <w:p w:rsidR="00372C78" w:rsidRPr="00B57DAB" w:rsidRDefault="00372C78" w:rsidP="00372C78">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2021 թվականի նույն ժամանակահատվածի համեմատ հարկային եկամուտներն ու պետական տուրքերն աճել են 20.3%</w:t>
      </w:r>
      <w:r w:rsidRPr="00B57DAB">
        <w:rPr>
          <w:rFonts w:ascii="GHEA Grapalat" w:hAnsi="GHEA Grapalat" w:cs="GHEA Grapalat"/>
          <w:sz w:val="22"/>
          <w:szCs w:val="22"/>
        </w:rPr>
        <w:noBreakHyphen/>
        <w:t>ով կամ 67.7</w:t>
      </w:r>
      <w:r w:rsidRPr="00B57DAB">
        <w:rPr>
          <w:rFonts w:ascii="Courier New" w:hAnsi="Courier New" w:cs="Courier New"/>
          <w:sz w:val="22"/>
          <w:szCs w:val="22"/>
        </w:rPr>
        <w:t> </w:t>
      </w:r>
      <w:r w:rsidRPr="00B57DAB">
        <w:rPr>
          <w:rFonts w:ascii="GHEA Grapalat" w:hAnsi="GHEA Grapalat" w:cs="GHEA Grapalat"/>
          <w:sz w:val="22"/>
          <w:szCs w:val="22"/>
        </w:rPr>
        <w:t>մլրդ դրամով, որը հիմնականում պայմանավորված է ավելացված արժեքի հարկի, պետական տուրքերի և շահութահարկի գծով մուտքերի աճով: 2021 թվականի առաջին եռամսյակի համեմատ գրեթե բոլոր հարկատեսակների գծով արձանագրվել է մուտքերի աճ, բացառությամբ մաքսատուրք</w:t>
      </w:r>
      <w:r w:rsidR="005065D7" w:rsidRPr="00B57DAB">
        <w:rPr>
          <w:rFonts w:ascii="GHEA Grapalat" w:hAnsi="GHEA Grapalat" w:cs="GHEA Grapalat"/>
          <w:sz w:val="22"/>
          <w:szCs w:val="22"/>
        </w:rPr>
        <w:t>ի</w:t>
      </w:r>
      <w:r w:rsidR="00856602" w:rsidRPr="00B57DAB">
        <w:rPr>
          <w:rFonts w:ascii="GHEA Grapalat" w:hAnsi="GHEA Grapalat" w:cs="GHEA Grapalat"/>
          <w:sz w:val="22"/>
          <w:szCs w:val="22"/>
        </w:rPr>
        <w:t>,</w:t>
      </w:r>
      <w:r w:rsidRPr="00B57DAB">
        <w:rPr>
          <w:rFonts w:ascii="GHEA Grapalat" w:hAnsi="GHEA Grapalat" w:cs="GHEA Grapalat"/>
          <w:sz w:val="22"/>
          <w:szCs w:val="22"/>
        </w:rPr>
        <w:t xml:space="preserve"> բնապահպանական հարկի </w:t>
      </w:r>
      <w:r w:rsidR="005065D7" w:rsidRPr="00B57DAB">
        <w:rPr>
          <w:rFonts w:ascii="GHEA Grapalat" w:hAnsi="GHEA Grapalat" w:cs="GHEA Grapalat"/>
          <w:sz w:val="22"/>
          <w:szCs w:val="22"/>
        </w:rPr>
        <w:t>ու</w:t>
      </w:r>
      <w:r w:rsidRPr="00B57DAB">
        <w:rPr>
          <w:rFonts w:ascii="GHEA Grapalat" w:hAnsi="GHEA Grapalat" w:cs="GHEA Grapalat"/>
          <w:sz w:val="22"/>
          <w:szCs w:val="22"/>
        </w:rPr>
        <w:t xml:space="preserve"> բնօգտագործման վճարի</w:t>
      </w:r>
      <w:r w:rsidR="00856602" w:rsidRPr="00B57DAB">
        <w:rPr>
          <w:rFonts w:ascii="GHEA Grapalat" w:hAnsi="GHEA Grapalat" w:cs="GHEA Grapalat"/>
          <w:sz w:val="22"/>
          <w:szCs w:val="22"/>
        </w:rPr>
        <w:t>, ինչպես նաև հանրային ծառայությունների կարգավորման պարտադիր վճարների</w:t>
      </w:r>
      <w:r w:rsidRPr="00B57DAB">
        <w:rPr>
          <w:rFonts w:ascii="GHEA Grapalat" w:hAnsi="GHEA Grapalat" w:cs="GHEA Grapalat"/>
          <w:sz w:val="22"/>
          <w:szCs w:val="22"/>
        </w:rPr>
        <w:t xml:space="preserve">: </w:t>
      </w:r>
    </w:p>
    <w:p w:rsidR="00D603B0" w:rsidRPr="00B57DAB" w:rsidRDefault="00D603B0" w:rsidP="00D603B0">
      <w:pPr>
        <w:spacing w:line="360" w:lineRule="auto"/>
        <w:ind w:firstLine="567"/>
        <w:jc w:val="both"/>
        <w:rPr>
          <w:rFonts w:ascii="GHEA Grapalat" w:hAnsi="GHEA Grapalat"/>
          <w:sz w:val="22"/>
          <w:szCs w:val="22"/>
        </w:rPr>
      </w:pPr>
      <w:r w:rsidRPr="00B57DAB">
        <w:rPr>
          <w:rFonts w:ascii="GHEA Grapalat" w:hAnsi="GHEA Grapalat" w:cs="GHEA Grapalat"/>
          <w:sz w:val="22"/>
          <w:szCs w:val="22"/>
        </w:rPr>
        <w:t>Այն օրենսդրական փոփոխությունները, որոնք կարող էին ազդեցություն ունենալ հարկային եկամուտների և պետական տուրքերի գծով 2022 թվականի առաջին եռամսյակի պետական բյուջեի մուտքերի</w:t>
      </w:r>
      <w:r w:rsidR="00042AA2" w:rsidRPr="00B57DAB">
        <w:rPr>
          <w:rFonts w:ascii="GHEA Grapalat" w:hAnsi="GHEA Grapalat" w:cs="GHEA Grapalat"/>
          <w:sz w:val="22"/>
          <w:szCs w:val="22"/>
        </w:rPr>
        <w:t xml:space="preserve"> վրա, այդ թվում՝ նաև նախորդ տարվա նույն ժամանակահատվածի համեմատ դրանց փոփոխության</w:t>
      </w:r>
      <w:r w:rsidRPr="00B57DAB">
        <w:rPr>
          <w:rFonts w:ascii="GHEA Grapalat" w:hAnsi="GHEA Grapalat" w:cs="GHEA Grapalat"/>
          <w:sz w:val="22"/>
          <w:szCs w:val="22"/>
        </w:rPr>
        <w:t xml:space="preserve"> վրա</w:t>
      </w:r>
      <w:r w:rsidR="00042AA2" w:rsidRPr="00B57DAB">
        <w:rPr>
          <w:rFonts w:ascii="GHEA Grapalat" w:hAnsi="GHEA Grapalat" w:cs="GHEA Grapalat"/>
          <w:sz w:val="22"/>
          <w:szCs w:val="22"/>
        </w:rPr>
        <w:t xml:space="preserve"> ազդեցության տեսանկյունից</w:t>
      </w:r>
      <w:r w:rsidRPr="00B57DAB">
        <w:rPr>
          <w:rFonts w:ascii="GHEA Grapalat" w:hAnsi="GHEA Grapalat" w:cs="GHEA Grapalat"/>
          <w:sz w:val="22"/>
          <w:szCs w:val="22"/>
        </w:rPr>
        <w:t>, ներկայացված են առանձին տեղեկանքով</w:t>
      </w:r>
      <w:r w:rsidRPr="00B57DAB">
        <w:rPr>
          <w:rStyle w:val="FootnoteReference"/>
          <w:rFonts w:ascii="GHEA Grapalat" w:hAnsi="GHEA Grapalat"/>
          <w:sz w:val="22"/>
          <w:szCs w:val="22"/>
        </w:rPr>
        <w:footnoteReference w:id="28"/>
      </w:r>
      <w:r w:rsidRPr="00B57DAB">
        <w:rPr>
          <w:rFonts w:ascii="GHEA Grapalat" w:hAnsi="GHEA Grapalat" w:cs="GHEA Grapalat"/>
          <w:sz w:val="22"/>
          <w:szCs w:val="22"/>
        </w:rPr>
        <w:t>:</w:t>
      </w:r>
    </w:p>
    <w:p w:rsidR="00372C78" w:rsidRPr="00B57DAB" w:rsidRDefault="00372C78" w:rsidP="00372C78">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 xml:space="preserve">2022 թվականի առաջին եռամսյակում պետական բյուջե մուտքագրված առանձին հարկատեսակների վերաբերյալ տեղեկատվությունը ներկայացված է Աղյուսակ </w:t>
      </w:r>
      <w:r w:rsidR="00B57DAB" w:rsidRPr="00B57DAB">
        <w:rPr>
          <w:rFonts w:ascii="GHEA Grapalat" w:hAnsi="GHEA Grapalat" w:cs="GHEA Grapalat"/>
          <w:sz w:val="22"/>
          <w:szCs w:val="22"/>
        </w:rPr>
        <w:t>3</w:t>
      </w:r>
      <w:r w:rsidRPr="00B57DAB">
        <w:rPr>
          <w:rFonts w:ascii="GHEA Grapalat" w:hAnsi="GHEA Grapalat" w:cs="GHEA Grapalat"/>
          <w:sz w:val="22"/>
          <w:szCs w:val="22"/>
        </w:rPr>
        <w:t xml:space="preserve">-ում: </w:t>
      </w:r>
    </w:p>
    <w:p w:rsidR="00D603B0" w:rsidRPr="00B57DAB" w:rsidRDefault="00D603B0" w:rsidP="00372C78">
      <w:pPr>
        <w:autoSpaceDE w:val="0"/>
        <w:autoSpaceDN w:val="0"/>
        <w:adjustRightInd w:val="0"/>
        <w:spacing w:line="360" w:lineRule="auto"/>
        <w:ind w:firstLine="567"/>
        <w:jc w:val="both"/>
        <w:rPr>
          <w:rFonts w:ascii="GHEA Grapalat" w:hAnsi="GHEA Grapalat" w:cs="GHEA Grapalat"/>
          <w:sz w:val="22"/>
          <w:szCs w:val="22"/>
        </w:rPr>
      </w:pPr>
    </w:p>
    <w:p w:rsidR="00372C78" w:rsidRPr="00B57DAB" w:rsidRDefault="00372C78" w:rsidP="00770F24">
      <w:pPr>
        <w:pStyle w:val="Caption"/>
        <w:keepNext/>
        <w:numPr>
          <w:ilvl w:val="0"/>
          <w:numId w:val="8"/>
        </w:numPr>
        <w:tabs>
          <w:tab w:val="left" w:pos="1134"/>
        </w:tabs>
        <w:ind w:left="0" w:firstLine="0"/>
        <w:jc w:val="left"/>
        <w:rPr>
          <w:rFonts w:ascii="GHEA Grapalat" w:hAnsi="GHEA Grapalat"/>
          <w:i/>
          <w:sz w:val="18"/>
          <w:szCs w:val="18"/>
          <w:lang w:val="hy-AM"/>
        </w:rPr>
      </w:pPr>
      <w:r w:rsidRPr="00B57DAB">
        <w:rPr>
          <w:rFonts w:ascii="GHEA Grapalat" w:hAnsi="GHEA Grapalat"/>
          <w:i/>
          <w:sz w:val="18"/>
          <w:szCs w:val="18"/>
          <w:lang w:val="hy-AM"/>
        </w:rPr>
        <w:lastRenderedPageBreak/>
        <w:t>ՀՀ պետական բյուջեի հարկային եկամուտների և պետական տուրքերի փաստացի ցուցանիշները (մլրդ դրամ)</w:t>
      </w:r>
    </w:p>
    <w:tbl>
      <w:tblPr>
        <w:tblW w:w="10173" w:type="dxa"/>
        <w:tblLayout w:type="fixed"/>
        <w:tblLook w:val="04A0" w:firstRow="1" w:lastRow="0" w:firstColumn="1" w:lastColumn="0" w:noHBand="0" w:noVBand="1"/>
      </w:tblPr>
      <w:tblGrid>
        <w:gridCol w:w="4219"/>
        <w:gridCol w:w="1559"/>
        <w:gridCol w:w="1418"/>
        <w:gridCol w:w="1559"/>
        <w:gridCol w:w="1418"/>
      </w:tblGrid>
      <w:tr w:rsidR="00372C78" w:rsidRPr="00B57DAB" w:rsidTr="00372C78">
        <w:trPr>
          <w:trHeight w:val="13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2C78" w:rsidRPr="00B57DAB" w:rsidRDefault="00372C78" w:rsidP="00372C78">
            <w:pPr>
              <w:rPr>
                <w:rFonts w:ascii="GHEA Grapalat" w:hAnsi="GHEA Grapalat" w:cs="Calibri"/>
                <w:sz w:val="18"/>
                <w:szCs w:val="18"/>
              </w:rPr>
            </w:pPr>
            <w:r w:rsidRPr="00B57DAB">
              <w:rPr>
                <w:rFonts w:ascii="Courier New" w:hAnsi="Courier New" w:cs="Courier New"/>
                <w:sz w:val="18"/>
                <w:szCs w:val="18"/>
              </w:rPr>
              <w:t> </w:t>
            </w:r>
          </w:p>
        </w:tc>
        <w:tc>
          <w:tcPr>
            <w:tcW w:w="1559" w:type="dxa"/>
            <w:tcBorders>
              <w:top w:val="single" w:sz="4" w:space="0" w:color="auto"/>
              <w:left w:val="nil"/>
              <w:bottom w:val="single" w:sz="4" w:space="0" w:color="auto"/>
              <w:right w:val="single" w:sz="4" w:space="0" w:color="auto"/>
            </w:tcBorders>
            <w:shd w:val="clear" w:color="000000" w:fill="FFFFFF"/>
            <w:hideMark/>
          </w:tcPr>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 xml:space="preserve">2021թ. </w:t>
            </w:r>
          </w:p>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առաջին եռամսյակի</w:t>
            </w:r>
            <w:r w:rsidRPr="00B57DAB">
              <w:rPr>
                <w:rFonts w:ascii="GHEA Grapalat" w:hAnsi="GHEA Grapalat" w:cs="Calibri"/>
                <w:b/>
                <w:bCs/>
                <w:sz w:val="18"/>
                <w:szCs w:val="18"/>
              </w:rPr>
              <w:br/>
              <w:t>փաստ</w:t>
            </w:r>
          </w:p>
        </w:tc>
        <w:tc>
          <w:tcPr>
            <w:tcW w:w="1418" w:type="dxa"/>
            <w:tcBorders>
              <w:top w:val="single" w:sz="4" w:space="0" w:color="auto"/>
              <w:left w:val="nil"/>
              <w:bottom w:val="single" w:sz="4" w:space="0" w:color="auto"/>
              <w:right w:val="single" w:sz="4" w:space="0" w:color="auto"/>
            </w:tcBorders>
            <w:shd w:val="clear" w:color="000000" w:fill="FFFFFF"/>
            <w:hideMark/>
          </w:tcPr>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w:t>
            </w:r>
            <w:r w:rsidRPr="00B57DAB">
              <w:rPr>
                <w:rFonts w:ascii="GHEA Grapalat" w:hAnsi="GHEA Grapalat" w:cs="Calibri"/>
                <w:b/>
                <w:bCs/>
                <w:sz w:val="18"/>
                <w:szCs w:val="18"/>
              </w:rPr>
              <w:br/>
              <w:t>փաստ</w:t>
            </w:r>
          </w:p>
        </w:tc>
        <w:tc>
          <w:tcPr>
            <w:tcW w:w="1559" w:type="dxa"/>
            <w:tcBorders>
              <w:top w:val="single" w:sz="4" w:space="0" w:color="auto"/>
              <w:left w:val="nil"/>
              <w:bottom w:val="single" w:sz="4" w:space="0" w:color="auto"/>
              <w:right w:val="single" w:sz="4" w:space="0" w:color="auto"/>
            </w:tcBorders>
            <w:shd w:val="clear" w:color="000000" w:fill="FFFFFF"/>
            <w:hideMark/>
          </w:tcPr>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եռամսյակը</w:t>
            </w:r>
          </w:p>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2021թ. առաջին եռամսյակի նկատմամբ</w:t>
            </w:r>
          </w:p>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 xml:space="preserve"> (%)</w:t>
            </w:r>
          </w:p>
        </w:tc>
        <w:tc>
          <w:tcPr>
            <w:tcW w:w="1418" w:type="dxa"/>
            <w:tcBorders>
              <w:top w:val="single" w:sz="4" w:space="0" w:color="auto"/>
              <w:left w:val="nil"/>
              <w:bottom w:val="single" w:sz="4" w:space="0" w:color="auto"/>
              <w:right w:val="single" w:sz="4" w:space="0" w:color="auto"/>
            </w:tcBorders>
            <w:shd w:val="clear" w:color="000000" w:fill="FFFFFF"/>
          </w:tcPr>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2022թ. և 2021թ. տարբե-րությունը</w:t>
            </w:r>
          </w:p>
        </w:tc>
      </w:tr>
      <w:tr w:rsidR="00372C78" w:rsidRPr="00B57DAB" w:rsidTr="00372C78">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372C78" w:rsidRPr="00B57DAB" w:rsidRDefault="00372C78" w:rsidP="00372C78">
            <w:pPr>
              <w:rPr>
                <w:rFonts w:ascii="GHEA Grapalat" w:hAnsi="GHEA Grapalat" w:cs="Calibri"/>
                <w:b/>
                <w:bCs/>
                <w:sz w:val="18"/>
                <w:szCs w:val="18"/>
              </w:rPr>
            </w:pPr>
            <w:r w:rsidRPr="00B57DAB">
              <w:rPr>
                <w:rFonts w:ascii="GHEA Grapalat" w:hAnsi="GHEA Grapalat" w:cs="Calibri"/>
                <w:b/>
                <w:bCs/>
                <w:sz w:val="18"/>
                <w:szCs w:val="18"/>
              </w:rPr>
              <w:t>Հարկային եկամուտներ և պետական տուրքեր</w:t>
            </w:r>
          </w:p>
        </w:tc>
        <w:tc>
          <w:tcPr>
            <w:tcW w:w="1559" w:type="dxa"/>
            <w:tcBorders>
              <w:top w:val="nil"/>
              <w:left w:val="nil"/>
              <w:bottom w:val="single" w:sz="4" w:space="0" w:color="auto"/>
              <w:right w:val="single" w:sz="4" w:space="0" w:color="auto"/>
            </w:tcBorders>
            <w:shd w:val="clear" w:color="auto" w:fill="auto"/>
            <w:vAlign w:val="center"/>
            <w:hideMark/>
          </w:tcPr>
          <w:p w:rsidR="00372C78" w:rsidRPr="00B57DAB" w:rsidRDefault="00372C78" w:rsidP="00372C78">
            <w:pPr>
              <w:jc w:val="right"/>
              <w:rPr>
                <w:rFonts w:ascii="GHEA Grapalat" w:hAnsi="GHEA Grapalat" w:cs="Calibri"/>
                <w:b/>
                <w:bCs/>
                <w:sz w:val="18"/>
                <w:szCs w:val="18"/>
              </w:rPr>
            </w:pPr>
            <w:r w:rsidRPr="00B57DAB">
              <w:rPr>
                <w:rFonts w:ascii="GHEA Grapalat" w:hAnsi="GHEA Grapalat" w:cs="Calibri"/>
                <w:b/>
                <w:bCs/>
                <w:sz w:val="18"/>
                <w:szCs w:val="18"/>
              </w:rPr>
              <w:t>332.9</w:t>
            </w:r>
          </w:p>
        </w:tc>
        <w:tc>
          <w:tcPr>
            <w:tcW w:w="1418" w:type="dxa"/>
            <w:tcBorders>
              <w:top w:val="nil"/>
              <w:left w:val="nil"/>
              <w:bottom w:val="single" w:sz="4" w:space="0" w:color="auto"/>
              <w:right w:val="single" w:sz="4" w:space="0" w:color="auto"/>
            </w:tcBorders>
            <w:shd w:val="clear" w:color="auto" w:fill="auto"/>
            <w:vAlign w:val="center"/>
            <w:hideMark/>
          </w:tcPr>
          <w:p w:rsidR="00372C78" w:rsidRPr="00B57DAB" w:rsidRDefault="00372C78" w:rsidP="00372C78">
            <w:pPr>
              <w:jc w:val="right"/>
              <w:rPr>
                <w:rFonts w:ascii="GHEA Grapalat" w:hAnsi="GHEA Grapalat" w:cs="Calibri"/>
                <w:b/>
                <w:bCs/>
                <w:sz w:val="18"/>
                <w:szCs w:val="18"/>
              </w:rPr>
            </w:pPr>
            <w:r w:rsidRPr="00B57DAB">
              <w:rPr>
                <w:rFonts w:ascii="GHEA Grapalat" w:hAnsi="GHEA Grapalat" w:cs="Calibri"/>
                <w:b/>
                <w:bCs/>
                <w:sz w:val="18"/>
                <w:szCs w:val="18"/>
              </w:rPr>
              <w:t>400.6</w:t>
            </w:r>
          </w:p>
        </w:tc>
        <w:tc>
          <w:tcPr>
            <w:tcW w:w="1559"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b/>
                <w:bCs/>
                <w:sz w:val="18"/>
                <w:szCs w:val="18"/>
              </w:rPr>
            </w:pPr>
            <w:r w:rsidRPr="00B57DAB">
              <w:rPr>
                <w:rFonts w:ascii="GHEA Grapalat" w:hAnsi="GHEA Grapalat" w:cs="Calibri"/>
                <w:b/>
                <w:bCs/>
                <w:sz w:val="18"/>
                <w:szCs w:val="18"/>
              </w:rPr>
              <w:t>120.3</w:t>
            </w:r>
          </w:p>
        </w:tc>
        <w:tc>
          <w:tcPr>
            <w:tcW w:w="1418"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b/>
                <w:bCs/>
                <w:sz w:val="18"/>
                <w:szCs w:val="18"/>
              </w:rPr>
            </w:pPr>
            <w:r w:rsidRPr="00B57DAB">
              <w:rPr>
                <w:rFonts w:ascii="GHEA Grapalat" w:hAnsi="GHEA Grapalat" w:cs="Calibri"/>
                <w:b/>
                <w:bCs/>
                <w:sz w:val="18"/>
                <w:szCs w:val="18"/>
              </w:rPr>
              <w:t>67.7</w:t>
            </w:r>
          </w:p>
        </w:tc>
      </w:tr>
      <w:tr w:rsidR="00372C78" w:rsidRPr="00B57DAB" w:rsidTr="00372C78">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372C78" w:rsidRPr="00B57DAB" w:rsidRDefault="00372C78" w:rsidP="00372C78">
            <w:pPr>
              <w:rPr>
                <w:rFonts w:ascii="GHEA Grapalat" w:hAnsi="GHEA Grapalat" w:cs="Calibri"/>
                <w:b/>
                <w:bCs/>
                <w:sz w:val="18"/>
                <w:szCs w:val="18"/>
              </w:rPr>
            </w:pPr>
            <w:r w:rsidRPr="00B57DAB">
              <w:rPr>
                <w:rFonts w:ascii="GHEA Grapalat" w:hAnsi="GHEA Grapalat" w:cs="Calibri"/>
                <w:b/>
                <w:bCs/>
                <w:sz w:val="18"/>
                <w:szCs w:val="18"/>
              </w:rPr>
              <w:t>1. Հարկային եկամուտներ</w:t>
            </w:r>
          </w:p>
        </w:tc>
        <w:tc>
          <w:tcPr>
            <w:tcW w:w="1559" w:type="dxa"/>
            <w:tcBorders>
              <w:top w:val="nil"/>
              <w:left w:val="nil"/>
              <w:bottom w:val="single" w:sz="4" w:space="0" w:color="auto"/>
              <w:right w:val="single" w:sz="4" w:space="0" w:color="auto"/>
            </w:tcBorders>
            <w:shd w:val="clear" w:color="auto" w:fill="auto"/>
            <w:vAlign w:val="center"/>
            <w:hideMark/>
          </w:tcPr>
          <w:p w:rsidR="00372C78" w:rsidRPr="00B57DAB" w:rsidRDefault="00372C78" w:rsidP="00372C78">
            <w:pPr>
              <w:jc w:val="right"/>
              <w:rPr>
                <w:rFonts w:ascii="GHEA Grapalat" w:hAnsi="GHEA Grapalat" w:cs="Calibri"/>
                <w:b/>
                <w:bCs/>
                <w:sz w:val="18"/>
                <w:szCs w:val="18"/>
              </w:rPr>
            </w:pPr>
            <w:r w:rsidRPr="00B57DAB">
              <w:rPr>
                <w:rFonts w:ascii="GHEA Grapalat" w:hAnsi="GHEA Grapalat" w:cs="Calibri"/>
                <w:b/>
                <w:bCs/>
                <w:sz w:val="18"/>
                <w:szCs w:val="18"/>
              </w:rPr>
              <w:t>325.6</w:t>
            </w:r>
          </w:p>
        </w:tc>
        <w:tc>
          <w:tcPr>
            <w:tcW w:w="1418" w:type="dxa"/>
            <w:tcBorders>
              <w:top w:val="nil"/>
              <w:left w:val="nil"/>
              <w:bottom w:val="single" w:sz="4" w:space="0" w:color="auto"/>
              <w:right w:val="single" w:sz="4" w:space="0" w:color="auto"/>
            </w:tcBorders>
            <w:shd w:val="clear" w:color="auto" w:fill="auto"/>
            <w:vAlign w:val="center"/>
            <w:hideMark/>
          </w:tcPr>
          <w:p w:rsidR="00372C78" w:rsidRPr="00B57DAB" w:rsidRDefault="00372C78" w:rsidP="00372C78">
            <w:pPr>
              <w:jc w:val="right"/>
              <w:rPr>
                <w:rFonts w:ascii="GHEA Grapalat" w:hAnsi="GHEA Grapalat" w:cs="Calibri"/>
                <w:b/>
                <w:bCs/>
                <w:sz w:val="18"/>
                <w:szCs w:val="18"/>
              </w:rPr>
            </w:pPr>
            <w:r w:rsidRPr="00B57DAB">
              <w:rPr>
                <w:rFonts w:ascii="GHEA Grapalat" w:hAnsi="GHEA Grapalat" w:cs="Calibri"/>
                <w:b/>
                <w:bCs/>
                <w:sz w:val="18"/>
                <w:szCs w:val="18"/>
              </w:rPr>
              <w:t>376.8</w:t>
            </w:r>
          </w:p>
        </w:tc>
        <w:tc>
          <w:tcPr>
            <w:tcW w:w="1559"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b/>
                <w:bCs/>
                <w:sz w:val="18"/>
                <w:szCs w:val="18"/>
              </w:rPr>
            </w:pPr>
            <w:r w:rsidRPr="00B57DAB">
              <w:rPr>
                <w:rFonts w:ascii="GHEA Grapalat" w:hAnsi="GHEA Grapalat" w:cs="Calibri"/>
                <w:b/>
                <w:bCs/>
                <w:sz w:val="18"/>
                <w:szCs w:val="18"/>
              </w:rPr>
              <w:t>115.7</w:t>
            </w:r>
          </w:p>
        </w:tc>
        <w:tc>
          <w:tcPr>
            <w:tcW w:w="1418"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b/>
                <w:bCs/>
                <w:sz w:val="18"/>
                <w:szCs w:val="18"/>
              </w:rPr>
            </w:pPr>
            <w:r w:rsidRPr="00B57DAB">
              <w:rPr>
                <w:rFonts w:ascii="GHEA Grapalat" w:hAnsi="GHEA Grapalat" w:cs="Calibri"/>
                <w:b/>
                <w:bCs/>
                <w:sz w:val="18"/>
                <w:szCs w:val="18"/>
              </w:rPr>
              <w:t>51.2</w:t>
            </w:r>
          </w:p>
        </w:tc>
      </w:tr>
      <w:tr w:rsidR="00372C78" w:rsidRPr="00B57DAB" w:rsidTr="00372C78">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372C78" w:rsidRPr="00B57DAB" w:rsidRDefault="00372C78" w:rsidP="00372C78">
            <w:pPr>
              <w:ind w:firstLineChars="100" w:firstLine="180"/>
              <w:rPr>
                <w:rFonts w:ascii="GHEA Grapalat" w:hAnsi="GHEA Grapalat" w:cs="Calibri"/>
                <w:sz w:val="18"/>
                <w:szCs w:val="18"/>
              </w:rPr>
            </w:pPr>
            <w:r w:rsidRPr="00B57DAB">
              <w:rPr>
                <w:rFonts w:ascii="GHEA Grapalat" w:hAnsi="GHEA Grapalat" w:cs="Calibri"/>
                <w:sz w:val="18"/>
                <w:szCs w:val="18"/>
              </w:rPr>
              <w:t>ԱԱՀ</w:t>
            </w:r>
          </w:p>
        </w:tc>
        <w:tc>
          <w:tcPr>
            <w:tcW w:w="1559"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116.7</w:t>
            </w:r>
          </w:p>
        </w:tc>
        <w:tc>
          <w:tcPr>
            <w:tcW w:w="1418"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142.1</w:t>
            </w:r>
          </w:p>
        </w:tc>
        <w:tc>
          <w:tcPr>
            <w:tcW w:w="1559"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121.8</w:t>
            </w:r>
          </w:p>
        </w:tc>
        <w:tc>
          <w:tcPr>
            <w:tcW w:w="1418"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25.4</w:t>
            </w:r>
          </w:p>
        </w:tc>
      </w:tr>
      <w:tr w:rsidR="00372C78" w:rsidRPr="00B57DAB" w:rsidTr="00372C78">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372C78" w:rsidRPr="00B57DAB" w:rsidRDefault="00372C78" w:rsidP="00372C78">
            <w:pPr>
              <w:ind w:firstLineChars="100" w:firstLine="180"/>
              <w:rPr>
                <w:rFonts w:ascii="GHEA Grapalat" w:hAnsi="GHEA Grapalat" w:cs="Calibri"/>
                <w:sz w:val="18"/>
                <w:szCs w:val="18"/>
              </w:rPr>
            </w:pPr>
            <w:r w:rsidRPr="00B57DAB">
              <w:rPr>
                <w:rFonts w:ascii="GHEA Grapalat" w:hAnsi="GHEA Grapalat" w:cs="Calibri"/>
                <w:sz w:val="18"/>
                <w:szCs w:val="18"/>
              </w:rPr>
              <w:t>Ակցիզային հարկ</w:t>
            </w:r>
          </w:p>
        </w:tc>
        <w:tc>
          <w:tcPr>
            <w:tcW w:w="1559"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18.5</w:t>
            </w:r>
          </w:p>
        </w:tc>
        <w:tc>
          <w:tcPr>
            <w:tcW w:w="1418"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23.9</w:t>
            </w:r>
          </w:p>
        </w:tc>
        <w:tc>
          <w:tcPr>
            <w:tcW w:w="1559"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129.1</w:t>
            </w:r>
          </w:p>
        </w:tc>
        <w:tc>
          <w:tcPr>
            <w:tcW w:w="1418"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5.4</w:t>
            </w:r>
          </w:p>
        </w:tc>
      </w:tr>
      <w:tr w:rsidR="00372C78" w:rsidRPr="00B57DAB" w:rsidTr="00372C78">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372C78" w:rsidRPr="00B57DAB" w:rsidRDefault="00372C78" w:rsidP="00372C78">
            <w:pPr>
              <w:ind w:firstLineChars="100" w:firstLine="180"/>
              <w:rPr>
                <w:rFonts w:ascii="GHEA Grapalat" w:hAnsi="GHEA Grapalat" w:cs="Calibri"/>
                <w:sz w:val="18"/>
                <w:szCs w:val="18"/>
              </w:rPr>
            </w:pPr>
            <w:r w:rsidRPr="00B57DAB">
              <w:rPr>
                <w:rFonts w:ascii="GHEA Grapalat" w:hAnsi="GHEA Grapalat" w:cs="Calibri"/>
                <w:sz w:val="18"/>
                <w:szCs w:val="18"/>
              </w:rPr>
              <w:t>Շահութահարկ</w:t>
            </w:r>
          </w:p>
        </w:tc>
        <w:tc>
          <w:tcPr>
            <w:tcW w:w="1559"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24.3</w:t>
            </w:r>
          </w:p>
        </w:tc>
        <w:tc>
          <w:tcPr>
            <w:tcW w:w="1418"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37.8</w:t>
            </w:r>
          </w:p>
        </w:tc>
        <w:tc>
          <w:tcPr>
            <w:tcW w:w="1559"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155.7</w:t>
            </w:r>
          </w:p>
        </w:tc>
        <w:tc>
          <w:tcPr>
            <w:tcW w:w="1418"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13.5</w:t>
            </w:r>
          </w:p>
        </w:tc>
      </w:tr>
      <w:tr w:rsidR="00372C78" w:rsidRPr="00B57DAB" w:rsidTr="00372C78">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372C78" w:rsidRPr="00B57DAB" w:rsidRDefault="00372C78" w:rsidP="00372C78">
            <w:pPr>
              <w:ind w:firstLineChars="100" w:firstLine="180"/>
              <w:rPr>
                <w:rFonts w:ascii="GHEA Grapalat" w:hAnsi="GHEA Grapalat" w:cs="Calibri"/>
                <w:sz w:val="18"/>
                <w:szCs w:val="18"/>
              </w:rPr>
            </w:pPr>
            <w:r w:rsidRPr="00B57DAB">
              <w:rPr>
                <w:rFonts w:ascii="GHEA Grapalat" w:hAnsi="GHEA Grapalat" w:cs="Calibri"/>
                <w:sz w:val="18"/>
                <w:szCs w:val="18"/>
              </w:rPr>
              <w:t>Մաքսատուրք</w:t>
            </w:r>
          </w:p>
        </w:tc>
        <w:tc>
          <w:tcPr>
            <w:tcW w:w="1559"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19.6</w:t>
            </w:r>
          </w:p>
        </w:tc>
        <w:tc>
          <w:tcPr>
            <w:tcW w:w="1418"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13.4</w:t>
            </w:r>
          </w:p>
        </w:tc>
        <w:tc>
          <w:tcPr>
            <w:tcW w:w="1559"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68.2</w:t>
            </w:r>
          </w:p>
        </w:tc>
        <w:tc>
          <w:tcPr>
            <w:tcW w:w="1418"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(6.2)</w:t>
            </w:r>
          </w:p>
        </w:tc>
      </w:tr>
      <w:tr w:rsidR="00372C78" w:rsidRPr="00B57DAB" w:rsidTr="00372C78">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372C78" w:rsidRPr="00B57DAB" w:rsidRDefault="00372C78" w:rsidP="00372C78">
            <w:pPr>
              <w:ind w:firstLineChars="100" w:firstLine="180"/>
              <w:rPr>
                <w:rFonts w:ascii="GHEA Grapalat" w:hAnsi="GHEA Grapalat" w:cs="Calibri"/>
                <w:sz w:val="18"/>
                <w:szCs w:val="18"/>
              </w:rPr>
            </w:pPr>
            <w:r w:rsidRPr="00B57DAB">
              <w:rPr>
                <w:rFonts w:ascii="GHEA Grapalat" w:hAnsi="GHEA Grapalat" w:cs="Calibri"/>
                <w:sz w:val="18"/>
                <w:szCs w:val="18"/>
              </w:rPr>
              <w:t>Եկամտային հարկ</w:t>
            </w:r>
          </w:p>
        </w:tc>
        <w:tc>
          <w:tcPr>
            <w:tcW w:w="1559"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108.9</w:t>
            </w:r>
          </w:p>
        </w:tc>
        <w:tc>
          <w:tcPr>
            <w:tcW w:w="1418"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112.6</w:t>
            </w:r>
          </w:p>
        </w:tc>
        <w:tc>
          <w:tcPr>
            <w:tcW w:w="1559"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103.4</w:t>
            </w:r>
          </w:p>
        </w:tc>
        <w:tc>
          <w:tcPr>
            <w:tcW w:w="1418"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3.7</w:t>
            </w:r>
          </w:p>
        </w:tc>
      </w:tr>
      <w:tr w:rsidR="00372C78" w:rsidRPr="00B57DAB" w:rsidTr="00372C78">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372C78" w:rsidRPr="00B57DAB" w:rsidRDefault="00372C78" w:rsidP="00372C78">
            <w:pPr>
              <w:ind w:firstLineChars="100" w:firstLine="180"/>
              <w:rPr>
                <w:rFonts w:ascii="GHEA Grapalat" w:hAnsi="GHEA Grapalat" w:cs="Calibri"/>
                <w:sz w:val="18"/>
                <w:szCs w:val="18"/>
              </w:rPr>
            </w:pPr>
            <w:r w:rsidRPr="00B57DAB">
              <w:rPr>
                <w:rFonts w:ascii="GHEA Grapalat" w:hAnsi="GHEA Grapalat" w:cs="Calibri"/>
                <w:sz w:val="18"/>
                <w:szCs w:val="18"/>
              </w:rPr>
              <w:t>Շրջանառության հարկ</w:t>
            </w:r>
          </w:p>
        </w:tc>
        <w:tc>
          <w:tcPr>
            <w:tcW w:w="1559"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7.7</w:t>
            </w:r>
          </w:p>
        </w:tc>
        <w:tc>
          <w:tcPr>
            <w:tcW w:w="1418"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9.9</w:t>
            </w:r>
          </w:p>
        </w:tc>
        <w:tc>
          <w:tcPr>
            <w:tcW w:w="1559"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128.5</w:t>
            </w:r>
          </w:p>
        </w:tc>
        <w:tc>
          <w:tcPr>
            <w:tcW w:w="1418"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2.2</w:t>
            </w:r>
          </w:p>
        </w:tc>
      </w:tr>
      <w:tr w:rsidR="00372C78" w:rsidRPr="00B57DAB" w:rsidTr="00372C78">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372C78" w:rsidRPr="00B57DAB" w:rsidRDefault="00372C78" w:rsidP="00372C78">
            <w:pPr>
              <w:ind w:firstLineChars="100" w:firstLine="180"/>
              <w:rPr>
                <w:rFonts w:ascii="GHEA Grapalat" w:hAnsi="GHEA Grapalat" w:cs="Calibri"/>
                <w:sz w:val="18"/>
                <w:szCs w:val="18"/>
              </w:rPr>
            </w:pPr>
            <w:r w:rsidRPr="00B57DAB">
              <w:rPr>
                <w:rFonts w:ascii="GHEA Grapalat" w:hAnsi="GHEA Grapalat" w:cs="Calibri"/>
                <w:sz w:val="18"/>
                <w:szCs w:val="18"/>
              </w:rPr>
              <w:t>Սոցիալական վճար (կուտակային կենսաթոշակի գծով)</w:t>
            </w:r>
          </w:p>
        </w:tc>
        <w:tc>
          <w:tcPr>
            <w:tcW w:w="1559"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10.0</w:t>
            </w:r>
          </w:p>
        </w:tc>
        <w:tc>
          <w:tcPr>
            <w:tcW w:w="1418"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14.4</w:t>
            </w:r>
          </w:p>
        </w:tc>
        <w:tc>
          <w:tcPr>
            <w:tcW w:w="1559"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143.7</w:t>
            </w:r>
          </w:p>
        </w:tc>
        <w:tc>
          <w:tcPr>
            <w:tcW w:w="1418"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4.4</w:t>
            </w:r>
          </w:p>
        </w:tc>
      </w:tr>
      <w:tr w:rsidR="00372C78" w:rsidRPr="00B57DAB" w:rsidTr="00372C78">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372C78" w:rsidRPr="00B57DAB" w:rsidRDefault="00372C78" w:rsidP="00372C78">
            <w:pPr>
              <w:ind w:firstLineChars="100" w:firstLine="180"/>
              <w:rPr>
                <w:rFonts w:ascii="GHEA Grapalat" w:hAnsi="GHEA Grapalat" w:cs="Calibri"/>
                <w:sz w:val="18"/>
                <w:szCs w:val="18"/>
              </w:rPr>
            </w:pPr>
            <w:r w:rsidRPr="00B57DAB">
              <w:rPr>
                <w:rFonts w:ascii="GHEA Grapalat" w:hAnsi="GHEA Grapalat" w:cs="Calibri"/>
                <w:sz w:val="18"/>
                <w:szCs w:val="18"/>
              </w:rPr>
              <w:t>Բնապահպանական հարկ և բնօգտագործման վճար</w:t>
            </w:r>
          </w:p>
        </w:tc>
        <w:tc>
          <w:tcPr>
            <w:tcW w:w="1559"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11.0</w:t>
            </w:r>
          </w:p>
        </w:tc>
        <w:tc>
          <w:tcPr>
            <w:tcW w:w="1418"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10.4</w:t>
            </w:r>
          </w:p>
        </w:tc>
        <w:tc>
          <w:tcPr>
            <w:tcW w:w="1559"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94.6</w:t>
            </w:r>
          </w:p>
        </w:tc>
        <w:tc>
          <w:tcPr>
            <w:tcW w:w="1418"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(0.6)</w:t>
            </w:r>
          </w:p>
        </w:tc>
      </w:tr>
      <w:tr w:rsidR="00372C78" w:rsidRPr="00B57DAB" w:rsidTr="00372C78">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372C78" w:rsidRPr="00B57DAB" w:rsidRDefault="00372C78" w:rsidP="00372C78">
            <w:pPr>
              <w:ind w:firstLineChars="100" w:firstLine="180"/>
              <w:rPr>
                <w:rFonts w:ascii="GHEA Grapalat" w:hAnsi="GHEA Grapalat" w:cs="Calibri"/>
                <w:sz w:val="18"/>
                <w:szCs w:val="18"/>
              </w:rPr>
            </w:pPr>
            <w:r w:rsidRPr="00B57DAB">
              <w:rPr>
                <w:rFonts w:ascii="GHEA Grapalat" w:hAnsi="GHEA Grapalat" w:cs="Calibri"/>
                <w:sz w:val="18"/>
                <w:szCs w:val="18"/>
              </w:rPr>
              <w:t>Այլ հարկեր</w:t>
            </w:r>
          </w:p>
        </w:tc>
        <w:tc>
          <w:tcPr>
            <w:tcW w:w="1559"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8.9</w:t>
            </w:r>
          </w:p>
        </w:tc>
        <w:tc>
          <w:tcPr>
            <w:tcW w:w="1418"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12.3</w:t>
            </w:r>
          </w:p>
        </w:tc>
        <w:tc>
          <w:tcPr>
            <w:tcW w:w="1559"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137.8</w:t>
            </w:r>
          </w:p>
        </w:tc>
        <w:tc>
          <w:tcPr>
            <w:tcW w:w="1418"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 xml:space="preserve">3.4 </w:t>
            </w:r>
          </w:p>
        </w:tc>
      </w:tr>
      <w:tr w:rsidR="00372C78" w:rsidRPr="00B57DAB" w:rsidTr="00372C78">
        <w:trPr>
          <w:trHeight w:val="557"/>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372C78" w:rsidRPr="00B57DAB" w:rsidRDefault="00372C78" w:rsidP="00372C78">
            <w:pPr>
              <w:ind w:firstLineChars="100" w:firstLine="180"/>
              <w:rPr>
                <w:rFonts w:ascii="GHEA Grapalat" w:hAnsi="GHEA Grapalat" w:cs="Calibri"/>
                <w:sz w:val="18"/>
                <w:szCs w:val="18"/>
              </w:rPr>
            </w:pPr>
            <w:r w:rsidRPr="00B57DAB">
              <w:rPr>
                <w:rFonts w:ascii="GHEA Grapalat" w:hAnsi="GHEA Grapalat" w:cs="Calibri"/>
                <w:sz w:val="18"/>
                <w:szCs w:val="18"/>
              </w:rPr>
              <w:t>Հարկերի անցումային գերավճարից մարված հարկային պարտավորություններ</w:t>
            </w:r>
          </w:p>
        </w:tc>
        <w:tc>
          <w:tcPr>
            <w:tcW w:w="1559"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0.0</w:t>
            </w:r>
          </w:p>
        </w:tc>
        <w:tc>
          <w:tcPr>
            <w:tcW w:w="1418"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0.0</w:t>
            </w:r>
          </w:p>
        </w:tc>
        <w:tc>
          <w:tcPr>
            <w:tcW w:w="1559"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92.0</w:t>
            </w:r>
          </w:p>
        </w:tc>
        <w:tc>
          <w:tcPr>
            <w:tcW w:w="1418"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 xml:space="preserve">0.0 </w:t>
            </w:r>
          </w:p>
        </w:tc>
      </w:tr>
      <w:tr w:rsidR="00372C78" w:rsidRPr="00B57DAB" w:rsidTr="00372C78">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372C78" w:rsidRPr="00B57DAB" w:rsidRDefault="00372C78" w:rsidP="00372C78">
            <w:pPr>
              <w:rPr>
                <w:rFonts w:ascii="GHEA Grapalat" w:hAnsi="GHEA Grapalat" w:cs="Calibri"/>
                <w:b/>
                <w:bCs/>
                <w:sz w:val="18"/>
                <w:szCs w:val="18"/>
              </w:rPr>
            </w:pPr>
            <w:r w:rsidRPr="00B57DAB">
              <w:rPr>
                <w:rFonts w:ascii="GHEA Grapalat" w:hAnsi="GHEA Grapalat" w:cs="Calibri"/>
                <w:b/>
                <w:bCs/>
                <w:sz w:val="18"/>
                <w:szCs w:val="18"/>
              </w:rPr>
              <w:t>2. Պետական տուրք</w:t>
            </w:r>
          </w:p>
        </w:tc>
        <w:tc>
          <w:tcPr>
            <w:tcW w:w="1559" w:type="dxa"/>
            <w:tcBorders>
              <w:top w:val="nil"/>
              <w:left w:val="nil"/>
              <w:bottom w:val="single" w:sz="4" w:space="0" w:color="auto"/>
              <w:right w:val="single" w:sz="4" w:space="0" w:color="auto"/>
            </w:tcBorders>
            <w:shd w:val="clear" w:color="auto" w:fill="auto"/>
            <w:vAlign w:val="center"/>
            <w:hideMark/>
          </w:tcPr>
          <w:p w:rsidR="00372C78" w:rsidRPr="00B57DAB" w:rsidRDefault="00372C78" w:rsidP="00372C78">
            <w:pPr>
              <w:jc w:val="right"/>
              <w:rPr>
                <w:rFonts w:ascii="GHEA Grapalat" w:hAnsi="GHEA Grapalat" w:cs="Calibri"/>
                <w:b/>
                <w:sz w:val="18"/>
                <w:szCs w:val="18"/>
              </w:rPr>
            </w:pPr>
            <w:r w:rsidRPr="00B57DAB">
              <w:rPr>
                <w:rFonts w:ascii="GHEA Grapalat" w:hAnsi="GHEA Grapalat" w:cs="Calibri"/>
                <w:b/>
                <w:sz w:val="18"/>
                <w:szCs w:val="18"/>
              </w:rPr>
              <w:t>7.3</w:t>
            </w:r>
          </w:p>
        </w:tc>
        <w:tc>
          <w:tcPr>
            <w:tcW w:w="1418" w:type="dxa"/>
            <w:tcBorders>
              <w:top w:val="nil"/>
              <w:left w:val="nil"/>
              <w:bottom w:val="single" w:sz="4" w:space="0" w:color="auto"/>
              <w:right w:val="single" w:sz="4" w:space="0" w:color="auto"/>
            </w:tcBorders>
            <w:shd w:val="clear" w:color="auto" w:fill="auto"/>
            <w:vAlign w:val="center"/>
            <w:hideMark/>
          </w:tcPr>
          <w:p w:rsidR="00372C78" w:rsidRPr="00B57DAB" w:rsidRDefault="00372C78" w:rsidP="00372C78">
            <w:pPr>
              <w:jc w:val="right"/>
              <w:rPr>
                <w:rFonts w:ascii="GHEA Grapalat" w:hAnsi="GHEA Grapalat" w:cs="Calibri"/>
                <w:b/>
                <w:sz w:val="18"/>
                <w:szCs w:val="18"/>
              </w:rPr>
            </w:pPr>
            <w:r w:rsidRPr="00B57DAB">
              <w:rPr>
                <w:rFonts w:ascii="GHEA Grapalat" w:hAnsi="GHEA Grapalat" w:cs="Calibri"/>
                <w:b/>
                <w:sz w:val="18"/>
                <w:szCs w:val="18"/>
              </w:rPr>
              <w:t>23.7</w:t>
            </w:r>
          </w:p>
        </w:tc>
        <w:tc>
          <w:tcPr>
            <w:tcW w:w="1559"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b/>
                <w:sz w:val="18"/>
                <w:szCs w:val="18"/>
              </w:rPr>
            </w:pPr>
            <w:r w:rsidRPr="00B57DAB">
              <w:rPr>
                <w:rFonts w:ascii="GHEA Grapalat" w:hAnsi="GHEA Grapalat" w:cs="Calibri"/>
                <w:b/>
                <w:sz w:val="18"/>
                <w:szCs w:val="18"/>
              </w:rPr>
              <w:t>326.0</w:t>
            </w:r>
          </w:p>
        </w:tc>
        <w:tc>
          <w:tcPr>
            <w:tcW w:w="1418"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b/>
                <w:sz w:val="18"/>
                <w:szCs w:val="18"/>
              </w:rPr>
            </w:pPr>
            <w:r w:rsidRPr="00B57DAB">
              <w:rPr>
                <w:rFonts w:ascii="GHEA Grapalat" w:hAnsi="GHEA Grapalat" w:cs="Calibri"/>
                <w:b/>
                <w:sz w:val="18"/>
                <w:szCs w:val="18"/>
              </w:rPr>
              <w:t xml:space="preserve">16.5 </w:t>
            </w:r>
          </w:p>
        </w:tc>
      </w:tr>
      <w:tr w:rsidR="00372C78" w:rsidRPr="00B57DAB" w:rsidTr="00372C78">
        <w:trPr>
          <w:trHeight w:val="315"/>
        </w:trPr>
        <w:tc>
          <w:tcPr>
            <w:tcW w:w="4219" w:type="dxa"/>
            <w:tcBorders>
              <w:top w:val="nil"/>
              <w:left w:val="single" w:sz="4" w:space="0" w:color="auto"/>
              <w:bottom w:val="single" w:sz="4" w:space="0" w:color="auto"/>
              <w:right w:val="single" w:sz="4" w:space="0" w:color="auto"/>
            </w:tcBorders>
            <w:shd w:val="clear" w:color="auto" w:fill="auto"/>
            <w:hideMark/>
          </w:tcPr>
          <w:p w:rsidR="00372C78" w:rsidRPr="00B57DAB" w:rsidRDefault="00372C78" w:rsidP="00372C78">
            <w:pPr>
              <w:rPr>
                <w:rFonts w:ascii="GHEA Grapalat" w:hAnsi="GHEA Grapalat" w:cs="Calibri"/>
                <w:b/>
                <w:bCs/>
                <w:sz w:val="18"/>
                <w:szCs w:val="18"/>
              </w:rPr>
            </w:pPr>
            <w:r w:rsidRPr="00B57DAB">
              <w:rPr>
                <w:rFonts w:ascii="GHEA Grapalat" w:hAnsi="GHEA Grapalat" w:cs="Calibri"/>
                <w:b/>
                <w:bCs/>
                <w:sz w:val="18"/>
                <w:szCs w:val="18"/>
              </w:rPr>
              <w:t>Կշիռն ընդամենը հարկերի և տուրքերի մեջ</w:t>
            </w:r>
          </w:p>
        </w:tc>
        <w:tc>
          <w:tcPr>
            <w:tcW w:w="1559" w:type="dxa"/>
            <w:tcBorders>
              <w:top w:val="nil"/>
              <w:left w:val="nil"/>
              <w:bottom w:val="single" w:sz="4" w:space="0" w:color="auto"/>
              <w:right w:val="single" w:sz="4" w:space="0" w:color="auto"/>
            </w:tcBorders>
            <w:shd w:val="clear" w:color="auto" w:fill="auto"/>
            <w:vAlign w:val="bottom"/>
            <w:hideMark/>
          </w:tcPr>
          <w:p w:rsidR="00372C78" w:rsidRPr="00B57DAB" w:rsidRDefault="00372C78" w:rsidP="00372C78">
            <w:pPr>
              <w:jc w:val="right"/>
              <w:rPr>
                <w:rFonts w:ascii="GHEA Grapalat" w:hAnsi="GHEA Grapalat" w:cs="Calibri"/>
                <w:b/>
                <w:bCs/>
                <w:sz w:val="18"/>
                <w:szCs w:val="18"/>
              </w:rPr>
            </w:pPr>
            <w:r w:rsidRPr="00B57DAB">
              <w:rPr>
                <w:rFonts w:ascii="Courier New" w:hAnsi="Courier New" w:cs="Courier New"/>
                <w:b/>
                <w:bCs/>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372C78" w:rsidRPr="00B57DAB" w:rsidRDefault="00372C78" w:rsidP="00372C78">
            <w:pPr>
              <w:jc w:val="right"/>
              <w:rPr>
                <w:rFonts w:ascii="GHEA Grapalat" w:hAnsi="GHEA Grapalat" w:cs="Calibri"/>
                <w:color w:val="000000"/>
                <w:sz w:val="18"/>
                <w:szCs w:val="18"/>
              </w:rPr>
            </w:pPr>
            <w:r w:rsidRPr="00B57DAB">
              <w:rPr>
                <w:rFonts w:ascii="Courier New" w:hAnsi="Courier New" w:cs="Courier New"/>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rsidR="00372C78" w:rsidRPr="00B57DAB" w:rsidRDefault="00372C78" w:rsidP="00372C78">
            <w:pPr>
              <w:jc w:val="right"/>
              <w:rPr>
                <w:rFonts w:ascii="GHEA Grapalat" w:hAnsi="GHEA Grapalat" w:cs="Calibri"/>
                <w:color w:val="000000"/>
                <w:sz w:val="18"/>
                <w:szCs w:val="18"/>
              </w:rPr>
            </w:pPr>
            <w:r w:rsidRPr="00B57DAB">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372C78" w:rsidRPr="00B57DAB" w:rsidRDefault="00372C78" w:rsidP="00372C78">
            <w:pPr>
              <w:jc w:val="right"/>
              <w:rPr>
                <w:rFonts w:ascii="GHEA Grapalat" w:hAnsi="GHEA Grapalat" w:cs="Courier New"/>
                <w:color w:val="000000"/>
                <w:sz w:val="18"/>
                <w:szCs w:val="18"/>
              </w:rPr>
            </w:pPr>
          </w:p>
        </w:tc>
      </w:tr>
      <w:tr w:rsidR="00372C78" w:rsidRPr="00B57DAB" w:rsidTr="00372C78">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372C78" w:rsidRPr="00B57DAB" w:rsidRDefault="00372C78" w:rsidP="00372C78">
            <w:pPr>
              <w:rPr>
                <w:rFonts w:ascii="GHEA Grapalat" w:hAnsi="GHEA Grapalat" w:cs="Calibri"/>
                <w:b/>
                <w:bCs/>
                <w:sz w:val="18"/>
                <w:szCs w:val="18"/>
              </w:rPr>
            </w:pPr>
            <w:r w:rsidRPr="00B57DAB">
              <w:rPr>
                <w:rFonts w:ascii="GHEA Grapalat" w:hAnsi="GHEA Grapalat" w:cs="Calibri"/>
                <w:b/>
                <w:bCs/>
                <w:sz w:val="18"/>
                <w:szCs w:val="18"/>
              </w:rPr>
              <w:t>1. Հարկային եկամուտներ</w:t>
            </w:r>
          </w:p>
        </w:tc>
        <w:tc>
          <w:tcPr>
            <w:tcW w:w="1559" w:type="dxa"/>
            <w:tcBorders>
              <w:top w:val="nil"/>
              <w:left w:val="nil"/>
              <w:bottom w:val="single" w:sz="4" w:space="0" w:color="auto"/>
              <w:right w:val="single" w:sz="4" w:space="0" w:color="auto"/>
            </w:tcBorders>
            <w:shd w:val="clear" w:color="auto" w:fill="auto"/>
            <w:vAlign w:val="center"/>
            <w:hideMark/>
          </w:tcPr>
          <w:p w:rsidR="00372C78" w:rsidRPr="00B57DAB" w:rsidRDefault="00372C78" w:rsidP="00372C78">
            <w:pPr>
              <w:jc w:val="right"/>
              <w:rPr>
                <w:rFonts w:ascii="GHEA Grapalat" w:hAnsi="GHEA Grapalat" w:cs="Calibri"/>
                <w:b/>
                <w:bCs/>
                <w:sz w:val="18"/>
                <w:szCs w:val="18"/>
              </w:rPr>
            </w:pPr>
            <w:r w:rsidRPr="00B57DAB">
              <w:rPr>
                <w:rFonts w:ascii="GHEA Grapalat" w:hAnsi="GHEA Grapalat" w:cs="Calibri"/>
                <w:b/>
                <w:bCs/>
                <w:sz w:val="18"/>
                <w:szCs w:val="18"/>
              </w:rPr>
              <w:t>97.8</w:t>
            </w:r>
          </w:p>
        </w:tc>
        <w:tc>
          <w:tcPr>
            <w:tcW w:w="1418" w:type="dxa"/>
            <w:tcBorders>
              <w:top w:val="nil"/>
              <w:left w:val="nil"/>
              <w:bottom w:val="single" w:sz="4" w:space="0" w:color="auto"/>
              <w:right w:val="single" w:sz="4" w:space="0" w:color="auto"/>
            </w:tcBorders>
            <w:shd w:val="clear" w:color="auto" w:fill="auto"/>
            <w:vAlign w:val="center"/>
            <w:hideMark/>
          </w:tcPr>
          <w:p w:rsidR="00372C78" w:rsidRPr="00B57DAB" w:rsidRDefault="00372C78" w:rsidP="00372C78">
            <w:pPr>
              <w:jc w:val="right"/>
              <w:rPr>
                <w:rFonts w:ascii="GHEA Grapalat" w:hAnsi="GHEA Grapalat" w:cs="Calibri"/>
                <w:b/>
                <w:bCs/>
                <w:sz w:val="18"/>
                <w:szCs w:val="18"/>
              </w:rPr>
            </w:pPr>
            <w:r w:rsidRPr="00B57DAB">
              <w:rPr>
                <w:rFonts w:ascii="GHEA Grapalat" w:hAnsi="GHEA Grapalat" w:cs="Calibri"/>
                <w:b/>
                <w:bCs/>
                <w:sz w:val="18"/>
                <w:szCs w:val="18"/>
              </w:rPr>
              <w:t>94.1</w:t>
            </w:r>
          </w:p>
        </w:tc>
        <w:tc>
          <w:tcPr>
            <w:tcW w:w="1559" w:type="dxa"/>
            <w:tcBorders>
              <w:top w:val="nil"/>
              <w:left w:val="nil"/>
              <w:bottom w:val="single" w:sz="4" w:space="0" w:color="auto"/>
              <w:right w:val="single" w:sz="4" w:space="0" w:color="auto"/>
            </w:tcBorders>
            <w:shd w:val="clear" w:color="auto" w:fill="auto"/>
            <w:noWrap/>
            <w:vAlign w:val="bottom"/>
            <w:hideMark/>
          </w:tcPr>
          <w:p w:rsidR="00372C78" w:rsidRPr="00B57DAB" w:rsidRDefault="00372C78" w:rsidP="00372C78">
            <w:pPr>
              <w:jc w:val="right"/>
              <w:rPr>
                <w:rFonts w:ascii="GHEA Grapalat" w:hAnsi="GHEA Grapalat" w:cs="Calibri"/>
                <w:color w:val="000000"/>
                <w:sz w:val="18"/>
                <w:szCs w:val="18"/>
              </w:rPr>
            </w:pPr>
            <w:r w:rsidRPr="00B57DAB">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372C78" w:rsidRPr="00B57DAB" w:rsidRDefault="00372C78" w:rsidP="00372C78">
            <w:pPr>
              <w:jc w:val="right"/>
              <w:rPr>
                <w:rFonts w:ascii="Courier New" w:hAnsi="Courier New" w:cs="Courier New"/>
                <w:color w:val="000000"/>
                <w:sz w:val="18"/>
                <w:szCs w:val="18"/>
              </w:rPr>
            </w:pPr>
          </w:p>
        </w:tc>
      </w:tr>
      <w:tr w:rsidR="00372C78" w:rsidRPr="00B57DAB" w:rsidTr="00372C78">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372C78" w:rsidRPr="00B57DAB" w:rsidRDefault="00372C78" w:rsidP="00372C78">
            <w:pPr>
              <w:ind w:firstLineChars="100" w:firstLine="180"/>
              <w:rPr>
                <w:rFonts w:ascii="GHEA Grapalat" w:hAnsi="GHEA Grapalat" w:cs="Calibri"/>
                <w:sz w:val="18"/>
                <w:szCs w:val="18"/>
              </w:rPr>
            </w:pPr>
            <w:r w:rsidRPr="00B57DAB">
              <w:rPr>
                <w:rFonts w:ascii="GHEA Grapalat" w:hAnsi="GHEA Grapalat" w:cs="Calibri"/>
                <w:sz w:val="18"/>
                <w:szCs w:val="18"/>
              </w:rPr>
              <w:t>ԱԱՀ</w:t>
            </w:r>
          </w:p>
        </w:tc>
        <w:tc>
          <w:tcPr>
            <w:tcW w:w="1559"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35.0</w:t>
            </w:r>
          </w:p>
        </w:tc>
        <w:tc>
          <w:tcPr>
            <w:tcW w:w="1418"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35.5</w:t>
            </w:r>
          </w:p>
        </w:tc>
        <w:tc>
          <w:tcPr>
            <w:tcW w:w="1559" w:type="dxa"/>
            <w:tcBorders>
              <w:top w:val="nil"/>
              <w:left w:val="nil"/>
              <w:bottom w:val="single" w:sz="4" w:space="0" w:color="auto"/>
              <w:right w:val="single" w:sz="4" w:space="0" w:color="auto"/>
            </w:tcBorders>
            <w:shd w:val="clear" w:color="auto" w:fill="auto"/>
            <w:noWrap/>
            <w:vAlign w:val="bottom"/>
            <w:hideMark/>
          </w:tcPr>
          <w:p w:rsidR="00372C78" w:rsidRPr="00B57DAB" w:rsidRDefault="00372C78" w:rsidP="00372C78">
            <w:pPr>
              <w:jc w:val="right"/>
              <w:rPr>
                <w:rFonts w:ascii="GHEA Grapalat" w:hAnsi="GHEA Grapalat" w:cs="Calibri"/>
                <w:color w:val="000000"/>
                <w:sz w:val="18"/>
                <w:szCs w:val="18"/>
              </w:rPr>
            </w:pPr>
            <w:r w:rsidRPr="00B57DAB">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372C78" w:rsidRPr="00B57DAB" w:rsidRDefault="00372C78" w:rsidP="00372C78">
            <w:pPr>
              <w:jc w:val="right"/>
              <w:rPr>
                <w:rFonts w:ascii="Courier New" w:hAnsi="Courier New" w:cs="Courier New"/>
                <w:color w:val="000000"/>
                <w:sz w:val="18"/>
                <w:szCs w:val="18"/>
              </w:rPr>
            </w:pPr>
          </w:p>
        </w:tc>
      </w:tr>
      <w:tr w:rsidR="00372C78" w:rsidRPr="00B57DAB" w:rsidTr="00372C78">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372C78" w:rsidRPr="00B57DAB" w:rsidRDefault="00372C78" w:rsidP="00372C78">
            <w:pPr>
              <w:ind w:firstLineChars="100" w:firstLine="180"/>
              <w:rPr>
                <w:rFonts w:ascii="GHEA Grapalat" w:hAnsi="GHEA Grapalat" w:cs="Calibri"/>
                <w:sz w:val="18"/>
                <w:szCs w:val="18"/>
              </w:rPr>
            </w:pPr>
            <w:r w:rsidRPr="00B57DAB">
              <w:rPr>
                <w:rFonts w:ascii="GHEA Grapalat" w:hAnsi="GHEA Grapalat" w:cs="Calibri"/>
                <w:sz w:val="18"/>
                <w:szCs w:val="18"/>
              </w:rPr>
              <w:t>Ակցիզային հարկ</w:t>
            </w:r>
          </w:p>
        </w:tc>
        <w:tc>
          <w:tcPr>
            <w:tcW w:w="1559"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5.6</w:t>
            </w:r>
          </w:p>
        </w:tc>
        <w:tc>
          <w:tcPr>
            <w:tcW w:w="1418"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6.0</w:t>
            </w:r>
          </w:p>
        </w:tc>
        <w:tc>
          <w:tcPr>
            <w:tcW w:w="1559" w:type="dxa"/>
            <w:tcBorders>
              <w:top w:val="nil"/>
              <w:left w:val="nil"/>
              <w:bottom w:val="single" w:sz="4" w:space="0" w:color="auto"/>
              <w:right w:val="single" w:sz="4" w:space="0" w:color="auto"/>
            </w:tcBorders>
            <w:shd w:val="clear" w:color="auto" w:fill="auto"/>
            <w:noWrap/>
            <w:vAlign w:val="bottom"/>
            <w:hideMark/>
          </w:tcPr>
          <w:p w:rsidR="00372C78" w:rsidRPr="00B57DAB" w:rsidRDefault="00372C78" w:rsidP="00372C78">
            <w:pPr>
              <w:jc w:val="right"/>
              <w:rPr>
                <w:rFonts w:ascii="GHEA Grapalat" w:hAnsi="GHEA Grapalat" w:cs="Calibri"/>
                <w:color w:val="000000"/>
                <w:sz w:val="18"/>
                <w:szCs w:val="18"/>
              </w:rPr>
            </w:pPr>
            <w:r w:rsidRPr="00B57DAB">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372C78" w:rsidRPr="00B57DAB" w:rsidRDefault="00372C78" w:rsidP="00372C78">
            <w:pPr>
              <w:jc w:val="right"/>
              <w:rPr>
                <w:rFonts w:ascii="Courier New" w:hAnsi="Courier New" w:cs="Courier New"/>
                <w:color w:val="000000"/>
                <w:sz w:val="18"/>
                <w:szCs w:val="18"/>
              </w:rPr>
            </w:pPr>
          </w:p>
        </w:tc>
      </w:tr>
      <w:tr w:rsidR="00372C78" w:rsidRPr="00B57DAB" w:rsidTr="00372C78">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372C78" w:rsidRPr="00B57DAB" w:rsidRDefault="00372C78" w:rsidP="00372C78">
            <w:pPr>
              <w:ind w:firstLineChars="100" w:firstLine="180"/>
              <w:rPr>
                <w:rFonts w:ascii="GHEA Grapalat" w:hAnsi="GHEA Grapalat" w:cs="Calibri"/>
                <w:sz w:val="18"/>
                <w:szCs w:val="18"/>
              </w:rPr>
            </w:pPr>
            <w:r w:rsidRPr="00B57DAB">
              <w:rPr>
                <w:rFonts w:ascii="GHEA Grapalat" w:hAnsi="GHEA Grapalat" w:cs="Calibri"/>
                <w:sz w:val="18"/>
                <w:szCs w:val="18"/>
              </w:rPr>
              <w:t>Շահութահարկ</w:t>
            </w:r>
          </w:p>
        </w:tc>
        <w:tc>
          <w:tcPr>
            <w:tcW w:w="1559"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7.3</w:t>
            </w:r>
          </w:p>
        </w:tc>
        <w:tc>
          <w:tcPr>
            <w:tcW w:w="1418"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9.4</w:t>
            </w:r>
          </w:p>
        </w:tc>
        <w:tc>
          <w:tcPr>
            <w:tcW w:w="1559" w:type="dxa"/>
            <w:tcBorders>
              <w:top w:val="nil"/>
              <w:left w:val="nil"/>
              <w:bottom w:val="single" w:sz="4" w:space="0" w:color="auto"/>
              <w:right w:val="single" w:sz="4" w:space="0" w:color="auto"/>
            </w:tcBorders>
            <w:shd w:val="clear" w:color="auto" w:fill="auto"/>
            <w:noWrap/>
            <w:vAlign w:val="bottom"/>
            <w:hideMark/>
          </w:tcPr>
          <w:p w:rsidR="00372C78" w:rsidRPr="00B57DAB" w:rsidRDefault="00372C78" w:rsidP="00372C78">
            <w:pPr>
              <w:jc w:val="right"/>
              <w:rPr>
                <w:rFonts w:ascii="GHEA Grapalat" w:hAnsi="GHEA Grapalat" w:cs="Calibri"/>
                <w:color w:val="000000"/>
                <w:sz w:val="18"/>
                <w:szCs w:val="18"/>
              </w:rPr>
            </w:pPr>
            <w:r w:rsidRPr="00B57DAB">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372C78" w:rsidRPr="00B57DAB" w:rsidRDefault="00372C78" w:rsidP="00372C78">
            <w:pPr>
              <w:jc w:val="right"/>
              <w:rPr>
                <w:rFonts w:ascii="Courier New" w:hAnsi="Courier New" w:cs="Courier New"/>
                <w:color w:val="000000"/>
                <w:sz w:val="18"/>
                <w:szCs w:val="18"/>
              </w:rPr>
            </w:pPr>
          </w:p>
        </w:tc>
      </w:tr>
      <w:tr w:rsidR="00372C78" w:rsidRPr="00B57DAB" w:rsidTr="00372C78">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372C78" w:rsidRPr="00B57DAB" w:rsidRDefault="00372C78" w:rsidP="00372C78">
            <w:pPr>
              <w:ind w:firstLineChars="100" w:firstLine="180"/>
              <w:rPr>
                <w:rFonts w:ascii="GHEA Grapalat" w:hAnsi="GHEA Grapalat" w:cs="Calibri"/>
                <w:sz w:val="18"/>
                <w:szCs w:val="18"/>
              </w:rPr>
            </w:pPr>
            <w:r w:rsidRPr="00B57DAB">
              <w:rPr>
                <w:rFonts w:ascii="GHEA Grapalat" w:hAnsi="GHEA Grapalat" w:cs="Calibri"/>
                <w:sz w:val="18"/>
                <w:szCs w:val="18"/>
              </w:rPr>
              <w:t>Մաքսատուրք</w:t>
            </w:r>
          </w:p>
        </w:tc>
        <w:tc>
          <w:tcPr>
            <w:tcW w:w="1559"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5.9</w:t>
            </w:r>
          </w:p>
        </w:tc>
        <w:tc>
          <w:tcPr>
            <w:tcW w:w="1418"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3.3</w:t>
            </w:r>
          </w:p>
        </w:tc>
        <w:tc>
          <w:tcPr>
            <w:tcW w:w="1559" w:type="dxa"/>
            <w:tcBorders>
              <w:top w:val="nil"/>
              <w:left w:val="nil"/>
              <w:bottom w:val="single" w:sz="4" w:space="0" w:color="auto"/>
              <w:right w:val="single" w:sz="4" w:space="0" w:color="auto"/>
            </w:tcBorders>
            <w:shd w:val="clear" w:color="auto" w:fill="auto"/>
            <w:noWrap/>
            <w:vAlign w:val="bottom"/>
            <w:hideMark/>
          </w:tcPr>
          <w:p w:rsidR="00372C78" w:rsidRPr="00B57DAB" w:rsidRDefault="00372C78" w:rsidP="00372C78">
            <w:pPr>
              <w:jc w:val="right"/>
              <w:rPr>
                <w:rFonts w:ascii="GHEA Grapalat" w:hAnsi="GHEA Grapalat" w:cs="Calibri"/>
                <w:color w:val="000000"/>
                <w:sz w:val="18"/>
                <w:szCs w:val="18"/>
              </w:rPr>
            </w:pPr>
            <w:r w:rsidRPr="00B57DAB">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372C78" w:rsidRPr="00B57DAB" w:rsidRDefault="00372C78" w:rsidP="00372C78">
            <w:pPr>
              <w:jc w:val="right"/>
              <w:rPr>
                <w:rFonts w:ascii="Courier New" w:hAnsi="Courier New" w:cs="Courier New"/>
                <w:color w:val="000000"/>
                <w:sz w:val="18"/>
                <w:szCs w:val="18"/>
              </w:rPr>
            </w:pPr>
          </w:p>
        </w:tc>
      </w:tr>
      <w:tr w:rsidR="00372C78" w:rsidRPr="00B57DAB" w:rsidTr="00372C78">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372C78" w:rsidRPr="00B57DAB" w:rsidRDefault="00372C78" w:rsidP="00372C78">
            <w:pPr>
              <w:ind w:firstLineChars="100" w:firstLine="180"/>
              <w:rPr>
                <w:rFonts w:ascii="GHEA Grapalat" w:hAnsi="GHEA Grapalat" w:cs="Calibri"/>
                <w:sz w:val="18"/>
                <w:szCs w:val="18"/>
              </w:rPr>
            </w:pPr>
            <w:r w:rsidRPr="00B57DAB">
              <w:rPr>
                <w:rFonts w:ascii="GHEA Grapalat" w:hAnsi="GHEA Grapalat" w:cs="Calibri"/>
                <w:sz w:val="18"/>
                <w:szCs w:val="18"/>
              </w:rPr>
              <w:t>Եկամտային հարկ</w:t>
            </w:r>
          </w:p>
        </w:tc>
        <w:tc>
          <w:tcPr>
            <w:tcW w:w="1559"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32.7</w:t>
            </w:r>
          </w:p>
        </w:tc>
        <w:tc>
          <w:tcPr>
            <w:tcW w:w="1418"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28.1</w:t>
            </w:r>
          </w:p>
        </w:tc>
        <w:tc>
          <w:tcPr>
            <w:tcW w:w="1559" w:type="dxa"/>
            <w:tcBorders>
              <w:top w:val="nil"/>
              <w:left w:val="nil"/>
              <w:bottom w:val="single" w:sz="4" w:space="0" w:color="auto"/>
              <w:right w:val="single" w:sz="4" w:space="0" w:color="auto"/>
            </w:tcBorders>
            <w:shd w:val="clear" w:color="auto" w:fill="auto"/>
            <w:noWrap/>
            <w:vAlign w:val="bottom"/>
            <w:hideMark/>
          </w:tcPr>
          <w:p w:rsidR="00372C78" w:rsidRPr="00B57DAB" w:rsidRDefault="00372C78" w:rsidP="00372C78">
            <w:pPr>
              <w:jc w:val="right"/>
              <w:rPr>
                <w:rFonts w:ascii="GHEA Grapalat" w:hAnsi="GHEA Grapalat" w:cs="Calibri"/>
                <w:color w:val="000000"/>
                <w:sz w:val="18"/>
                <w:szCs w:val="18"/>
              </w:rPr>
            </w:pPr>
            <w:r w:rsidRPr="00B57DAB">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372C78" w:rsidRPr="00B57DAB" w:rsidRDefault="00372C78" w:rsidP="00372C78">
            <w:pPr>
              <w:jc w:val="right"/>
              <w:rPr>
                <w:rFonts w:ascii="Courier New" w:hAnsi="Courier New" w:cs="Courier New"/>
                <w:color w:val="000000"/>
                <w:sz w:val="18"/>
                <w:szCs w:val="18"/>
              </w:rPr>
            </w:pPr>
          </w:p>
        </w:tc>
      </w:tr>
      <w:tr w:rsidR="00372C78" w:rsidRPr="00B57DAB" w:rsidTr="00372C78">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372C78" w:rsidRPr="00B57DAB" w:rsidRDefault="00372C78" w:rsidP="00372C78">
            <w:pPr>
              <w:ind w:firstLineChars="100" w:firstLine="180"/>
              <w:rPr>
                <w:rFonts w:ascii="GHEA Grapalat" w:hAnsi="GHEA Grapalat" w:cs="Calibri"/>
                <w:sz w:val="18"/>
                <w:szCs w:val="18"/>
              </w:rPr>
            </w:pPr>
            <w:r w:rsidRPr="00B57DAB">
              <w:rPr>
                <w:rFonts w:ascii="GHEA Grapalat" w:hAnsi="GHEA Grapalat" w:cs="Calibri"/>
                <w:sz w:val="18"/>
                <w:szCs w:val="18"/>
              </w:rPr>
              <w:t>Շրջանառության հարկ</w:t>
            </w:r>
          </w:p>
        </w:tc>
        <w:tc>
          <w:tcPr>
            <w:tcW w:w="1559"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2.3</w:t>
            </w:r>
          </w:p>
        </w:tc>
        <w:tc>
          <w:tcPr>
            <w:tcW w:w="1418"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2.5</w:t>
            </w:r>
          </w:p>
        </w:tc>
        <w:tc>
          <w:tcPr>
            <w:tcW w:w="1559" w:type="dxa"/>
            <w:tcBorders>
              <w:top w:val="nil"/>
              <w:left w:val="nil"/>
              <w:bottom w:val="single" w:sz="4" w:space="0" w:color="auto"/>
              <w:right w:val="single" w:sz="4" w:space="0" w:color="auto"/>
            </w:tcBorders>
            <w:shd w:val="clear" w:color="auto" w:fill="auto"/>
            <w:noWrap/>
            <w:vAlign w:val="bottom"/>
            <w:hideMark/>
          </w:tcPr>
          <w:p w:rsidR="00372C78" w:rsidRPr="00B57DAB" w:rsidRDefault="00372C78" w:rsidP="00372C78">
            <w:pPr>
              <w:jc w:val="right"/>
              <w:rPr>
                <w:rFonts w:ascii="GHEA Grapalat" w:hAnsi="GHEA Grapalat" w:cs="Calibri"/>
                <w:color w:val="000000"/>
                <w:sz w:val="18"/>
                <w:szCs w:val="18"/>
              </w:rPr>
            </w:pPr>
            <w:r w:rsidRPr="00B57DAB">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372C78" w:rsidRPr="00B57DAB" w:rsidRDefault="00372C78" w:rsidP="00372C78">
            <w:pPr>
              <w:jc w:val="right"/>
              <w:rPr>
                <w:rFonts w:ascii="Courier New" w:hAnsi="Courier New" w:cs="Courier New"/>
                <w:color w:val="000000"/>
                <w:sz w:val="18"/>
                <w:szCs w:val="18"/>
              </w:rPr>
            </w:pPr>
          </w:p>
        </w:tc>
      </w:tr>
      <w:tr w:rsidR="00372C78" w:rsidRPr="00B57DAB" w:rsidTr="00372C78">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372C78" w:rsidRPr="00B57DAB" w:rsidRDefault="00372C78" w:rsidP="00372C78">
            <w:pPr>
              <w:ind w:firstLineChars="100" w:firstLine="180"/>
              <w:rPr>
                <w:rFonts w:ascii="GHEA Grapalat" w:hAnsi="GHEA Grapalat" w:cs="Calibri"/>
                <w:sz w:val="18"/>
                <w:szCs w:val="18"/>
              </w:rPr>
            </w:pPr>
            <w:r w:rsidRPr="00B57DAB">
              <w:rPr>
                <w:rFonts w:ascii="GHEA Grapalat" w:hAnsi="GHEA Grapalat" w:cs="Calibri"/>
                <w:sz w:val="18"/>
                <w:szCs w:val="18"/>
              </w:rPr>
              <w:t>Սոցիալական վճար (կուտակային կենսաթոշակից)</w:t>
            </w:r>
          </w:p>
        </w:tc>
        <w:tc>
          <w:tcPr>
            <w:tcW w:w="1559"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3.0</w:t>
            </w:r>
          </w:p>
        </w:tc>
        <w:tc>
          <w:tcPr>
            <w:tcW w:w="1418"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3.6</w:t>
            </w:r>
          </w:p>
        </w:tc>
        <w:tc>
          <w:tcPr>
            <w:tcW w:w="1559" w:type="dxa"/>
            <w:tcBorders>
              <w:top w:val="nil"/>
              <w:left w:val="nil"/>
              <w:bottom w:val="single" w:sz="4" w:space="0" w:color="auto"/>
              <w:right w:val="single" w:sz="4" w:space="0" w:color="auto"/>
            </w:tcBorders>
            <w:shd w:val="clear" w:color="auto" w:fill="auto"/>
            <w:noWrap/>
            <w:vAlign w:val="bottom"/>
            <w:hideMark/>
          </w:tcPr>
          <w:p w:rsidR="00372C78" w:rsidRPr="00B57DAB" w:rsidRDefault="00372C78" w:rsidP="00372C78">
            <w:pPr>
              <w:jc w:val="right"/>
              <w:rPr>
                <w:rFonts w:ascii="GHEA Grapalat" w:hAnsi="GHEA Grapalat" w:cs="Calibri"/>
                <w:color w:val="000000"/>
                <w:sz w:val="18"/>
                <w:szCs w:val="18"/>
              </w:rPr>
            </w:pPr>
            <w:r w:rsidRPr="00B57DAB">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372C78" w:rsidRPr="00B57DAB" w:rsidRDefault="00372C78" w:rsidP="00372C78">
            <w:pPr>
              <w:jc w:val="right"/>
              <w:rPr>
                <w:rFonts w:ascii="Courier New" w:hAnsi="Courier New" w:cs="Courier New"/>
                <w:color w:val="000000"/>
                <w:sz w:val="18"/>
                <w:szCs w:val="18"/>
              </w:rPr>
            </w:pPr>
          </w:p>
        </w:tc>
      </w:tr>
      <w:tr w:rsidR="00372C78" w:rsidRPr="00B57DAB" w:rsidTr="00372C78">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372C78" w:rsidRPr="00B57DAB" w:rsidRDefault="00372C78" w:rsidP="00372C78">
            <w:pPr>
              <w:ind w:firstLineChars="100" w:firstLine="180"/>
              <w:rPr>
                <w:rFonts w:ascii="GHEA Grapalat" w:hAnsi="GHEA Grapalat" w:cs="Calibri"/>
                <w:sz w:val="18"/>
                <w:szCs w:val="18"/>
              </w:rPr>
            </w:pPr>
            <w:r w:rsidRPr="00B57DAB">
              <w:rPr>
                <w:rFonts w:ascii="GHEA Grapalat" w:hAnsi="GHEA Grapalat" w:cs="Calibri"/>
                <w:sz w:val="18"/>
                <w:szCs w:val="18"/>
              </w:rPr>
              <w:t>Բնապահպանական հարկ և բնօգտագործման վճար</w:t>
            </w:r>
          </w:p>
        </w:tc>
        <w:tc>
          <w:tcPr>
            <w:tcW w:w="1559"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3.3</w:t>
            </w:r>
          </w:p>
        </w:tc>
        <w:tc>
          <w:tcPr>
            <w:tcW w:w="1418"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2.6</w:t>
            </w:r>
          </w:p>
        </w:tc>
        <w:tc>
          <w:tcPr>
            <w:tcW w:w="1559" w:type="dxa"/>
            <w:tcBorders>
              <w:top w:val="nil"/>
              <w:left w:val="nil"/>
              <w:bottom w:val="single" w:sz="4" w:space="0" w:color="auto"/>
              <w:right w:val="single" w:sz="4" w:space="0" w:color="auto"/>
            </w:tcBorders>
            <w:shd w:val="clear" w:color="auto" w:fill="auto"/>
            <w:noWrap/>
            <w:vAlign w:val="bottom"/>
            <w:hideMark/>
          </w:tcPr>
          <w:p w:rsidR="00372C78" w:rsidRPr="00B57DAB" w:rsidRDefault="00372C78" w:rsidP="00372C78">
            <w:pPr>
              <w:jc w:val="right"/>
              <w:rPr>
                <w:rFonts w:ascii="GHEA Grapalat" w:hAnsi="GHEA Grapalat" w:cs="Calibri"/>
                <w:color w:val="000000"/>
                <w:sz w:val="18"/>
                <w:szCs w:val="18"/>
              </w:rPr>
            </w:pPr>
            <w:r w:rsidRPr="00B57DAB">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372C78" w:rsidRPr="00B57DAB" w:rsidRDefault="00372C78" w:rsidP="00372C78">
            <w:pPr>
              <w:jc w:val="right"/>
              <w:rPr>
                <w:rFonts w:ascii="Courier New" w:hAnsi="Courier New" w:cs="Courier New"/>
                <w:color w:val="000000"/>
                <w:sz w:val="18"/>
                <w:szCs w:val="18"/>
              </w:rPr>
            </w:pPr>
          </w:p>
        </w:tc>
      </w:tr>
      <w:tr w:rsidR="00372C78" w:rsidRPr="00B57DAB" w:rsidTr="00372C78">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372C78" w:rsidRPr="00B57DAB" w:rsidRDefault="00372C78" w:rsidP="00372C78">
            <w:pPr>
              <w:ind w:firstLineChars="100" w:firstLine="180"/>
              <w:rPr>
                <w:rFonts w:ascii="GHEA Grapalat" w:hAnsi="GHEA Grapalat" w:cs="Calibri"/>
                <w:sz w:val="18"/>
                <w:szCs w:val="18"/>
              </w:rPr>
            </w:pPr>
            <w:r w:rsidRPr="00B57DAB">
              <w:rPr>
                <w:rFonts w:ascii="GHEA Grapalat" w:hAnsi="GHEA Grapalat" w:cs="Calibri"/>
                <w:sz w:val="18"/>
                <w:szCs w:val="18"/>
              </w:rPr>
              <w:t>այլ հարկեր</w:t>
            </w:r>
          </w:p>
        </w:tc>
        <w:tc>
          <w:tcPr>
            <w:tcW w:w="1559"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2.7</w:t>
            </w:r>
          </w:p>
        </w:tc>
        <w:tc>
          <w:tcPr>
            <w:tcW w:w="1418"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3.1</w:t>
            </w:r>
          </w:p>
        </w:tc>
        <w:tc>
          <w:tcPr>
            <w:tcW w:w="1559" w:type="dxa"/>
            <w:tcBorders>
              <w:top w:val="nil"/>
              <w:left w:val="nil"/>
              <w:bottom w:val="single" w:sz="4" w:space="0" w:color="auto"/>
              <w:right w:val="single" w:sz="4" w:space="0" w:color="auto"/>
            </w:tcBorders>
            <w:shd w:val="clear" w:color="auto" w:fill="auto"/>
            <w:noWrap/>
            <w:vAlign w:val="bottom"/>
            <w:hideMark/>
          </w:tcPr>
          <w:p w:rsidR="00372C78" w:rsidRPr="00B57DAB" w:rsidRDefault="00372C78" w:rsidP="00372C78">
            <w:pPr>
              <w:jc w:val="right"/>
              <w:rPr>
                <w:rFonts w:ascii="GHEA Grapalat" w:hAnsi="GHEA Grapalat" w:cs="Calibri"/>
                <w:color w:val="000000"/>
                <w:sz w:val="18"/>
                <w:szCs w:val="18"/>
              </w:rPr>
            </w:pPr>
            <w:r w:rsidRPr="00B57DAB">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372C78" w:rsidRPr="00B57DAB" w:rsidRDefault="00372C78" w:rsidP="00372C78">
            <w:pPr>
              <w:jc w:val="right"/>
              <w:rPr>
                <w:rFonts w:ascii="Courier New" w:hAnsi="Courier New" w:cs="Courier New"/>
                <w:color w:val="000000"/>
                <w:sz w:val="18"/>
                <w:szCs w:val="18"/>
              </w:rPr>
            </w:pPr>
          </w:p>
        </w:tc>
      </w:tr>
      <w:tr w:rsidR="00372C78" w:rsidRPr="00B57DAB" w:rsidTr="00372C78">
        <w:trPr>
          <w:trHeight w:val="540"/>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372C78" w:rsidRPr="00B57DAB" w:rsidRDefault="00372C78" w:rsidP="00372C78">
            <w:pPr>
              <w:ind w:firstLineChars="100" w:firstLine="180"/>
              <w:rPr>
                <w:rFonts w:ascii="GHEA Grapalat" w:hAnsi="GHEA Grapalat" w:cs="Calibri"/>
                <w:sz w:val="18"/>
                <w:szCs w:val="18"/>
              </w:rPr>
            </w:pPr>
            <w:r w:rsidRPr="00B57DAB">
              <w:rPr>
                <w:rFonts w:ascii="GHEA Grapalat" w:hAnsi="GHEA Grapalat" w:cs="Calibri"/>
                <w:sz w:val="18"/>
                <w:szCs w:val="18"/>
              </w:rPr>
              <w:t>Հարկերի անցումային գերավճարից մարված հարկային պարտավորություններ</w:t>
            </w:r>
          </w:p>
        </w:tc>
        <w:tc>
          <w:tcPr>
            <w:tcW w:w="1559"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0.0</w:t>
            </w:r>
          </w:p>
        </w:tc>
        <w:tc>
          <w:tcPr>
            <w:tcW w:w="1418"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372C78" w:rsidRPr="00B57DAB" w:rsidRDefault="00372C78" w:rsidP="00372C78">
            <w:pPr>
              <w:jc w:val="right"/>
              <w:rPr>
                <w:rFonts w:ascii="GHEA Grapalat" w:hAnsi="GHEA Grapalat" w:cs="Calibri"/>
                <w:color w:val="000000"/>
                <w:sz w:val="18"/>
                <w:szCs w:val="18"/>
              </w:rPr>
            </w:pPr>
            <w:r w:rsidRPr="00B57DAB">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372C78" w:rsidRPr="00B57DAB" w:rsidRDefault="00372C78" w:rsidP="00372C78">
            <w:pPr>
              <w:jc w:val="right"/>
              <w:rPr>
                <w:rFonts w:ascii="Courier New" w:hAnsi="Courier New" w:cs="Courier New"/>
                <w:color w:val="000000"/>
                <w:sz w:val="18"/>
                <w:szCs w:val="18"/>
              </w:rPr>
            </w:pPr>
          </w:p>
        </w:tc>
      </w:tr>
      <w:tr w:rsidR="00372C78" w:rsidRPr="00B57DAB" w:rsidTr="00372C78">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372C78" w:rsidRPr="00B57DAB" w:rsidRDefault="00372C78" w:rsidP="00372C78">
            <w:pPr>
              <w:rPr>
                <w:rFonts w:ascii="GHEA Grapalat" w:hAnsi="GHEA Grapalat" w:cs="Calibri"/>
                <w:b/>
                <w:bCs/>
                <w:sz w:val="18"/>
                <w:szCs w:val="18"/>
              </w:rPr>
            </w:pPr>
            <w:r w:rsidRPr="00B57DAB">
              <w:rPr>
                <w:rFonts w:ascii="GHEA Grapalat" w:hAnsi="GHEA Grapalat" w:cs="Calibri"/>
                <w:b/>
                <w:bCs/>
                <w:sz w:val="18"/>
                <w:szCs w:val="18"/>
              </w:rPr>
              <w:t>2. Պետական տուրք</w:t>
            </w:r>
          </w:p>
        </w:tc>
        <w:tc>
          <w:tcPr>
            <w:tcW w:w="1559" w:type="dxa"/>
            <w:tcBorders>
              <w:top w:val="nil"/>
              <w:left w:val="nil"/>
              <w:bottom w:val="single" w:sz="4" w:space="0" w:color="auto"/>
              <w:right w:val="single" w:sz="4" w:space="0" w:color="auto"/>
            </w:tcBorders>
            <w:shd w:val="clear" w:color="auto" w:fill="auto"/>
            <w:vAlign w:val="center"/>
            <w:hideMark/>
          </w:tcPr>
          <w:p w:rsidR="00372C78" w:rsidRPr="00B57DAB" w:rsidRDefault="00372C78" w:rsidP="00372C78">
            <w:pPr>
              <w:jc w:val="right"/>
              <w:rPr>
                <w:rFonts w:ascii="GHEA Grapalat" w:hAnsi="GHEA Grapalat" w:cs="Calibri"/>
                <w:b/>
                <w:bCs/>
                <w:sz w:val="18"/>
                <w:szCs w:val="18"/>
              </w:rPr>
            </w:pPr>
            <w:r w:rsidRPr="00B57DAB">
              <w:rPr>
                <w:rFonts w:ascii="GHEA Grapalat" w:hAnsi="GHEA Grapalat" w:cs="Calibri"/>
                <w:b/>
                <w:bCs/>
                <w:sz w:val="18"/>
                <w:szCs w:val="18"/>
              </w:rPr>
              <w:t>2.2</w:t>
            </w:r>
          </w:p>
        </w:tc>
        <w:tc>
          <w:tcPr>
            <w:tcW w:w="1418" w:type="dxa"/>
            <w:tcBorders>
              <w:top w:val="nil"/>
              <w:left w:val="nil"/>
              <w:bottom w:val="single" w:sz="4" w:space="0" w:color="auto"/>
              <w:right w:val="single" w:sz="4" w:space="0" w:color="auto"/>
            </w:tcBorders>
            <w:shd w:val="clear" w:color="auto" w:fill="auto"/>
            <w:vAlign w:val="center"/>
            <w:hideMark/>
          </w:tcPr>
          <w:p w:rsidR="00372C78" w:rsidRPr="00B57DAB" w:rsidRDefault="00372C78" w:rsidP="00372C78">
            <w:pPr>
              <w:jc w:val="right"/>
              <w:rPr>
                <w:rFonts w:ascii="GHEA Grapalat" w:hAnsi="GHEA Grapalat" w:cs="Calibri"/>
                <w:b/>
                <w:bCs/>
                <w:sz w:val="18"/>
                <w:szCs w:val="18"/>
              </w:rPr>
            </w:pPr>
            <w:r w:rsidRPr="00B57DAB">
              <w:rPr>
                <w:rFonts w:ascii="GHEA Grapalat" w:hAnsi="GHEA Grapalat" w:cs="Calibri"/>
                <w:b/>
                <w:bCs/>
                <w:sz w:val="18"/>
                <w:szCs w:val="18"/>
              </w:rPr>
              <w:t>5.9</w:t>
            </w:r>
          </w:p>
        </w:tc>
        <w:tc>
          <w:tcPr>
            <w:tcW w:w="1559" w:type="dxa"/>
            <w:tcBorders>
              <w:top w:val="nil"/>
              <w:left w:val="nil"/>
              <w:bottom w:val="single" w:sz="4" w:space="0" w:color="auto"/>
              <w:right w:val="single" w:sz="4" w:space="0" w:color="auto"/>
            </w:tcBorders>
            <w:shd w:val="clear" w:color="auto" w:fill="auto"/>
            <w:noWrap/>
            <w:vAlign w:val="bottom"/>
          </w:tcPr>
          <w:p w:rsidR="00372C78" w:rsidRPr="00B57DAB" w:rsidRDefault="00372C78" w:rsidP="00372C78">
            <w:pPr>
              <w:jc w:val="right"/>
              <w:rPr>
                <w:rFonts w:ascii="GHEA Grapalat" w:hAnsi="GHEA Grapalat" w:cs="Calibri"/>
                <w:b/>
                <w:bCs/>
                <w:sz w:val="18"/>
                <w:szCs w:val="18"/>
              </w:rPr>
            </w:pPr>
          </w:p>
        </w:tc>
        <w:tc>
          <w:tcPr>
            <w:tcW w:w="1418" w:type="dxa"/>
            <w:tcBorders>
              <w:top w:val="nil"/>
              <w:left w:val="nil"/>
              <w:bottom w:val="single" w:sz="4" w:space="0" w:color="auto"/>
              <w:right w:val="single" w:sz="4" w:space="0" w:color="auto"/>
            </w:tcBorders>
            <w:vAlign w:val="bottom"/>
          </w:tcPr>
          <w:p w:rsidR="00372C78" w:rsidRPr="00B57DAB" w:rsidRDefault="00372C78" w:rsidP="00372C78">
            <w:pPr>
              <w:jc w:val="right"/>
              <w:rPr>
                <w:rFonts w:ascii="GHEA Grapalat" w:hAnsi="GHEA Grapalat" w:cs="Calibri"/>
                <w:b/>
                <w:bCs/>
                <w:sz w:val="18"/>
                <w:szCs w:val="18"/>
              </w:rPr>
            </w:pPr>
          </w:p>
        </w:tc>
      </w:tr>
    </w:tbl>
    <w:p w:rsidR="00372C78" w:rsidRPr="00B57DAB" w:rsidRDefault="00372C78" w:rsidP="00372C78">
      <w:pPr>
        <w:autoSpaceDE w:val="0"/>
        <w:autoSpaceDN w:val="0"/>
        <w:adjustRightInd w:val="0"/>
        <w:spacing w:line="360" w:lineRule="auto"/>
        <w:ind w:firstLine="567"/>
        <w:jc w:val="both"/>
        <w:rPr>
          <w:rFonts w:ascii="GHEA Grapalat" w:hAnsi="GHEA Grapalat" w:cs="GHEA Grapalat"/>
          <w:sz w:val="22"/>
          <w:szCs w:val="22"/>
        </w:rPr>
      </w:pPr>
    </w:p>
    <w:p w:rsidR="00372C78" w:rsidRPr="00B57DAB" w:rsidRDefault="00372C78" w:rsidP="00372C78">
      <w:pPr>
        <w:spacing w:line="360" w:lineRule="auto"/>
        <w:ind w:firstLine="567"/>
        <w:jc w:val="both"/>
        <w:rPr>
          <w:rFonts w:ascii="GHEA Grapalat" w:hAnsi="GHEA Grapalat" w:cs="GHEA Grapalat"/>
          <w:color w:val="000000"/>
          <w:sz w:val="22"/>
          <w:szCs w:val="22"/>
        </w:rPr>
      </w:pPr>
      <w:r w:rsidRPr="00B57DAB">
        <w:rPr>
          <w:rFonts w:ascii="GHEA Grapalat" w:hAnsi="GHEA Grapalat" w:cs="GHEA Grapalat"/>
          <w:color w:val="000000"/>
          <w:sz w:val="22"/>
          <w:szCs w:val="22"/>
        </w:rPr>
        <w:t>Հաշվետու ժամանակահատվածի հարկային եկամուտների և պետական տուրքերի 35.5%</w:t>
      </w:r>
      <w:r w:rsidRPr="00B57DAB">
        <w:rPr>
          <w:rFonts w:ascii="GHEA Grapalat" w:hAnsi="GHEA Grapalat" w:cs="GHEA Grapalat"/>
          <w:color w:val="000000"/>
          <w:sz w:val="22"/>
          <w:szCs w:val="22"/>
        </w:rPr>
        <w:noBreakHyphen/>
        <w:t xml:space="preserve">ն ապահովվել է </w:t>
      </w:r>
      <w:r w:rsidRPr="00B57DAB">
        <w:rPr>
          <w:rFonts w:ascii="GHEA Grapalat" w:hAnsi="GHEA Grapalat" w:cs="GHEA Grapalat"/>
          <w:i/>
          <w:color w:val="000000"/>
          <w:sz w:val="22"/>
          <w:szCs w:val="22"/>
        </w:rPr>
        <w:t>ավելացված արժեքի հարկի</w:t>
      </w:r>
      <w:r w:rsidRPr="00B57DAB">
        <w:rPr>
          <w:rFonts w:ascii="GHEA Grapalat" w:hAnsi="GHEA Grapalat" w:cs="GHEA Grapalat"/>
          <w:color w:val="000000"/>
          <w:sz w:val="22"/>
          <w:szCs w:val="22"/>
        </w:rPr>
        <w:t xml:space="preserve"> հաշվին: Նախորդ տարվա նույն ժամանակահատվածի համեմատ ավելացված արժեքի հարկի մուտքերի </w:t>
      </w:r>
      <w:r w:rsidR="000B5693" w:rsidRPr="00B57DAB">
        <w:rPr>
          <w:rFonts w:ascii="GHEA Grapalat" w:hAnsi="GHEA Grapalat" w:cs="GHEA Grapalat"/>
          <w:color w:val="000000"/>
          <w:sz w:val="22"/>
          <w:szCs w:val="22"/>
        </w:rPr>
        <w:t xml:space="preserve">21.8% </w:t>
      </w:r>
      <w:r w:rsidRPr="00B57DAB">
        <w:rPr>
          <w:rFonts w:ascii="GHEA Grapalat" w:hAnsi="GHEA Grapalat" w:cs="GHEA Grapalat"/>
          <w:color w:val="000000"/>
          <w:sz w:val="22"/>
          <w:szCs w:val="22"/>
        </w:rPr>
        <w:t xml:space="preserve">աճը մեծ մասամբ պայմանավորված է ՀՀ ներմուծվող ապրանքներից ստացված մուտքերի աճով: </w:t>
      </w:r>
    </w:p>
    <w:p w:rsidR="00372C78" w:rsidRPr="00B57DAB" w:rsidRDefault="00372C78" w:rsidP="00372C78">
      <w:pPr>
        <w:ind w:firstLine="567"/>
        <w:jc w:val="both"/>
        <w:rPr>
          <w:rFonts w:ascii="GHEA Grapalat" w:hAnsi="GHEA Grapalat" w:cs="GHEA Grapalat"/>
          <w:color w:val="000000"/>
        </w:rPr>
      </w:pPr>
    </w:p>
    <w:p w:rsidR="00372C78" w:rsidRPr="00B57DAB" w:rsidRDefault="00372C78" w:rsidP="00770F24">
      <w:pPr>
        <w:pStyle w:val="Caption"/>
        <w:keepNext/>
        <w:numPr>
          <w:ilvl w:val="0"/>
          <w:numId w:val="8"/>
        </w:numPr>
        <w:tabs>
          <w:tab w:val="left" w:pos="1134"/>
        </w:tabs>
        <w:ind w:left="0" w:firstLine="0"/>
        <w:jc w:val="left"/>
        <w:rPr>
          <w:rFonts w:ascii="GHEA Grapalat" w:hAnsi="GHEA Grapalat"/>
          <w:i/>
          <w:sz w:val="18"/>
          <w:szCs w:val="18"/>
          <w:lang w:val="hy-AM"/>
        </w:rPr>
      </w:pPr>
      <w:r w:rsidRPr="00B57DAB">
        <w:rPr>
          <w:rFonts w:ascii="GHEA Grapalat" w:hAnsi="GHEA Grapalat"/>
          <w:i/>
          <w:sz w:val="18"/>
          <w:szCs w:val="18"/>
          <w:lang w:val="hy-AM"/>
        </w:rPr>
        <w:t>ԱԱՀ-ի գծով ՀՀ պետական բյուջեի մուտքերը (մլրդ դրամ)</w:t>
      </w:r>
    </w:p>
    <w:tbl>
      <w:tblPr>
        <w:tblW w:w="10205" w:type="dxa"/>
        <w:tblLook w:val="04A0" w:firstRow="1" w:lastRow="0" w:firstColumn="1" w:lastColumn="0" w:noHBand="0" w:noVBand="1"/>
      </w:tblPr>
      <w:tblGrid>
        <w:gridCol w:w="4479"/>
        <w:gridCol w:w="1405"/>
        <w:gridCol w:w="1593"/>
        <w:gridCol w:w="1372"/>
        <w:gridCol w:w="1356"/>
      </w:tblGrid>
      <w:tr w:rsidR="00372C78" w:rsidRPr="00B57DAB" w:rsidTr="00372C78">
        <w:trPr>
          <w:trHeight w:val="855"/>
        </w:trPr>
        <w:tc>
          <w:tcPr>
            <w:tcW w:w="4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2C78" w:rsidRPr="00B57DAB" w:rsidRDefault="00372C78" w:rsidP="00372C78">
            <w:pPr>
              <w:rPr>
                <w:rFonts w:ascii="GHEA Grapalat" w:hAnsi="GHEA Grapalat" w:cs="Calibri"/>
                <w:sz w:val="18"/>
                <w:szCs w:val="18"/>
              </w:rPr>
            </w:pPr>
            <w:r w:rsidRPr="00B57DAB">
              <w:rPr>
                <w:rFonts w:ascii="Courier New" w:hAnsi="Courier New" w:cs="Courier New"/>
                <w:sz w:val="18"/>
                <w:szCs w:val="18"/>
              </w:rPr>
              <w:t> </w:t>
            </w:r>
          </w:p>
        </w:tc>
        <w:tc>
          <w:tcPr>
            <w:tcW w:w="1405" w:type="dxa"/>
            <w:tcBorders>
              <w:top w:val="single" w:sz="4" w:space="0" w:color="auto"/>
              <w:left w:val="nil"/>
              <w:bottom w:val="single" w:sz="4" w:space="0" w:color="auto"/>
              <w:right w:val="single" w:sz="4" w:space="0" w:color="auto"/>
            </w:tcBorders>
          </w:tcPr>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 xml:space="preserve">2021թ. </w:t>
            </w:r>
          </w:p>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առաջին եռամսյակի</w:t>
            </w:r>
            <w:r w:rsidRPr="00B57DAB">
              <w:rPr>
                <w:rFonts w:ascii="GHEA Grapalat" w:hAnsi="GHEA Grapalat" w:cs="Calibri"/>
                <w:b/>
                <w:bCs/>
                <w:sz w:val="18"/>
                <w:szCs w:val="18"/>
              </w:rPr>
              <w:br/>
              <w:t>փաստ</w:t>
            </w:r>
          </w:p>
        </w:tc>
        <w:tc>
          <w:tcPr>
            <w:tcW w:w="1593" w:type="dxa"/>
            <w:tcBorders>
              <w:top w:val="single" w:sz="4" w:space="0" w:color="auto"/>
              <w:left w:val="nil"/>
              <w:bottom w:val="single" w:sz="4" w:space="0" w:color="auto"/>
              <w:right w:val="single" w:sz="4" w:space="0" w:color="auto"/>
            </w:tcBorders>
            <w:shd w:val="clear" w:color="000000" w:fill="FFFFFF"/>
            <w:hideMark/>
          </w:tcPr>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 xml:space="preserve">2022թ. </w:t>
            </w:r>
          </w:p>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առաջին եռամսյակի</w:t>
            </w:r>
            <w:r w:rsidRPr="00B57DAB">
              <w:rPr>
                <w:rFonts w:ascii="GHEA Grapalat" w:hAnsi="GHEA Grapalat" w:cs="Calibri"/>
                <w:b/>
                <w:bCs/>
                <w:sz w:val="18"/>
                <w:szCs w:val="18"/>
              </w:rPr>
              <w:br/>
              <w:t>փաստ</w:t>
            </w:r>
          </w:p>
        </w:tc>
        <w:tc>
          <w:tcPr>
            <w:tcW w:w="1372" w:type="dxa"/>
            <w:tcBorders>
              <w:top w:val="single" w:sz="4" w:space="0" w:color="auto"/>
              <w:left w:val="nil"/>
              <w:bottom w:val="single" w:sz="4" w:space="0" w:color="auto"/>
              <w:right w:val="single" w:sz="4" w:space="0" w:color="auto"/>
            </w:tcBorders>
            <w:shd w:val="clear" w:color="000000" w:fill="FFFFFF"/>
          </w:tcPr>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եռամսյակը</w:t>
            </w:r>
          </w:p>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2021թ. առաջին եռամսյակի նկատմամբ</w:t>
            </w:r>
          </w:p>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 xml:space="preserve"> (%)</w:t>
            </w:r>
          </w:p>
        </w:tc>
        <w:tc>
          <w:tcPr>
            <w:tcW w:w="1356" w:type="dxa"/>
            <w:tcBorders>
              <w:top w:val="single" w:sz="4" w:space="0" w:color="auto"/>
              <w:left w:val="nil"/>
              <w:bottom w:val="single" w:sz="4" w:space="0" w:color="auto"/>
              <w:right w:val="single" w:sz="4" w:space="0" w:color="auto"/>
            </w:tcBorders>
            <w:shd w:val="clear" w:color="000000" w:fill="FFFFFF"/>
          </w:tcPr>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2022թ. և 2021թ. տարբե-րությունը</w:t>
            </w:r>
          </w:p>
        </w:tc>
      </w:tr>
      <w:tr w:rsidR="00372C78" w:rsidRPr="00B57DAB" w:rsidTr="00372C78">
        <w:trPr>
          <w:trHeight w:val="293"/>
        </w:trPr>
        <w:tc>
          <w:tcPr>
            <w:tcW w:w="4479" w:type="dxa"/>
            <w:tcBorders>
              <w:top w:val="nil"/>
              <w:left w:val="single" w:sz="4" w:space="0" w:color="auto"/>
              <w:bottom w:val="single" w:sz="4" w:space="0" w:color="auto"/>
              <w:right w:val="single" w:sz="4" w:space="0" w:color="auto"/>
            </w:tcBorders>
            <w:shd w:val="clear" w:color="auto" w:fill="auto"/>
            <w:hideMark/>
          </w:tcPr>
          <w:p w:rsidR="00372C78" w:rsidRPr="00B57DAB" w:rsidRDefault="00372C78" w:rsidP="00372C78">
            <w:pPr>
              <w:rPr>
                <w:rFonts w:ascii="GHEA Grapalat" w:hAnsi="GHEA Grapalat" w:cs="Calibri"/>
                <w:b/>
                <w:bCs/>
                <w:sz w:val="18"/>
                <w:szCs w:val="18"/>
              </w:rPr>
            </w:pPr>
            <w:r w:rsidRPr="00B57DAB">
              <w:rPr>
                <w:rFonts w:ascii="GHEA Grapalat" w:hAnsi="GHEA Grapalat" w:cs="Calibri"/>
                <w:b/>
                <w:bCs/>
                <w:sz w:val="18"/>
                <w:szCs w:val="18"/>
              </w:rPr>
              <w:t>Ավելացված արժեքի հարկ</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372C78" w:rsidRPr="00B57DAB" w:rsidRDefault="00372C78" w:rsidP="00372C78">
            <w:pPr>
              <w:jc w:val="right"/>
              <w:rPr>
                <w:rFonts w:ascii="GHEA Grapalat" w:hAnsi="GHEA Grapalat" w:cs="Calibri"/>
                <w:b/>
                <w:bCs/>
                <w:sz w:val="18"/>
                <w:szCs w:val="18"/>
              </w:rPr>
            </w:pPr>
            <w:r w:rsidRPr="00B57DAB">
              <w:rPr>
                <w:rFonts w:ascii="GHEA Grapalat" w:hAnsi="GHEA Grapalat" w:cs="Calibri"/>
                <w:b/>
                <w:bCs/>
                <w:sz w:val="18"/>
                <w:szCs w:val="18"/>
              </w:rPr>
              <w:t>116.7</w:t>
            </w:r>
          </w:p>
        </w:tc>
        <w:tc>
          <w:tcPr>
            <w:tcW w:w="1593"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b/>
                <w:bCs/>
                <w:sz w:val="18"/>
                <w:szCs w:val="18"/>
              </w:rPr>
            </w:pPr>
            <w:r w:rsidRPr="00B57DAB">
              <w:rPr>
                <w:rFonts w:ascii="GHEA Grapalat" w:hAnsi="GHEA Grapalat" w:cs="Calibri"/>
                <w:b/>
                <w:bCs/>
                <w:sz w:val="18"/>
                <w:szCs w:val="18"/>
              </w:rPr>
              <w:t>142.1</w:t>
            </w:r>
          </w:p>
        </w:tc>
        <w:tc>
          <w:tcPr>
            <w:tcW w:w="1372"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b/>
                <w:bCs/>
                <w:sz w:val="18"/>
                <w:szCs w:val="18"/>
              </w:rPr>
            </w:pPr>
            <w:r w:rsidRPr="00B57DAB">
              <w:rPr>
                <w:rFonts w:ascii="GHEA Grapalat" w:hAnsi="GHEA Grapalat" w:cs="Calibri"/>
                <w:b/>
                <w:bCs/>
                <w:sz w:val="18"/>
                <w:szCs w:val="18"/>
              </w:rPr>
              <w:t>121.8</w:t>
            </w:r>
          </w:p>
        </w:tc>
        <w:tc>
          <w:tcPr>
            <w:tcW w:w="1356"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b/>
                <w:bCs/>
                <w:sz w:val="18"/>
                <w:szCs w:val="18"/>
              </w:rPr>
            </w:pPr>
            <w:r w:rsidRPr="00B57DAB">
              <w:rPr>
                <w:rFonts w:ascii="GHEA Grapalat" w:hAnsi="GHEA Grapalat" w:cs="Calibri"/>
                <w:b/>
                <w:bCs/>
                <w:sz w:val="18"/>
                <w:szCs w:val="18"/>
              </w:rPr>
              <w:t>25.4</w:t>
            </w:r>
          </w:p>
        </w:tc>
      </w:tr>
      <w:tr w:rsidR="00372C78" w:rsidRPr="00B57DAB" w:rsidTr="00372C78">
        <w:trPr>
          <w:trHeight w:val="293"/>
        </w:trPr>
        <w:tc>
          <w:tcPr>
            <w:tcW w:w="4479" w:type="dxa"/>
            <w:tcBorders>
              <w:top w:val="nil"/>
              <w:left w:val="single" w:sz="4" w:space="0" w:color="auto"/>
              <w:bottom w:val="single" w:sz="4" w:space="0" w:color="auto"/>
              <w:right w:val="single" w:sz="4" w:space="0" w:color="auto"/>
            </w:tcBorders>
            <w:shd w:val="clear" w:color="auto" w:fill="auto"/>
            <w:noWrap/>
            <w:hideMark/>
          </w:tcPr>
          <w:p w:rsidR="00372C78" w:rsidRPr="00B57DAB" w:rsidRDefault="00372C78" w:rsidP="00372C78">
            <w:pPr>
              <w:ind w:firstLineChars="100" w:firstLine="180"/>
              <w:rPr>
                <w:rFonts w:ascii="GHEA Grapalat" w:hAnsi="GHEA Grapalat" w:cs="Calibri"/>
                <w:sz w:val="18"/>
                <w:szCs w:val="18"/>
              </w:rPr>
            </w:pPr>
            <w:r w:rsidRPr="00B57DAB">
              <w:rPr>
                <w:rFonts w:ascii="GHEA Grapalat" w:hAnsi="GHEA Grapalat" w:cs="Calibri"/>
                <w:sz w:val="18"/>
                <w:szCs w:val="18"/>
              </w:rPr>
              <w:t>Ներմուծումից, այդ թվում՝</w:t>
            </w:r>
          </w:p>
        </w:tc>
        <w:tc>
          <w:tcPr>
            <w:tcW w:w="1405" w:type="dxa"/>
            <w:tcBorders>
              <w:top w:val="nil"/>
              <w:left w:val="single" w:sz="4" w:space="0" w:color="auto"/>
              <w:bottom w:val="single" w:sz="4" w:space="0" w:color="auto"/>
              <w:right w:val="single" w:sz="4" w:space="0" w:color="auto"/>
            </w:tcBorders>
            <w:shd w:val="clear" w:color="auto" w:fill="auto"/>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62.5</w:t>
            </w:r>
          </w:p>
        </w:tc>
        <w:tc>
          <w:tcPr>
            <w:tcW w:w="1593"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81.5</w:t>
            </w:r>
          </w:p>
        </w:tc>
        <w:tc>
          <w:tcPr>
            <w:tcW w:w="1372"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130.4</w:t>
            </w:r>
          </w:p>
        </w:tc>
        <w:tc>
          <w:tcPr>
            <w:tcW w:w="1356"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19.0</w:t>
            </w:r>
          </w:p>
        </w:tc>
      </w:tr>
      <w:tr w:rsidR="00372C78" w:rsidRPr="00B57DAB" w:rsidTr="00372C78">
        <w:trPr>
          <w:trHeight w:val="300"/>
        </w:trPr>
        <w:tc>
          <w:tcPr>
            <w:tcW w:w="4479" w:type="dxa"/>
            <w:tcBorders>
              <w:top w:val="nil"/>
              <w:left w:val="single" w:sz="4" w:space="0" w:color="auto"/>
              <w:bottom w:val="single" w:sz="4" w:space="0" w:color="auto"/>
              <w:right w:val="single" w:sz="4" w:space="0" w:color="auto"/>
            </w:tcBorders>
            <w:shd w:val="clear" w:color="auto" w:fill="auto"/>
            <w:noWrap/>
            <w:hideMark/>
          </w:tcPr>
          <w:p w:rsidR="00372C78" w:rsidRPr="00B57DAB" w:rsidRDefault="00372C78" w:rsidP="00770F24">
            <w:pPr>
              <w:pStyle w:val="ListParagraph"/>
              <w:numPr>
                <w:ilvl w:val="0"/>
                <w:numId w:val="10"/>
              </w:numPr>
              <w:tabs>
                <w:tab w:val="left" w:pos="459"/>
              </w:tabs>
              <w:ind w:left="34" w:firstLine="236"/>
              <w:rPr>
                <w:rFonts w:ascii="GHEA Grapalat" w:hAnsi="GHEA Grapalat"/>
                <w:sz w:val="18"/>
                <w:szCs w:val="18"/>
                <w:lang w:val="hy-AM"/>
              </w:rPr>
            </w:pPr>
            <w:r w:rsidRPr="00B57DAB">
              <w:rPr>
                <w:rFonts w:ascii="GHEA Grapalat" w:hAnsi="GHEA Grapalat"/>
                <w:sz w:val="18"/>
                <w:szCs w:val="18"/>
                <w:lang w:val="hy-AM"/>
              </w:rPr>
              <w:t>ԵԱՏՄ երկրներից</w:t>
            </w:r>
          </w:p>
        </w:tc>
        <w:tc>
          <w:tcPr>
            <w:tcW w:w="1405" w:type="dxa"/>
            <w:tcBorders>
              <w:top w:val="nil"/>
              <w:left w:val="single" w:sz="4" w:space="0" w:color="auto"/>
              <w:bottom w:val="single" w:sz="4" w:space="0" w:color="auto"/>
              <w:right w:val="single" w:sz="4" w:space="0" w:color="auto"/>
            </w:tcBorders>
            <w:shd w:val="clear" w:color="auto" w:fill="auto"/>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23.5</w:t>
            </w:r>
          </w:p>
        </w:tc>
        <w:tc>
          <w:tcPr>
            <w:tcW w:w="1593"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33.5</w:t>
            </w:r>
          </w:p>
        </w:tc>
        <w:tc>
          <w:tcPr>
            <w:tcW w:w="1372"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142.4</w:t>
            </w:r>
          </w:p>
        </w:tc>
        <w:tc>
          <w:tcPr>
            <w:tcW w:w="1356"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10.0</w:t>
            </w:r>
          </w:p>
        </w:tc>
      </w:tr>
      <w:tr w:rsidR="00372C78" w:rsidRPr="00B57DAB" w:rsidTr="00372C78">
        <w:trPr>
          <w:trHeight w:val="167"/>
        </w:trPr>
        <w:tc>
          <w:tcPr>
            <w:tcW w:w="4479" w:type="dxa"/>
            <w:tcBorders>
              <w:top w:val="nil"/>
              <w:left w:val="single" w:sz="4" w:space="0" w:color="auto"/>
              <w:bottom w:val="single" w:sz="4" w:space="0" w:color="auto"/>
              <w:right w:val="single" w:sz="4" w:space="0" w:color="auto"/>
            </w:tcBorders>
            <w:shd w:val="clear" w:color="auto" w:fill="auto"/>
            <w:noWrap/>
            <w:hideMark/>
          </w:tcPr>
          <w:p w:rsidR="00372C78" w:rsidRPr="00B57DAB" w:rsidRDefault="00372C78" w:rsidP="00372C78">
            <w:pPr>
              <w:ind w:firstLineChars="100" w:firstLine="180"/>
              <w:rPr>
                <w:rFonts w:ascii="GHEA Grapalat" w:hAnsi="GHEA Grapalat" w:cs="Calibri"/>
                <w:sz w:val="18"/>
                <w:szCs w:val="18"/>
              </w:rPr>
            </w:pPr>
            <w:r w:rsidRPr="00B57DAB">
              <w:rPr>
                <w:rFonts w:ascii="GHEA Grapalat" w:hAnsi="GHEA Grapalat" w:cs="Calibri"/>
                <w:sz w:val="18"/>
                <w:szCs w:val="18"/>
              </w:rPr>
              <w:t>Ներքին շրջանառությունից</w:t>
            </w:r>
          </w:p>
        </w:tc>
        <w:tc>
          <w:tcPr>
            <w:tcW w:w="1405" w:type="dxa"/>
            <w:tcBorders>
              <w:top w:val="nil"/>
              <w:left w:val="single" w:sz="4" w:space="0" w:color="auto"/>
              <w:bottom w:val="single" w:sz="4" w:space="0" w:color="auto"/>
              <w:right w:val="single" w:sz="4" w:space="0" w:color="auto"/>
            </w:tcBorders>
            <w:shd w:val="clear" w:color="auto" w:fill="auto"/>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54.2</w:t>
            </w:r>
          </w:p>
        </w:tc>
        <w:tc>
          <w:tcPr>
            <w:tcW w:w="1593"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60.6</w:t>
            </w:r>
          </w:p>
        </w:tc>
        <w:tc>
          <w:tcPr>
            <w:tcW w:w="1372"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111.9</w:t>
            </w:r>
          </w:p>
        </w:tc>
        <w:tc>
          <w:tcPr>
            <w:tcW w:w="1356"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6.5</w:t>
            </w:r>
          </w:p>
        </w:tc>
      </w:tr>
    </w:tbl>
    <w:p w:rsidR="00372C78" w:rsidRPr="00B57DAB" w:rsidRDefault="00372C78" w:rsidP="00372C78">
      <w:pPr>
        <w:spacing w:line="360" w:lineRule="auto"/>
        <w:ind w:firstLine="567"/>
        <w:jc w:val="both"/>
        <w:rPr>
          <w:rFonts w:ascii="GHEA Grapalat" w:hAnsi="GHEA Grapalat" w:cs="GHEA Grapalat"/>
          <w:color w:val="000000"/>
        </w:rPr>
      </w:pPr>
    </w:p>
    <w:p w:rsidR="005065D7" w:rsidRPr="00B57DAB" w:rsidRDefault="00372C78" w:rsidP="005065D7">
      <w:pPr>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2022 թվականի առաջին եռամսյակի</w:t>
      </w:r>
      <w:r w:rsidRPr="00B57DAB">
        <w:rPr>
          <w:rFonts w:ascii="GHEA Grapalat" w:hAnsi="GHEA Grapalat"/>
          <w:color w:val="000000"/>
          <w:sz w:val="22"/>
          <w:szCs w:val="22"/>
        </w:rPr>
        <w:t xml:space="preserve"> </w:t>
      </w:r>
      <w:r w:rsidRPr="00B57DAB">
        <w:rPr>
          <w:rFonts w:ascii="GHEA Grapalat" w:hAnsi="GHEA Grapalat" w:cs="GHEA Grapalat"/>
          <w:color w:val="000000"/>
          <w:sz w:val="22"/>
          <w:szCs w:val="22"/>
        </w:rPr>
        <w:t xml:space="preserve">պետական բյուջե մուտքագրված հարկային եկամուտների ու պետական տուրքերի 6%-ն ապահովվել է </w:t>
      </w:r>
      <w:r w:rsidRPr="00B57DAB">
        <w:rPr>
          <w:rFonts w:ascii="GHEA Grapalat" w:hAnsi="GHEA Grapalat" w:cs="GHEA Grapalat"/>
          <w:i/>
          <w:color w:val="000000"/>
          <w:sz w:val="22"/>
          <w:szCs w:val="22"/>
        </w:rPr>
        <w:t>ակցիզային հարկի</w:t>
      </w:r>
      <w:r w:rsidRPr="00B57DAB">
        <w:rPr>
          <w:rFonts w:ascii="GHEA Grapalat" w:hAnsi="GHEA Grapalat" w:cs="GHEA Grapalat"/>
          <w:color w:val="000000"/>
          <w:sz w:val="22"/>
          <w:szCs w:val="22"/>
        </w:rPr>
        <w:t xml:space="preserve"> հաշվին: </w:t>
      </w:r>
      <w:r w:rsidR="005065D7" w:rsidRPr="00B57DAB">
        <w:rPr>
          <w:rFonts w:ascii="GHEA Grapalat" w:hAnsi="GHEA Grapalat" w:cs="GHEA Grapalat"/>
          <w:sz w:val="22"/>
          <w:szCs w:val="22"/>
        </w:rPr>
        <w:t>Նախորդ տարվա նույն ժամանակահատվածի համեմատ ակցիզային հարկի մուտքերի աճը մեծ մասամբ պայմանավորված է հանրապետությունում արտադրվող ենթաակցիզային ապրանքների գծով մուտքերի աճով:</w:t>
      </w:r>
    </w:p>
    <w:p w:rsidR="00372C78" w:rsidRPr="00B57DAB" w:rsidRDefault="00372C78" w:rsidP="00372C78">
      <w:pPr>
        <w:ind w:firstLine="567"/>
        <w:jc w:val="both"/>
        <w:rPr>
          <w:rFonts w:ascii="GHEA Grapalat" w:hAnsi="GHEA Grapalat" w:cs="GHEA Grapalat"/>
          <w:color w:val="000000"/>
          <w:sz w:val="22"/>
          <w:szCs w:val="22"/>
        </w:rPr>
      </w:pPr>
    </w:p>
    <w:p w:rsidR="00372C78" w:rsidRPr="00B57DAB" w:rsidRDefault="00372C78" w:rsidP="00770F24">
      <w:pPr>
        <w:pStyle w:val="Caption"/>
        <w:keepNext/>
        <w:numPr>
          <w:ilvl w:val="0"/>
          <w:numId w:val="8"/>
        </w:numPr>
        <w:tabs>
          <w:tab w:val="left" w:pos="1134"/>
        </w:tabs>
        <w:ind w:left="0" w:firstLine="0"/>
        <w:jc w:val="left"/>
        <w:rPr>
          <w:rFonts w:ascii="GHEA Grapalat" w:hAnsi="GHEA Grapalat"/>
          <w:i/>
          <w:sz w:val="18"/>
          <w:szCs w:val="18"/>
          <w:lang w:val="hy-AM"/>
        </w:rPr>
      </w:pPr>
      <w:r w:rsidRPr="00B57DAB">
        <w:rPr>
          <w:rFonts w:ascii="GHEA Grapalat" w:hAnsi="GHEA Grapalat"/>
          <w:i/>
          <w:sz w:val="18"/>
          <w:szCs w:val="18"/>
          <w:lang w:val="hy-AM"/>
        </w:rPr>
        <w:t>Ակցիզային հարկի գծով ՀՀ պետական բյուջեի մուտքերը (մլրդ դրամ)</w:t>
      </w:r>
    </w:p>
    <w:tbl>
      <w:tblPr>
        <w:tblW w:w="10205" w:type="dxa"/>
        <w:tblLook w:val="04A0" w:firstRow="1" w:lastRow="0" w:firstColumn="1" w:lastColumn="0" w:noHBand="0" w:noVBand="1"/>
      </w:tblPr>
      <w:tblGrid>
        <w:gridCol w:w="4644"/>
        <w:gridCol w:w="1418"/>
        <w:gridCol w:w="1276"/>
        <w:gridCol w:w="1511"/>
        <w:gridCol w:w="1356"/>
      </w:tblGrid>
      <w:tr w:rsidR="00372C78" w:rsidRPr="00B57DAB" w:rsidTr="00372C78">
        <w:trPr>
          <w:trHeight w:val="855"/>
        </w:trPr>
        <w:tc>
          <w:tcPr>
            <w:tcW w:w="4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2C78" w:rsidRPr="00B57DAB" w:rsidRDefault="00372C78" w:rsidP="00372C78">
            <w:pPr>
              <w:rPr>
                <w:rFonts w:ascii="GHEA Grapalat" w:hAnsi="GHEA Grapalat" w:cs="Calibri"/>
                <w:sz w:val="18"/>
                <w:szCs w:val="18"/>
              </w:rPr>
            </w:pPr>
            <w:r w:rsidRPr="00B57DAB">
              <w:rPr>
                <w:rFonts w:ascii="Courier New" w:hAnsi="Courier New" w:cs="Courier New"/>
                <w:sz w:val="18"/>
                <w:szCs w:val="18"/>
              </w:rPr>
              <w:t> </w:t>
            </w:r>
          </w:p>
        </w:tc>
        <w:tc>
          <w:tcPr>
            <w:tcW w:w="1418" w:type="dxa"/>
            <w:tcBorders>
              <w:top w:val="single" w:sz="4" w:space="0" w:color="auto"/>
              <w:left w:val="nil"/>
              <w:bottom w:val="single" w:sz="4" w:space="0" w:color="auto"/>
              <w:right w:val="single" w:sz="4" w:space="0" w:color="auto"/>
            </w:tcBorders>
          </w:tcPr>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 xml:space="preserve">2021թ. </w:t>
            </w:r>
          </w:p>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առաջին եռամսյակի</w:t>
            </w:r>
            <w:r w:rsidRPr="00B57DAB">
              <w:rPr>
                <w:rFonts w:ascii="GHEA Grapalat" w:hAnsi="GHEA Grapalat" w:cs="Calibri"/>
                <w:b/>
                <w:bCs/>
                <w:sz w:val="18"/>
                <w:szCs w:val="18"/>
              </w:rPr>
              <w:br/>
              <w:t>փաստ</w:t>
            </w:r>
          </w:p>
        </w:tc>
        <w:tc>
          <w:tcPr>
            <w:tcW w:w="1276" w:type="dxa"/>
            <w:tcBorders>
              <w:top w:val="single" w:sz="4" w:space="0" w:color="auto"/>
              <w:left w:val="nil"/>
              <w:bottom w:val="single" w:sz="4" w:space="0" w:color="auto"/>
              <w:right w:val="single" w:sz="4" w:space="0" w:color="auto"/>
            </w:tcBorders>
            <w:shd w:val="clear" w:color="000000" w:fill="FFFFFF"/>
            <w:hideMark/>
          </w:tcPr>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 xml:space="preserve">2022թ. </w:t>
            </w:r>
          </w:p>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առաջին եռամսյակի</w:t>
            </w:r>
            <w:r w:rsidRPr="00B57DAB">
              <w:rPr>
                <w:rFonts w:ascii="GHEA Grapalat" w:hAnsi="GHEA Grapalat" w:cs="Calibri"/>
                <w:b/>
                <w:bCs/>
                <w:sz w:val="18"/>
                <w:szCs w:val="18"/>
              </w:rPr>
              <w:br/>
              <w:t>փաստ</w:t>
            </w:r>
          </w:p>
        </w:tc>
        <w:tc>
          <w:tcPr>
            <w:tcW w:w="1511" w:type="dxa"/>
            <w:tcBorders>
              <w:top w:val="single" w:sz="4" w:space="0" w:color="auto"/>
              <w:left w:val="nil"/>
              <w:bottom w:val="single" w:sz="4" w:space="0" w:color="auto"/>
              <w:right w:val="single" w:sz="4" w:space="0" w:color="auto"/>
            </w:tcBorders>
            <w:shd w:val="clear" w:color="000000" w:fill="FFFFFF"/>
          </w:tcPr>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եռամսյակը</w:t>
            </w:r>
          </w:p>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2021թ. առաջին եռամսյակի նկատմամբ</w:t>
            </w:r>
          </w:p>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 xml:space="preserve"> (%)</w:t>
            </w:r>
          </w:p>
        </w:tc>
        <w:tc>
          <w:tcPr>
            <w:tcW w:w="1356" w:type="dxa"/>
            <w:tcBorders>
              <w:top w:val="single" w:sz="4" w:space="0" w:color="auto"/>
              <w:left w:val="nil"/>
              <w:bottom w:val="single" w:sz="4" w:space="0" w:color="auto"/>
              <w:right w:val="single" w:sz="4" w:space="0" w:color="auto"/>
            </w:tcBorders>
            <w:shd w:val="clear" w:color="000000" w:fill="FFFFFF"/>
          </w:tcPr>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2022թ. և 2021թ. տարբե-րությունը</w:t>
            </w:r>
          </w:p>
        </w:tc>
      </w:tr>
      <w:tr w:rsidR="00372C78" w:rsidRPr="00B57DAB" w:rsidTr="00372C78">
        <w:trPr>
          <w:trHeight w:val="293"/>
        </w:trPr>
        <w:tc>
          <w:tcPr>
            <w:tcW w:w="4644" w:type="dxa"/>
            <w:tcBorders>
              <w:top w:val="nil"/>
              <w:left w:val="single" w:sz="4" w:space="0" w:color="auto"/>
              <w:bottom w:val="single" w:sz="4" w:space="0" w:color="auto"/>
              <w:right w:val="single" w:sz="4" w:space="0" w:color="auto"/>
            </w:tcBorders>
            <w:shd w:val="clear" w:color="auto" w:fill="auto"/>
            <w:hideMark/>
          </w:tcPr>
          <w:p w:rsidR="00372C78" w:rsidRPr="00B57DAB" w:rsidRDefault="00372C78" w:rsidP="00372C78">
            <w:pPr>
              <w:rPr>
                <w:rFonts w:ascii="GHEA Grapalat" w:hAnsi="GHEA Grapalat" w:cs="Calibri"/>
                <w:b/>
                <w:bCs/>
                <w:sz w:val="18"/>
                <w:szCs w:val="18"/>
              </w:rPr>
            </w:pPr>
            <w:r w:rsidRPr="00B57DAB">
              <w:rPr>
                <w:rFonts w:ascii="GHEA Grapalat" w:hAnsi="GHEA Grapalat" w:cs="Calibri"/>
                <w:b/>
                <w:bCs/>
                <w:sz w:val="18"/>
                <w:szCs w:val="18"/>
              </w:rPr>
              <w:t>Ակցիզային հարկ</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72C78" w:rsidRPr="00B57DAB" w:rsidRDefault="00372C78" w:rsidP="00372C78">
            <w:pPr>
              <w:jc w:val="right"/>
              <w:rPr>
                <w:rFonts w:ascii="GHEA Grapalat" w:hAnsi="GHEA Grapalat" w:cs="Calibri"/>
                <w:b/>
                <w:bCs/>
                <w:sz w:val="18"/>
                <w:szCs w:val="18"/>
              </w:rPr>
            </w:pPr>
            <w:r w:rsidRPr="00B57DAB">
              <w:rPr>
                <w:rFonts w:ascii="GHEA Grapalat" w:hAnsi="GHEA Grapalat" w:cs="Calibri"/>
                <w:b/>
                <w:bCs/>
                <w:sz w:val="18"/>
                <w:szCs w:val="18"/>
              </w:rPr>
              <w:t>18.5</w:t>
            </w:r>
          </w:p>
        </w:tc>
        <w:tc>
          <w:tcPr>
            <w:tcW w:w="1276"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b/>
                <w:bCs/>
                <w:sz w:val="18"/>
                <w:szCs w:val="18"/>
              </w:rPr>
            </w:pPr>
            <w:r w:rsidRPr="00B57DAB">
              <w:rPr>
                <w:rFonts w:ascii="GHEA Grapalat" w:hAnsi="GHEA Grapalat" w:cs="Calibri"/>
                <w:b/>
                <w:bCs/>
                <w:sz w:val="18"/>
                <w:szCs w:val="18"/>
              </w:rPr>
              <w:t>23.9</w:t>
            </w:r>
          </w:p>
        </w:tc>
        <w:tc>
          <w:tcPr>
            <w:tcW w:w="1511"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b/>
                <w:bCs/>
                <w:sz w:val="18"/>
                <w:szCs w:val="18"/>
              </w:rPr>
            </w:pPr>
            <w:r w:rsidRPr="00B57DAB">
              <w:rPr>
                <w:rFonts w:ascii="GHEA Grapalat" w:hAnsi="GHEA Grapalat" w:cs="Calibri"/>
                <w:b/>
                <w:bCs/>
                <w:sz w:val="18"/>
                <w:szCs w:val="18"/>
              </w:rPr>
              <w:t>129.1</w:t>
            </w:r>
          </w:p>
        </w:tc>
        <w:tc>
          <w:tcPr>
            <w:tcW w:w="1356"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b/>
                <w:bCs/>
                <w:sz w:val="18"/>
                <w:szCs w:val="18"/>
              </w:rPr>
            </w:pPr>
            <w:r w:rsidRPr="00B57DAB">
              <w:rPr>
                <w:rFonts w:ascii="GHEA Grapalat" w:hAnsi="GHEA Grapalat" w:cs="Calibri"/>
                <w:b/>
                <w:bCs/>
                <w:sz w:val="18"/>
                <w:szCs w:val="18"/>
              </w:rPr>
              <w:t>5.4</w:t>
            </w:r>
          </w:p>
        </w:tc>
      </w:tr>
      <w:tr w:rsidR="00372C78" w:rsidRPr="00B57DAB" w:rsidTr="00372C78">
        <w:trPr>
          <w:trHeight w:val="293"/>
        </w:trPr>
        <w:tc>
          <w:tcPr>
            <w:tcW w:w="4644" w:type="dxa"/>
            <w:tcBorders>
              <w:top w:val="nil"/>
              <w:left w:val="single" w:sz="4" w:space="0" w:color="auto"/>
              <w:bottom w:val="single" w:sz="4" w:space="0" w:color="auto"/>
              <w:right w:val="single" w:sz="4" w:space="0" w:color="auto"/>
            </w:tcBorders>
            <w:shd w:val="clear" w:color="auto" w:fill="auto"/>
            <w:noWrap/>
            <w:hideMark/>
          </w:tcPr>
          <w:p w:rsidR="00372C78" w:rsidRPr="00B57DAB" w:rsidRDefault="00372C78" w:rsidP="00372C78">
            <w:pPr>
              <w:ind w:firstLineChars="100" w:firstLine="180"/>
              <w:rPr>
                <w:rFonts w:ascii="GHEA Grapalat" w:hAnsi="GHEA Grapalat" w:cs="Calibri"/>
                <w:sz w:val="18"/>
                <w:szCs w:val="18"/>
              </w:rPr>
            </w:pPr>
            <w:r w:rsidRPr="00B57DAB">
              <w:rPr>
                <w:rFonts w:ascii="GHEA Grapalat" w:hAnsi="GHEA Grapalat" w:cs="Calibri"/>
                <w:sz w:val="18"/>
                <w:szCs w:val="18"/>
              </w:rPr>
              <w:t>Ներմուծվող ենթաակցիզային ապրանքներից</w:t>
            </w:r>
          </w:p>
        </w:tc>
        <w:tc>
          <w:tcPr>
            <w:tcW w:w="1418" w:type="dxa"/>
            <w:tcBorders>
              <w:top w:val="nil"/>
              <w:left w:val="single" w:sz="4" w:space="0" w:color="auto"/>
              <w:bottom w:val="single" w:sz="4" w:space="0" w:color="auto"/>
              <w:right w:val="single" w:sz="4" w:space="0" w:color="auto"/>
            </w:tcBorders>
            <w:shd w:val="clear" w:color="auto" w:fill="auto"/>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9.4</w:t>
            </w:r>
          </w:p>
        </w:tc>
        <w:tc>
          <w:tcPr>
            <w:tcW w:w="1276"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10.6</w:t>
            </w:r>
          </w:p>
        </w:tc>
        <w:tc>
          <w:tcPr>
            <w:tcW w:w="1511"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112.3</w:t>
            </w:r>
          </w:p>
        </w:tc>
        <w:tc>
          <w:tcPr>
            <w:tcW w:w="1356"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1.2</w:t>
            </w:r>
          </w:p>
        </w:tc>
      </w:tr>
      <w:tr w:rsidR="00372C78" w:rsidRPr="00B57DAB" w:rsidTr="00372C78">
        <w:trPr>
          <w:trHeight w:val="300"/>
        </w:trPr>
        <w:tc>
          <w:tcPr>
            <w:tcW w:w="4644" w:type="dxa"/>
            <w:tcBorders>
              <w:top w:val="nil"/>
              <w:left w:val="single" w:sz="4" w:space="0" w:color="auto"/>
              <w:bottom w:val="single" w:sz="4" w:space="0" w:color="auto"/>
              <w:right w:val="single" w:sz="4" w:space="0" w:color="auto"/>
            </w:tcBorders>
            <w:shd w:val="clear" w:color="auto" w:fill="auto"/>
            <w:noWrap/>
            <w:hideMark/>
          </w:tcPr>
          <w:p w:rsidR="00372C78" w:rsidRPr="00B57DAB" w:rsidRDefault="00372C78" w:rsidP="00372C78">
            <w:pPr>
              <w:ind w:firstLineChars="100" w:firstLine="180"/>
              <w:rPr>
                <w:rFonts w:ascii="GHEA Grapalat" w:hAnsi="GHEA Grapalat" w:cs="Calibri"/>
                <w:sz w:val="18"/>
                <w:szCs w:val="18"/>
              </w:rPr>
            </w:pPr>
            <w:r w:rsidRPr="00B57DAB">
              <w:rPr>
                <w:rFonts w:ascii="GHEA Grapalat" w:hAnsi="GHEA Grapalat" w:cs="Calibri"/>
                <w:sz w:val="18"/>
                <w:szCs w:val="18"/>
              </w:rPr>
              <w:t>ՀՀ-ում արտադրվող ենթաակցիզային ապրանքներից</w:t>
            </w:r>
          </w:p>
        </w:tc>
        <w:tc>
          <w:tcPr>
            <w:tcW w:w="1418" w:type="dxa"/>
            <w:tcBorders>
              <w:top w:val="nil"/>
              <w:left w:val="single" w:sz="4" w:space="0" w:color="auto"/>
              <w:bottom w:val="single" w:sz="4" w:space="0" w:color="auto"/>
              <w:right w:val="single" w:sz="4" w:space="0" w:color="auto"/>
            </w:tcBorders>
            <w:shd w:val="clear" w:color="auto" w:fill="auto"/>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9.1</w:t>
            </w:r>
          </w:p>
        </w:tc>
        <w:tc>
          <w:tcPr>
            <w:tcW w:w="1276"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13.3</w:t>
            </w:r>
          </w:p>
        </w:tc>
        <w:tc>
          <w:tcPr>
            <w:tcW w:w="1511"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146.5</w:t>
            </w:r>
          </w:p>
        </w:tc>
        <w:tc>
          <w:tcPr>
            <w:tcW w:w="1356"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4.2</w:t>
            </w:r>
          </w:p>
        </w:tc>
      </w:tr>
    </w:tbl>
    <w:p w:rsidR="00372C78" w:rsidRPr="00B57DAB" w:rsidRDefault="00372C78" w:rsidP="00B91023">
      <w:pPr>
        <w:tabs>
          <w:tab w:val="left" w:pos="0"/>
          <w:tab w:val="left" w:pos="900"/>
        </w:tabs>
        <w:spacing w:line="360" w:lineRule="auto"/>
        <w:ind w:firstLine="567"/>
        <w:jc w:val="both"/>
        <w:rPr>
          <w:rFonts w:ascii="GHEA Grapalat" w:hAnsi="GHEA Grapalat" w:cs="GHEA Grapalat"/>
          <w:sz w:val="22"/>
          <w:szCs w:val="22"/>
        </w:rPr>
      </w:pPr>
    </w:p>
    <w:p w:rsidR="00372C78" w:rsidRPr="00B57DAB" w:rsidRDefault="00372C78" w:rsidP="00372C78">
      <w:pPr>
        <w:tabs>
          <w:tab w:val="left" w:pos="0"/>
          <w:tab w:val="left" w:pos="900"/>
        </w:tabs>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 xml:space="preserve">Հաշվետու ժամանակահատվածում 112.6 մլրդ դրամ են կազմել </w:t>
      </w:r>
      <w:r w:rsidRPr="00B57DAB">
        <w:rPr>
          <w:rFonts w:ascii="GHEA Grapalat" w:hAnsi="GHEA Grapalat" w:cs="GHEA Grapalat"/>
          <w:i/>
          <w:iCs/>
          <w:sz w:val="22"/>
          <w:szCs w:val="22"/>
        </w:rPr>
        <w:t>եկամտային հարկի</w:t>
      </w:r>
      <w:r w:rsidRPr="00B57DAB">
        <w:rPr>
          <w:rFonts w:ascii="GHEA Grapalat" w:hAnsi="GHEA Grapalat" w:cs="GHEA Grapalat"/>
          <w:sz w:val="22"/>
          <w:szCs w:val="22"/>
        </w:rPr>
        <w:t xml:space="preserve"> մուտքերը՝ ապահովելով հարկային եկամուտների և պետական տուրքերի 28.1%-ը: Նախորդ տարվա նույն ժամանակահատվածի համեմատ եկամտային հարկի մուտքերն աճել են 3.4%-ով կամ 3.7 մլրդ դրամով: Հարկ է նշել, որ 2022 թվականի առաջին եռամսյակում պետական բյուջեի հարկային եկամուտների ցուցանիշի վրա նվազեցնող ազդեցություն է ունեցել հիպոտեկային վարկի սպասարկման համար վճարվող (տոկոսների մասով) գումարների աճը: Հաշվետու ժամանակահատվածում բնակարան ձեռքբերելու կամ անհատական բնակելի տուն կառուցելու նպատակով հիպոտեկային վարկի սպասարկման համար վճարվող տոկոսների մասով </w:t>
      </w:r>
      <w:r w:rsidRPr="00B57DAB">
        <w:rPr>
          <w:rFonts w:ascii="GHEA Grapalat" w:hAnsi="GHEA Grapalat" w:cs="GHEA Grapalat"/>
          <w:sz w:val="22"/>
          <w:szCs w:val="22"/>
        </w:rPr>
        <w:lastRenderedPageBreak/>
        <w:t>վարկառուներին և համավարկառուներին է վերադարձվել շուրջ 7.6 մլրդ դրամ եկամտային հարկ, որը նախորդ տարվա համեմատ աճել է 65.9%</w:t>
      </w:r>
      <w:r w:rsidRPr="00B57DAB">
        <w:rPr>
          <w:rFonts w:ascii="GHEA Grapalat" w:hAnsi="GHEA Grapalat" w:cs="GHEA Grapalat"/>
          <w:sz w:val="22"/>
          <w:szCs w:val="22"/>
        </w:rPr>
        <w:noBreakHyphen/>
        <w:t>ով կամ 3 մլրդ դրամով:</w:t>
      </w:r>
    </w:p>
    <w:p w:rsidR="00372C78" w:rsidRPr="00B57DAB" w:rsidRDefault="00372C78" w:rsidP="00372C78">
      <w:pPr>
        <w:tabs>
          <w:tab w:val="left" w:pos="0"/>
          <w:tab w:val="left" w:pos="900"/>
        </w:tabs>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2022 թվականի առաջին եռամսյակի</w:t>
      </w:r>
      <w:r w:rsidRPr="00B57DAB">
        <w:rPr>
          <w:rFonts w:ascii="GHEA Grapalat" w:hAnsi="GHEA Grapalat"/>
          <w:color w:val="000000"/>
          <w:sz w:val="22"/>
          <w:szCs w:val="22"/>
        </w:rPr>
        <w:t xml:space="preserve"> </w:t>
      </w:r>
      <w:r w:rsidRPr="00B57DAB">
        <w:rPr>
          <w:rFonts w:ascii="GHEA Grapalat" w:hAnsi="GHEA Grapalat" w:cs="GHEA Grapalat"/>
          <w:color w:val="000000"/>
          <w:sz w:val="22"/>
          <w:szCs w:val="22"/>
        </w:rPr>
        <w:t xml:space="preserve">պետական բյուջե մուտքագրված հարկային եկամուտների ու պետական տուրքերի 3.3%-ն ապահովվել է </w:t>
      </w:r>
      <w:r w:rsidRPr="00B57DAB">
        <w:rPr>
          <w:rFonts w:ascii="GHEA Grapalat" w:hAnsi="GHEA Grapalat" w:cs="GHEA Grapalat"/>
          <w:i/>
          <w:sz w:val="22"/>
          <w:szCs w:val="22"/>
        </w:rPr>
        <w:t>մաք</w:t>
      </w:r>
      <w:r w:rsidRPr="00B57DAB">
        <w:rPr>
          <w:rFonts w:ascii="GHEA Grapalat" w:hAnsi="GHEA Grapalat" w:cs="GHEA Grapalat"/>
          <w:i/>
          <w:sz w:val="22"/>
          <w:szCs w:val="22"/>
        </w:rPr>
        <w:softHyphen/>
        <w:t>սա</w:t>
      </w:r>
      <w:r w:rsidRPr="00B57DAB">
        <w:rPr>
          <w:rFonts w:ascii="GHEA Grapalat" w:hAnsi="GHEA Grapalat" w:cs="GHEA Grapalat"/>
          <w:i/>
          <w:sz w:val="22"/>
          <w:szCs w:val="22"/>
        </w:rPr>
        <w:softHyphen/>
        <w:t>տուրքի</w:t>
      </w:r>
      <w:r w:rsidRPr="00B57DAB">
        <w:rPr>
          <w:rFonts w:ascii="GHEA Grapalat" w:hAnsi="GHEA Grapalat" w:cs="GHEA Grapalat"/>
          <w:sz w:val="22"/>
          <w:szCs w:val="22"/>
        </w:rPr>
        <w:t xml:space="preserve"> </w:t>
      </w:r>
      <w:r w:rsidRPr="00B57DAB">
        <w:rPr>
          <w:rFonts w:ascii="GHEA Grapalat" w:hAnsi="GHEA Grapalat" w:cs="GHEA Grapalat"/>
          <w:color w:val="000000"/>
          <w:sz w:val="22"/>
          <w:szCs w:val="22"/>
        </w:rPr>
        <w:t xml:space="preserve">հաշվին՝ </w:t>
      </w:r>
      <w:r w:rsidRPr="00B57DAB">
        <w:rPr>
          <w:rFonts w:ascii="GHEA Grapalat" w:hAnsi="GHEA Grapalat" w:cs="GHEA Grapalat"/>
          <w:sz w:val="22"/>
          <w:szCs w:val="22"/>
        </w:rPr>
        <w:t>կազմել</w:t>
      </w:r>
      <w:r w:rsidR="000B5693" w:rsidRPr="00B57DAB">
        <w:rPr>
          <w:rFonts w:ascii="GHEA Grapalat" w:hAnsi="GHEA Grapalat" w:cs="GHEA Grapalat"/>
          <w:sz w:val="22"/>
          <w:szCs w:val="22"/>
        </w:rPr>
        <w:t xml:space="preserve">ով </w:t>
      </w:r>
      <w:r w:rsidRPr="00B57DAB">
        <w:rPr>
          <w:rFonts w:ascii="GHEA Grapalat" w:hAnsi="GHEA Grapalat" w:cs="GHEA Grapalat"/>
          <w:sz w:val="22"/>
          <w:szCs w:val="22"/>
        </w:rPr>
        <w:t>շուրջ 13.4 մլրդ դրամ: 2021 թվականի առաջին եռամսյակի</w:t>
      </w:r>
      <w:r w:rsidR="005C1567" w:rsidRPr="00B57DAB">
        <w:rPr>
          <w:rFonts w:ascii="GHEA Grapalat" w:hAnsi="GHEA Grapalat" w:cs="GHEA Grapalat"/>
          <w:sz w:val="22"/>
          <w:szCs w:val="22"/>
        </w:rPr>
        <w:t xml:space="preserve"> համեմատ</w:t>
      </w:r>
      <w:r w:rsidRPr="00B57DAB">
        <w:rPr>
          <w:rFonts w:ascii="GHEA Grapalat" w:hAnsi="GHEA Grapalat" w:cs="GHEA Grapalat"/>
          <w:sz w:val="22"/>
          <w:szCs w:val="22"/>
        </w:rPr>
        <w:t xml:space="preserve"> մաքսատուրքի նվազումը պայմանավորված է ԵԱՏՄ անդամ պետություննե</w:t>
      </w:r>
      <w:r w:rsidR="005C1567" w:rsidRPr="00B57DAB">
        <w:rPr>
          <w:rFonts w:ascii="GHEA Grapalat" w:hAnsi="GHEA Grapalat" w:cs="GHEA Grapalat"/>
          <w:sz w:val="22"/>
          <w:szCs w:val="22"/>
        </w:rPr>
        <w:t>րի կողմից փոխանցված մաքսատուրք</w:t>
      </w:r>
      <w:r w:rsidRPr="00B57DAB">
        <w:rPr>
          <w:rFonts w:ascii="GHEA Grapalat" w:hAnsi="GHEA Grapalat" w:cs="GHEA Grapalat"/>
          <w:sz w:val="22"/>
          <w:szCs w:val="22"/>
        </w:rPr>
        <w:t xml:space="preserve">ի նվազմամբ: </w:t>
      </w:r>
    </w:p>
    <w:p w:rsidR="000B5693" w:rsidRPr="00B57DAB" w:rsidRDefault="000B5693" w:rsidP="00372C78">
      <w:pPr>
        <w:tabs>
          <w:tab w:val="left" w:pos="0"/>
          <w:tab w:val="left" w:pos="900"/>
        </w:tabs>
        <w:spacing w:line="360" w:lineRule="auto"/>
        <w:ind w:firstLine="567"/>
        <w:jc w:val="both"/>
        <w:rPr>
          <w:rFonts w:ascii="GHEA Grapalat" w:hAnsi="GHEA Grapalat" w:cs="GHEA Grapalat"/>
          <w:sz w:val="22"/>
          <w:szCs w:val="22"/>
        </w:rPr>
      </w:pPr>
    </w:p>
    <w:p w:rsidR="000B5693" w:rsidRPr="00B57DAB" w:rsidRDefault="000B5693" w:rsidP="00770F24">
      <w:pPr>
        <w:pStyle w:val="Caption"/>
        <w:keepNext/>
        <w:numPr>
          <w:ilvl w:val="0"/>
          <w:numId w:val="8"/>
        </w:numPr>
        <w:tabs>
          <w:tab w:val="left" w:pos="1134"/>
        </w:tabs>
        <w:ind w:left="0" w:firstLine="0"/>
        <w:jc w:val="left"/>
        <w:rPr>
          <w:rFonts w:ascii="GHEA Grapalat" w:hAnsi="GHEA Grapalat"/>
          <w:i/>
          <w:sz w:val="18"/>
          <w:szCs w:val="18"/>
          <w:lang w:val="hy-AM"/>
        </w:rPr>
      </w:pPr>
      <w:r w:rsidRPr="00B57DAB">
        <w:rPr>
          <w:rFonts w:ascii="GHEA Grapalat" w:hAnsi="GHEA Grapalat"/>
          <w:i/>
          <w:sz w:val="18"/>
          <w:szCs w:val="18"/>
          <w:lang w:val="hy-AM"/>
        </w:rPr>
        <w:t>Մաքսատուրքերի գծով ՀՀ պետական բյուջեի մուտքերը (մլրդ դրամ)</w:t>
      </w:r>
    </w:p>
    <w:tbl>
      <w:tblPr>
        <w:tblW w:w="10205" w:type="dxa"/>
        <w:tblLook w:val="04A0" w:firstRow="1" w:lastRow="0" w:firstColumn="1" w:lastColumn="0" w:noHBand="0" w:noVBand="1"/>
      </w:tblPr>
      <w:tblGrid>
        <w:gridCol w:w="4786"/>
        <w:gridCol w:w="1276"/>
        <w:gridCol w:w="1276"/>
        <w:gridCol w:w="1417"/>
        <w:gridCol w:w="1450"/>
      </w:tblGrid>
      <w:tr w:rsidR="000B5693" w:rsidRPr="00B57DAB" w:rsidTr="00E02F0C">
        <w:trPr>
          <w:trHeight w:val="855"/>
        </w:trPr>
        <w:tc>
          <w:tcPr>
            <w:tcW w:w="4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5693" w:rsidRPr="00B57DAB" w:rsidRDefault="000B5693" w:rsidP="00E02F0C">
            <w:pPr>
              <w:rPr>
                <w:rFonts w:ascii="GHEA Grapalat" w:hAnsi="GHEA Grapalat" w:cs="Calibri"/>
                <w:sz w:val="18"/>
                <w:szCs w:val="18"/>
              </w:rPr>
            </w:pPr>
            <w:r w:rsidRPr="00B57DAB">
              <w:rPr>
                <w:rFonts w:ascii="Courier New" w:hAnsi="Courier New" w:cs="Courier New"/>
                <w:sz w:val="18"/>
                <w:szCs w:val="18"/>
              </w:rPr>
              <w:t> </w:t>
            </w:r>
          </w:p>
        </w:tc>
        <w:tc>
          <w:tcPr>
            <w:tcW w:w="1276" w:type="dxa"/>
            <w:tcBorders>
              <w:top w:val="single" w:sz="4" w:space="0" w:color="auto"/>
              <w:left w:val="nil"/>
              <w:bottom w:val="single" w:sz="4" w:space="0" w:color="auto"/>
              <w:right w:val="single" w:sz="4" w:space="0" w:color="auto"/>
            </w:tcBorders>
          </w:tcPr>
          <w:p w:rsidR="000B5693" w:rsidRPr="00B57DAB" w:rsidRDefault="000B5693" w:rsidP="000B5693">
            <w:pPr>
              <w:jc w:val="center"/>
              <w:rPr>
                <w:rFonts w:ascii="GHEA Grapalat" w:hAnsi="GHEA Grapalat" w:cs="Calibri"/>
                <w:b/>
                <w:bCs/>
                <w:sz w:val="18"/>
                <w:szCs w:val="18"/>
              </w:rPr>
            </w:pPr>
            <w:r w:rsidRPr="00B57DAB">
              <w:rPr>
                <w:rFonts w:ascii="GHEA Grapalat" w:hAnsi="GHEA Grapalat" w:cs="Calibri"/>
                <w:b/>
                <w:bCs/>
                <w:sz w:val="18"/>
                <w:szCs w:val="18"/>
              </w:rPr>
              <w:t xml:space="preserve">2021թ. </w:t>
            </w:r>
            <w:r w:rsidRPr="00B57DAB">
              <w:rPr>
                <w:rFonts w:ascii="GHEA Grapalat" w:hAnsi="GHEA Grapalat" w:cs="Calibri"/>
                <w:b/>
                <w:bCs/>
                <w:sz w:val="18"/>
                <w:szCs w:val="18"/>
              </w:rPr>
              <w:br/>
              <w:t>փաստ</w:t>
            </w:r>
          </w:p>
        </w:tc>
        <w:tc>
          <w:tcPr>
            <w:tcW w:w="1276" w:type="dxa"/>
            <w:tcBorders>
              <w:top w:val="single" w:sz="4" w:space="0" w:color="auto"/>
              <w:left w:val="nil"/>
              <w:bottom w:val="single" w:sz="4" w:space="0" w:color="auto"/>
              <w:right w:val="single" w:sz="4" w:space="0" w:color="auto"/>
            </w:tcBorders>
            <w:shd w:val="clear" w:color="000000" w:fill="FFFFFF"/>
            <w:hideMark/>
          </w:tcPr>
          <w:p w:rsidR="000B5693" w:rsidRPr="00B57DAB" w:rsidRDefault="000B5693" w:rsidP="00E02F0C">
            <w:pPr>
              <w:jc w:val="center"/>
              <w:rPr>
                <w:rFonts w:ascii="GHEA Grapalat" w:hAnsi="GHEA Grapalat" w:cs="Calibri"/>
                <w:b/>
                <w:bCs/>
                <w:sz w:val="18"/>
                <w:szCs w:val="18"/>
              </w:rPr>
            </w:pPr>
            <w:r w:rsidRPr="00B57DAB">
              <w:rPr>
                <w:rFonts w:ascii="GHEA Grapalat" w:hAnsi="GHEA Grapalat" w:cs="Calibri"/>
                <w:b/>
                <w:bCs/>
                <w:sz w:val="18"/>
                <w:szCs w:val="18"/>
              </w:rPr>
              <w:t xml:space="preserve">2022թ. </w:t>
            </w:r>
            <w:r w:rsidRPr="00B57DAB">
              <w:rPr>
                <w:rFonts w:ascii="GHEA Grapalat" w:hAnsi="GHEA Grapalat" w:cs="Calibri"/>
                <w:b/>
                <w:bCs/>
                <w:sz w:val="18"/>
                <w:szCs w:val="18"/>
              </w:rPr>
              <w:br/>
              <w:t>փաստ</w:t>
            </w:r>
          </w:p>
        </w:tc>
        <w:tc>
          <w:tcPr>
            <w:tcW w:w="1417" w:type="dxa"/>
            <w:tcBorders>
              <w:top w:val="single" w:sz="4" w:space="0" w:color="auto"/>
              <w:left w:val="nil"/>
              <w:bottom w:val="single" w:sz="4" w:space="0" w:color="auto"/>
              <w:right w:val="single" w:sz="4" w:space="0" w:color="auto"/>
            </w:tcBorders>
            <w:shd w:val="clear" w:color="000000" w:fill="FFFFFF"/>
          </w:tcPr>
          <w:p w:rsidR="000B5693" w:rsidRPr="00B57DAB" w:rsidRDefault="000B5693" w:rsidP="00E02F0C">
            <w:pPr>
              <w:jc w:val="center"/>
              <w:rPr>
                <w:rFonts w:ascii="GHEA Grapalat" w:hAnsi="GHEA Grapalat" w:cs="Calibri"/>
                <w:b/>
                <w:bCs/>
                <w:sz w:val="18"/>
                <w:szCs w:val="18"/>
              </w:rPr>
            </w:pPr>
            <w:r w:rsidRPr="00B57DAB">
              <w:rPr>
                <w:rFonts w:ascii="GHEA Grapalat" w:hAnsi="GHEA Grapalat" w:cs="Calibri"/>
                <w:b/>
                <w:bCs/>
                <w:sz w:val="18"/>
                <w:szCs w:val="18"/>
              </w:rPr>
              <w:t>2022թ. 2021թ. նկատմամբ</w:t>
            </w:r>
          </w:p>
          <w:p w:rsidR="000B5693" w:rsidRPr="00B57DAB" w:rsidRDefault="000B5693" w:rsidP="00E02F0C">
            <w:pPr>
              <w:jc w:val="center"/>
              <w:rPr>
                <w:rFonts w:ascii="GHEA Grapalat" w:hAnsi="GHEA Grapalat" w:cs="Calibri"/>
                <w:b/>
                <w:bCs/>
                <w:sz w:val="18"/>
                <w:szCs w:val="18"/>
              </w:rPr>
            </w:pPr>
            <w:r w:rsidRPr="00B57DAB">
              <w:rPr>
                <w:rFonts w:ascii="GHEA Grapalat" w:hAnsi="GHEA Grapalat" w:cs="Calibri"/>
                <w:b/>
                <w:bCs/>
                <w:sz w:val="18"/>
                <w:szCs w:val="18"/>
              </w:rPr>
              <w:t>(%)</w:t>
            </w:r>
          </w:p>
        </w:tc>
        <w:tc>
          <w:tcPr>
            <w:tcW w:w="1450" w:type="dxa"/>
            <w:tcBorders>
              <w:top w:val="single" w:sz="4" w:space="0" w:color="auto"/>
              <w:left w:val="nil"/>
              <w:bottom w:val="single" w:sz="4" w:space="0" w:color="auto"/>
              <w:right w:val="single" w:sz="4" w:space="0" w:color="auto"/>
            </w:tcBorders>
            <w:shd w:val="clear" w:color="000000" w:fill="FFFFFF"/>
          </w:tcPr>
          <w:p w:rsidR="000B5693" w:rsidRPr="00B57DAB" w:rsidRDefault="000B5693" w:rsidP="000B5693">
            <w:pPr>
              <w:jc w:val="center"/>
              <w:rPr>
                <w:rFonts w:ascii="GHEA Grapalat" w:hAnsi="GHEA Grapalat" w:cs="Calibri"/>
                <w:b/>
                <w:bCs/>
                <w:sz w:val="18"/>
                <w:szCs w:val="18"/>
              </w:rPr>
            </w:pPr>
            <w:r w:rsidRPr="00B57DAB">
              <w:rPr>
                <w:rFonts w:ascii="GHEA Grapalat" w:hAnsi="GHEA Grapalat" w:cs="Calibri"/>
                <w:b/>
                <w:bCs/>
                <w:sz w:val="18"/>
                <w:szCs w:val="18"/>
              </w:rPr>
              <w:t>2022թ. և 2021թ. տարբերու-թյունը</w:t>
            </w:r>
          </w:p>
        </w:tc>
      </w:tr>
      <w:tr w:rsidR="000B5693" w:rsidRPr="00B57DAB" w:rsidTr="00E02F0C">
        <w:trPr>
          <w:trHeight w:val="293"/>
        </w:trPr>
        <w:tc>
          <w:tcPr>
            <w:tcW w:w="4786" w:type="dxa"/>
            <w:tcBorders>
              <w:top w:val="nil"/>
              <w:left w:val="single" w:sz="4" w:space="0" w:color="auto"/>
              <w:bottom w:val="single" w:sz="4" w:space="0" w:color="auto"/>
              <w:right w:val="single" w:sz="4" w:space="0" w:color="auto"/>
            </w:tcBorders>
            <w:shd w:val="clear" w:color="auto" w:fill="auto"/>
            <w:hideMark/>
          </w:tcPr>
          <w:p w:rsidR="000B5693" w:rsidRPr="00B57DAB" w:rsidRDefault="000B5693" w:rsidP="00E02F0C">
            <w:pPr>
              <w:rPr>
                <w:rFonts w:ascii="GHEA Grapalat" w:hAnsi="GHEA Grapalat" w:cs="Calibri"/>
                <w:b/>
                <w:bCs/>
                <w:sz w:val="18"/>
                <w:szCs w:val="18"/>
              </w:rPr>
            </w:pPr>
            <w:r w:rsidRPr="00B57DAB">
              <w:rPr>
                <w:rFonts w:ascii="GHEA Grapalat" w:hAnsi="GHEA Grapalat" w:cs="Calibri"/>
                <w:b/>
                <w:bCs/>
                <w:sz w:val="18"/>
                <w:szCs w:val="18"/>
              </w:rPr>
              <w:t>Մաքսատուրքեր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B5693" w:rsidRPr="00B57DAB" w:rsidRDefault="000B5693" w:rsidP="00E02F0C">
            <w:pPr>
              <w:jc w:val="right"/>
              <w:rPr>
                <w:rFonts w:ascii="GHEA Grapalat" w:hAnsi="GHEA Grapalat" w:cs="Calibri"/>
                <w:b/>
                <w:bCs/>
                <w:sz w:val="18"/>
                <w:szCs w:val="18"/>
              </w:rPr>
            </w:pPr>
            <w:r w:rsidRPr="00B57DAB">
              <w:rPr>
                <w:rFonts w:ascii="GHEA Grapalat" w:hAnsi="GHEA Grapalat" w:cs="Calibri"/>
                <w:b/>
                <w:bCs/>
                <w:sz w:val="18"/>
                <w:szCs w:val="18"/>
              </w:rPr>
              <w:t>19.6</w:t>
            </w:r>
          </w:p>
        </w:tc>
        <w:tc>
          <w:tcPr>
            <w:tcW w:w="1276" w:type="dxa"/>
            <w:tcBorders>
              <w:top w:val="nil"/>
              <w:left w:val="nil"/>
              <w:bottom w:val="single" w:sz="4" w:space="0" w:color="auto"/>
              <w:right w:val="single" w:sz="4" w:space="0" w:color="auto"/>
            </w:tcBorders>
            <w:shd w:val="clear" w:color="auto" w:fill="auto"/>
            <w:noWrap/>
            <w:vAlign w:val="center"/>
            <w:hideMark/>
          </w:tcPr>
          <w:p w:rsidR="000B5693" w:rsidRPr="00B57DAB" w:rsidRDefault="000B5693" w:rsidP="00E02F0C">
            <w:pPr>
              <w:jc w:val="right"/>
              <w:rPr>
                <w:rFonts w:ascii="GHEA Grapalat" w:hAnsi="GHEA Grapalat" w:cs="Calibri"/>
                <w:b/>
                <w:bCs/>
                <w:sz w:val="18"/>
                <w:szCs w:val="18"/>
              </w:rPr>
            </w:pPr>
            <w:r w:rsidRPr="00B57DAB">
              <w:rPr>
                <w:rFonts w:ascii="GHEA Grapalat" w:hAnsi="GHEA Grapalat" w:cs="Calibri"/>
                <w:b/>
                <w:bCs/>
                <w:sz w:val="18"/>
                <w:szCs w:val="18"/>
              </w:rPr>
              <w:t>13.4</w:t>
            </w:r>
          </w:p>
        </w:tc>
        <w:tc>
          <w:tcPr>
            <w:tcW w:w="1417" w:type="dxa"/>
            <w:tcBorders>
              <w:top w:val="nil"/>
              <w:left w:val="nil"/>
              <w:bottom w:val="single" w:sz="4" w:space="0" w:color="auto"/>
              <w:right w:val="single" w:sz="4" w:space="0" w:color="auto"/>
            </w:tcBorders>
            <w:vAlign w:val="center"/>
          </w:tcPr>
          <w:p w:rsidR="000B5693" w:rsidRPr="00B57DAB" w:rsidRDefault="000B5693" w:rsidP="00E02F0C">
            <w:pPr>
              <w:jc w:val="right"/>
              <w:rPr>
                <w:rFonts w:ascii="GHEA Grapalat" w:hAnsi="GHEA Grapalat" w:cs="Calibri"/>
                <w:b/>
                <w:bCs/>
                <w:sz w:val="18"/>
                <w:szCs w:val="18"/>
              </w:rPr>
            </w:pPr>
            <w:r w:rsidRPr="00B57DAB">
              <w:rPr>
                <w:rFonts w:ascii="GHEA Grapalat" w:hAnsi="GHEA Grapalat" w:cs="Calibri"/>
                <w:b/>
                <w:bCs/>
                <w:sz w:val="18"/>
                <w:szCs w:val="18"/>
              </w:rPr>
              <w:t>68.2</w:t>
            </w:r>
          </w:p>
        </w:tc>
        <w:tc>
          <w:tcPr>
            <w:tcW w:w="1450" w:type="dxa"/>
            <w:tcBorders>
              <w:top w:val="nil"/>
              <w:left w:val="nil"/>
              <w:bottom w:val="single" w:sz="4" w:space="0" w:color="auto"/>
              <w:right w:val="single" w:sz="4" w:space="0" w:color="auto"/>
            </w:tcBorders>
            <w:vAlign w:val="center"/>
          </w:tcPr>
          <w:p w:rsidR="000B5693" w:rsidRPr="00B57DAB" w:rsidRDefault="000B5693" w:rsidP="00E02F0C">
            <w:pPr>
              <w:jc w:val="right"/>
              <w:rPr>
                <w:rFonts w:ascii="GHEA Grapalat" w:hAnsi="GHEA Grapalat" w:cs="Calibri"/>
                <w:b/>
                <w:bCs/>
                <w:sz w:val="18"/>
                <w:szCs w:val="18"/>
              </w:rPr>
            </w:pPr>
            <w:r w:rsidRPr="00B57DAB">
              <w:rPr>
                <w:rFonts w:ascii="GHEA Grapalat" w:hAnsi="GHEA Grapalat" w:cs="Calibri"/>
                <w:b/>
                <w:bCs/>
                <w:sz w:val="18"/>
                <w:szCs w:val="18"/>
              </w:rPr>
              <w:t>(6.2)</w:t>
            </w:r>
          </w:p>
        </w:tc>
      </w:tr>
      <w:tr w:rsidR="000B5693" w:rsidRPr="00B57DAB" w:rsidTr="00E02F0C">
        <w:trPr>
          <w:trHeight w:val="293"/>
        </w:trPr>
        <w:tc>
          <w:tcPr>
            <w:tcW w:w="4786" w:type="dxa"/>
            <w:tcBorders>
              <w:top w:val="nil"/>
              <w:left w:val="single" w:sz="4" w:space="0" w:color="auto"/>
              <w:bottom w:val="single" w:sz="4" w:space="0" w:color="auto"/>
              <w:right w:val="single" w:sz="4" w:space="0" w:color="auto"/>
            </w:tcBorders>
            <w:shd w:val="clear" w:color="auto" w:fill="auto"/>
            <w:noWrap/>
            <w:hideMark/>
          </w:tcPr>
          <w:p w:rsidR="000B5693" w:rsidRPr="00B57DAB" w:rsidRDefault="000B5693" w:rsidP="00E02F0C">
            <w:pPr>
              <w:ind w:firstLineChars="100" w:firstLine="180"/>
              <w:rPr>
                <w:rFonts w:ascii="GHEA Grapalat" w:hAnsi="GHEA Grapalat" w:cs="Calibri"/>
                <w:sz w:val="18"/>
                <w:szCs w:val="18"/>
              </w:rPr>
            </w:pPr>
            <w:r w:rsidRPr="00B57DAB">
              <w:rPr>
                <w:rFonts w:ascii="GHEA Grapalat" w:hAnsi="GHEA Grapalat" w:cs="Calibri"/>
                <w:sz w:val="18"/>
                <w:szCs w:val="18"/>
              </w:rPr>
              <w:t>Երրորդ երկրներից ֆիզիկական անձանց կողմից ներմուծվող ապրանքներից գանձվող մաքսատուրքեր</w:t>
            </w:r>
          </w:p>
        </w:tc>
        <w:tc>
          <w:tcPr>
            <w:tcW w:w="1276" w:type="dxa"/>
            <w:tcBorders>
              <w:top w:val="nil"/>
              <w:left w:val="single" w:sz="4" w:space="0" w:color="auto"/>
              <w:bottom w:val="single" w:sz="4" w:space="0" w:color="auto"/>
              <w:right w:val="single" w:sz="4" w:space="0" w:color="auto"/>
            </w:tcBorders>
            <w:shd w:val="clear" w:color="auto" w:fill="auto"/>
            <w:vAlign w:val="center"/>
          </w:tcPr>
          <w:p w:rsidR="000B5693" w:rsidRPr="00B57DAB" w:rsidRDefault="000B5693" w:rsidP="00E02F0C">
            <w:pPr>
              <w:jc w:val="right"/>
              <w:rPr>
                <w:rFonts w:ascii="GHEA Grapalat" w:hAnsi="GHEA Grapalat" w:cs="Calibri"/>
                <w:sz w:val="18"/>
                <w:szCs w:val="18"/>
              </w:rPr>
            </w:pPr>
            <w:r w:rsidRPr="00B57DAB">
              <w:rPr>
                <w:rFonts w:ascii="GHEA Grapalat" w:hAnsi="GHEA Grapalat" w:cs="Calibri"/>
                <w:sz w:val="18"/>
                <w:szCs w:val="18"/>
              </w:rPr>
              <w:t>0.02</w:t>
            </w:r>
          </w:p>
        </w:tc>
        <w:tc>
          <w:tcPr>
            <w:tcW w:w="1276" w:type="dxa"/>
            <w:tcBorders>
              <w:top w:val="nil"/>
              <w:left w:val="nil"/>
              <w:bottom w:val="single" w:sz="4" w:space="0" w:color="auto"/>
              <w:right w:val="single" w:sz="4" w:space="0" w:color="auto"/>
            </w:tcBorders>
            <w:shd w:val="clear" w:color="auto" w:fill="auto"/>
            <w:noWrap/>
            <w:vAlign w:val="center"/>
            <w:hideMark/>
          </w:tcPr>
          <w:p w:rsidR="000B5693" w:rsidRPr="00B57DAB" w:rsidRDefault="000B5693" w:rsidP="00E02F0C">
            <w:pPr>
              <w:jc w:val="right"/>
              <w:rPr>
                <w:rFonts w:ascii="GHEA Grapalat" w:hAnsi="GHEA Grapalat" w:cs="Calibri"/>
                <w:sz w:val="18"/>
                <w:szCs w:val="18"/>
              </w:rPr>
            </w:pPr>
            <w:r w:rsidRPr="00B57DAB">
              <w:rPr>
                <w:rFonts w:ascii="GHEA Grapalat" w:hAnsi="GHEA Grapalat" w:cs="Calibri"/>
                <w:sz w:val="18"/>
                <w:szCs w:val="18"/>
              </w:rPr>
              <w:t>0.3</w:t>
            </w:r>
          </w:p>
        </w:tc>
        <w:tc>
          <w:tcPr>
            <w:tcW w:w="1417" w:type="dxa"/>
            <w:tcBorders>
              <w:top w:val="nil"/>
              <w:left w:val="nil"/>
              <w:bottom w:val="single" w:sz="4" w:space="0" w:color="auto"/>
              <w:right w:val="single" w:sz="4" w:space="0" w:color="auto"/>
            </w:tcBorders>
            <w:vAlign w:val="center"/>
          </w:tcPr>
          <w:p w:rsidR="000B5693" w:rsidRPr="00B57DAB" w:rsidRDefault="000B5693" w:rsidP="00E02F0C">
            <w:pPr>
              <w:jc w:val="right"/>
              <w:rPr>
                <w:rFonts w:ascii="GHEA Grapalat" w:hAnsi="GHEA Grapalat" w:cs="Calibri"/>
                <w:sz w:val="18"/>
                <w:szCs w:val="18"/>
              </w:rPr>
            </w:pPr>
            <w:r w:rsidRPr="00B57DAB">
              <w:rPr>
                <w:rFonts w:ascii="GHEA Grapalat" w:hAnsi="GHEA Grapalat" w:cs="Calibri"/>
                <w:sz w:val="18"/>
                <w:szCs w:val="18"/>
              </w:rPr>
              <w:t>1113.7</w:t>
            </w:r>
          </w:p>
        </w:tc>
        <w:tc>
          <w:tcPr>
            <w:tcW w:w="1450" w:type="dxa"/>
            <w:tcBorders>
              <w:top w:val="nil"/>
              <w:left w:val="nil"/>
              <w:bottom w:val="single" w:sz="4" w:space="0" w:color="auto"/>
              <w:right w:val="single" w:sz="4" w:space="0" w:color="auto"/>
            </w:tcBorders>
            <w:vAlign w:val="center"/>
          </w:tcPr>
          <w:p w:rsidR="000B5693" w:rsidRPr="00B57DAB" w:rsidRDefault="000B5693" w:rsidP="000B5693">
            <w:pPr>
              <w:jc w:val="right"/>
              <w:rPr>
                <w:rFonts w:ascii="GHEA Grapalat" w:hAnsi="GHEA Grapalat" w:cs="Calibri"/>
                <w:sz w:val="18"/>
                <w:szCs w:val="18"/>
              </w:rPr>
            </w:pPr>
            <w:r w:rsidRPr="00B57DAB">
              <w:rPr>
                <w:rFonts w:ascii="GHEA Grapalat" w:hAnsi="GHEA Grapalat" w:cs="Calibri"/>
                <w:sz w:val="18"/>
                <w:szCs w:val="18"/>
              </w:rPr>
              <w:t>0.2</w:t>
            </w:r>
          </w:p>
        </w:tc>
      </w:tr>
      <w:tr w:rsidR="000B5693" w:rsidRPr="00B57DAB" w:rsidTr="00E02F0C">
        <w:trPr>
          <w:trHeight w:val="300"/>
        </w:trPr>
        <w:tc>
          <w:tcPr>
            <w:tcW w:w="4786" w:type="dxa"/>
            <w:tcBorders>
              <w:top w:val="nil"/>
              <w:left w:val="single" w:sz="4" w:space="0" w:color="auto"/>
              <w:bottom w:val="single" w:sz="4" w:space="0" w:color="auto"/>
              <w:right w:val="single" w:sz="4" w:space="0" w:color="auto"/>
            </w:tcBorders>
            <w:shd w:val="clear" w:color="auto" w:fill="auto"/>
            <w:noWrap/>
            <w:hideMark/>
          </w:tcPr>
          <w:p w:rsidR="000B5693" w:rsidRPr="00B57DAB" w:rsidRDefault="000B5693" w:rsidP="00E02F0C">
            <w:pPr>
              <w:ind w:firstLineChars="100" w:firstLine="180"/>
              <w:rPr>
                <w:rFonts w:ascii="GHEA Grapalat" w:hAnsi="GHEA Grapalat" w:cs="Calibri"/>
                <w:sz w:val="18"/>
                <w:szCs w:val="18"/>
              </w:rPr>
            </w:pPr>
            <w:r w:rsidRPr="00B57DAB">
              <w:rPr>
                <w:rFonts w:ascii="GHEA Grapalat" w:hAnsi="GHEA Grapalat" w:cs="Calibri"/>
                <w:sz w:val="18"/>
                <w:szCs w:val="18"/>
              </w:rPr>
              <w:t>ԵԱՏՄ անդամ պետությունների կողմից փոխանցված մաքսատուրքեր</w:t>
            </w:r>
          </w:p>
        </w:tc>
        <w:tc>
          <w:tcPr>
            <w:tcW w:w="1276" w:type="dxa"/>
            <w:tcBorders>
              <w:top w:val="nil"/>
              <w:left w:val="single" w:sz="4" w:space="0" w:color="auto"/>
              <w:bottom w:val="single" w:sz="4" w:space="0" w:color="auto"/>
              <w:right w:val="single" w:sz="4" w:space="0" w:color="auto"/>
            </w:tcBorders>
            <w:shd w:val="clear" w:color="auto" w:fill="auto"/>
            <w:vAlign w:val="center"/>
          </w:tcPr>
          <w:p w:rsidR="000B5693" w:rsidRPr="00B57DAB" w:rsidRDefault="000B5693" w:rsidP="00E02F0C">
            <w:pPr>
              <w:jc w:val="right"/>
              <w:rPr>
                <w:rFonts w:ascii="GHEA Grapalat" w:hAnsi="GHEA Grapalat" w:cs="Calibri"/>
                <w:sz w:val="18"/>
                <w:szCs w:val="18"/>
              </w:rPr>
            </w:pPr>
            <w:r w:rsidRPr="00B57DAB">
              <w:rPr>
                <w:rFonts w:ascii="GHEA Grapalat" w:hAnsi="GHEA Grapalat" w:cs="Calibri"/>
                <w:sz w:val="18"/>
                <w:szCs w:val="18"/>
              </w:rPr>
              <w:t>19.6</w:t>
            </w:r>
          </w:p>
        </w:tc>
        <w:tc>
          <w:tcPr>
            <w:tcW w:w="1276" w:type="dxa"/>
            <w:tcBorders>
              <w:top w:val="nil"/>
              <w:left w:val="nil"/>
              <w:bottom w:val="single" w:sz="4" w:space="0" w:color="auto"/>
              <w:right w:val="single" w:sz="4" w:space="0" w:color="auto"/>
            </w:tcBorders>
            <w:shd w:val="clear" w:color="auto" w:fill="auto"/>
            <w:noWrap/>
            <w:vAlign w:val="center"/>
            <w:hideMark/>
          </w:tcPr>
          <w:p w:rsidR="000B5693" w:rsidRPr="00B57DAB" w:rsidRDefault="000B5693" w:rsidP="00E02F0C">
            <w:pPr>
              <w:jc w:val="right"/>
              <w:rPr>
                <w:rFonts w:ascii="GHEA Grapalat" w:hAnsi="GHEA Grapalat" w:cs="Calibri"/>
                <w:sz w:val="18"/>
                <w:szCs w:val="18"/>
              </w:rPr>
            </w:pPr>
            <w:r w:rsidRPr="00B57DAB">
              <w:rPr>
                <w:rFonts w:ascii="GHEA Grapalat" w:hAnsi="GHEA Grapalat" w:cs="Calibri"/>
                <w:sz w:val="18"/>
                <w:szCs w:val="18"/>
              </w:rPr>
              <w:t>13.1</w:t>
            </w:r>
          </w:p>
        </w:tc>
        <w:tc>
          <w:tcPr>
            <w:tcW w:w="1417" w:type="dxa"/>
            <w:tcBorders>
              <w:top w:val="nil"/>
              <w:left w:val="nil"/>
              <w:bottom w:val="single" w:sz="4" w:space="0" w:color="auto"/>
              <w:right w:val="single" w:sz="4" w:space="0" w:color="auto"/>
            </w:tcBorders>
            <w:vAlign w:val="center"/>
          </w:tcPr>
          <w:p w:rsidR="000B5693" w:rsidRPr="00B57DAB" w:rsidRDefault="000B5693" w:rsidP="00E02F0C">
            <w:pPr>
              <w:jc w:val="right"/>
              <w:rPr>
                <w:rFonts w:ascii="GHEA Grapalat" w:hAnsi="GHEA Grapalat" w:cs="Calibri"/>
                <w:sz w:val="18"/>
                <w:szCs w:val="18"/>
              </w:rPr>
            </w:pPr>
            <w:r w:rsidRPr="00B57DAB">
              <w:rPr>
                <w:rFonts w:ascii="GHEA Grapalat" w:hAnsi="GHEA Grapalat" w:cs="Calibri"/>
                <w:sz w:val="18"/>
                <w:szCs w:val="18"/>
              </w:rPr>
              <w:t>67.0</w:t>
            </w:r>
          </w:p>
        </w:tc>
        <w:tc>
          <w:tcPr>
            <w:tcW w:w="1450" w:type="dxa"/>
            <w:tcBorders>
              <w:top w:val="nil"/>
              <w:left w:val="nil"/>
              <w:bottom w:val="single" w:sz="4" w:space="0" w:color="auto"/>
              <w:right w:val="single" w:sz="4" w:space="0" w:color="auto"/>
            </w:tcBorders>
            <w:vAlign w:val="center"/>
          </w:tcPr>
          <w:p w:rsidR="000B5693" w:rsidRPr="00B57DAB" w:rsidRDefault="005C1567" w:rsidP="005C1567">
            <w:pPr>
              <w:jc w:val="right"/>
              <w:rPr>
                <w:rFonts w:ascii="GHEA Grapalat" w:hAnsi="GHEA Grapalat" w:cs="Calibri"/>
                <w:sz w:val="18"/>
                <w:szCs w:val="18"/>
              </w:rPr>
            </w:pPr>
            <w:r w:rsidRPr="00B57DAB">
              <w:rPr>
                <w:rFonts w:ascii="GHEA Grapalat" w:hAnsi="GHEA Grapalat" w:cs="Calibri"/>
                <w:sz w:val="18"/>
                <w:szCs w:val="18"/>
              </w:rPr>
              <w:t>(6.5)</w:t>
            </w:r>
          </w:p>
        </w:tc>
      </w:tr>
    </w:tbl>
    <w:p w:rsidR="000B5693" w:rsidRPr="00B57DAB" w:rsidRDefault="000B5693" w:rsidP="00372C78">
      <w:pPr>
        <w:tabs>
          <w:tab w:val="left" w:pos="0"/>
          <w:tab w:val="left" w:pos="900"/>
        </w:tabs>
        <w:spacing w:line="360" w:lineRule="auto"/>
        <w:ind w:firstLine="567"/>
        <w:jc w:val="both"/>
        <w:rPr>
          <w:rFonts w:ascii="GHEA Grapalat" w:hAnsi="GHEA Grapalat" w:cs="GHEA Grapalat"/>
          <w:sz w:val="22"/>
          <w:szCs w:val="22"/>
        </w:rPr>
      </w:pPr>
    </w:p>
    <w:p w:rsidR="00B91023" w:rsidRPr="00B57DAB" w:rsidRDefault="00372C78" w:rsidP="00B91023">
      <w:pPr>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 xml:space="preserve">Հաշվետու ժամանակահատվածում կուտակային կենսաթոշակային բաղադրիչի մասնակիցների կողմից պետական բյուջե է փոխանցվել 14.4 մլրդ դրամ </w:t>
      </w:r>
      <w:r w:rsidRPr="00B57DAB">
        <w:rPr>
          <w:rFonts w:ascii="GHEA Grapalat" w:hAnsi="GHEA Grapalat" w:cs="GHEA Grapalat"/>
          <w:i/>
          <w:iCs/>
          <w:sz w:val="22"/>
          <w:szCs w:val="22"/>
        </w:rPr>
        <w:t>սոցիալական վճար</w:t>
      </w:r>
      <w:r w:rsidRPr="00B57DAB">
        <w:rPr>
          <w:rFonts w:ascii="GHEA Grapalat" w:hAnsi="GHEA Grapalat" w:cs="GHEA Grapalat"/>
          <w:sz w:val="22"/>
          <w:szCs w:val="22"/>
        </w:rPr>
        <w:t xml:space="preserve">` ապահովելով հարկային եկամուտների և պետական տուրքերի 3.6%-ը և 43.7%-ով կամ շուրջ 4.4 մլրդ դրամով գերազանցելով նախորդ տարվա նույն ժամանակահատվածի ցուցանիշը: </w:t>
      </w:r>
      <w:r w:rsidR="00B91023" w:rsidRPr="00B57DAB">
        <w:rPr>
          <w:rFonts w:ascii="GHEA Grapalat" w:hAnsi="GHEA Grapalat" w:cs="GHEA Grapalat"/>
          <w:sz w:val="22"/>
          <w:szCs w:val="22"/>
        </w:rPr>
        <w:t>Աճը հիմնականում պայմանավորված է «Կուտակային կենսաթոշակների մասին» ՀՀ օրենքում կատարված փոփոխությունների համաձայն 2022 թվականի հունվարի 1-ից սոցիալական վճարի անհատի մասնաբաժնում աշխատողի մասնակցության դրույքաչափի բարձրացմամբ 3.5%</w:t>
      </w:r>
      <w:r w:rsidR="00B91023" w:rsidRPr="00B57DAB">
        <w:rPr>
          <w:rFonts w:ascii="GHEA Grapalat" w:hAnsi="GHEA Grapalat" w:cs="GHEA Grapalat"/>
          <w:sz w:val="22"/>
          <w:szCs w:val="22"/>
        </w:rPr>
        <w:noBreakHyphen/>
        <w:t>ից 4.5%:</w:t>
      </w:r>
    </w:p>
    <w:p w:rsidR="00372C78" w:rsidRPr="00B57DAB" w:rsidRDefault="00372C78" w:rsidP="00372C78">
      <w:pPr>
        <w:autoSpaceDE w:val="0"/>
        <w:autoSpaceDN w:val="0"/>
        <w:adjustRightInd w:val="0"/>
        <w:spacing w:line="360" w:lineRule="auto"/>
        <w:ind w:firstLine="567"/>
        <w:jc w:val="both"/>
        <w:rPr>
          <w:rFonts w:ascii="GHEA Grapalat" w:hAnsi="GHEA Grapalat" w:cs="GHEA Grapalat"/>
          <w:iCs/>
          <w:sz w:val="22"/>
          <w:szCs w:val="22"/>
        </w:rPr>
      </w:pPr>
      <w:r w:rsidRPr="00B57DAB">
        <w:rPr>
          <w:rFonts w:ascii="GHEA Grapalat" w:hAnsi="GHEA Grapalat" w:cs="GHEA Grapalat"/>
          <w:sz w:val="22"/>
          <w:szCs w:val="22"/>
        </w:rPr>
        <w:t xml:space="preserve">Հաշվետու ժամանակահատվածում </w:t>
      </w:r>
      <w:r w:rsidRPr="00B57DAB">
        <w:rPr>
          <w:rFonts w:ascii="GHEA Grapalat" w:hAnsi="GHEA Grapalat" w:cs="GHEA Grapalat"/>
          <w:i/>
          <w:iCs/>
          <w:sz w:val="22"/>
          <w:szCs w:val="22"/>
        </w:rPr>
        <w:t xml:space="preserve">բնապահպանական հարկի և բնօգտագործման վճարների </w:t>
      </w:r>
      <w:r w:rsidRPr="00B57DAB">
        <w:rPr>
          <w:rFonts w:ascii="GHEA Grapalat" w:hAnsi="GHEA Grapalat" w:cs="GHEA Grapalat"/>
          <w:sz w:val="22"/>
          <w:szCs w:val="22"/>
        </w:rPr>
        <w:t>գծով մուտքերը կազմել են ավելի քան 10.4 մլրդ դրամ՝ ապահովելով պետական բյուջեի հարկային եկամուտների և պետական տուրքերի 2.6%</w:t>
      </w:r>
      <w:r w:rsidRPr="00B57DAB">
        <w:rPr>
          <w:rFonts w:ascii="GHEA Grapalat" w:hAnsi="GHEA Grapalat" w:cs="GHEA Grapalat"/>
          <w:sz w:val="22"/>
          <w:szCs w:val="22"/>
        </w:rPr>
        <w:noBreakHyphen/>
        <w:t>ը</w:t>
      </w:r>
      <w:r w:rsidRPr="00B57DAB">
        <w:rPr>
          <w:rFonts w:ascii="GHEA Grapalat" w:hAnsi="GHEA Grapalat" w:cs="GHEA Grapalat"/>
          <w:iCs/>
          <w:sz w:val="22"/>
          <w:szCs w:val="22"/>
        </w:rPr>
        <w:t>: Նախորդ տարվա նույն ժամանակահատվածի համեմատ բնապահպանական հարկի և բնօգտագործման վճարների գծով մուտքերի նվազումը հիմնականում պայմանավորված է արդյունահանված մետաղական օգտակար հանածոների և դրանց վերամշակման արդյունքում ստացված արտադրանքի իրացման համար վճարվող ռոյալթիի գծով մուտքերի 17.2%-ով կամ շուրջ 1.6 մլրդ դրամով նվազմամբ</w:t>
      </w:r>
      <w:r w:rsidR="001D28DE" w:rsidRPr="00B57DAB">
        <w:rPr>
          <w:rFonts w:ascii="GHEA Grapalat" w:hAnsi="GHEA Grapalat" w:cs="GHEA Grapalat"/>
          <w:iCs/>
          <w:sz w:val="22"/>
          <w:szCs w:val="22"/>
        </w:rPr>
        <w:t>, որոնք</w:t>
      </w:r>
      <w:r w:rsidRPr="00B57DAB">
        <w:rPr>
          <w:rFonts w:ascii="GHEA Grapalat" w:hAnsi="GHEA Grapalat" w:cs="GHEA Grapalat"/>
          <w:sz w:val="22"/>
          <w:szCs w:val="22"/>
        </w:rPr>
        <w:t xml:space="preserve"> </w:t>
      </w:r>
      <w:r w:rsidRPr="00B57DAB">
        <w:rPr>
          <w:rFonts w:ascii="GHEA Grapalat" w:hAnsi="GHEA Grapalat" w:cs="GHEA Grapalat"/>
          <w:iCs/>
          <w:sz w:val="22"/>
          <w:szCs w:val="22"/>
        </w:rPr>
        <w:t>կազմել են շուրջ 7.7 մլրդ դրամ: Միաժամանակ, նախորդ տարվա առաջին եռամսյակի համեմատ ՀՀ ներմուծվող (այդ թվում՝ ԵԱՏՄ անդամ պետություններից) շրջակա միջավայրին վնաս պատճառող ապրանքների համար գանձված բնապահպանական հարկի գծով մուտքերն աճել են 2.2 անգամ կամ 503.2 մլն դրամով՝ կազմելով 930.4 մլն դրամ:</w:t>
      </w:r>
    </w:p>
    <w:p w:rsidR="00372C78" w:rsidRPr="00B57DAB" w:rsidRDefault="00372C78" w:rsidP="00372C78">
      <w:pPr>
        <w:tabs>
          <w:tab w:val="left" w:pos="0"/>
          <w:tab w:val="left" w:pos="900"/>
        </w:tabs>
        <w:spacing w:line="360" w:lineRule="auto"/>
        <w:ind w:firstLine="567"/>
        <w:jc w:val="both"/>
        <w:rPr>
          <w:rFonts w:ascii="GHEA Grapalat" w:hAnsi="GHEA Grapalat" w:cs="GHEA Grapalat"/>
          <w:iCs/>
          <w:sz w:val="22"/>
          <w:szCs w:val="22"/>
        </w:rPr>
      </w:pPr>
      <w:r w:rsidRPr="00B57DAB">
        <w:rPr>
          <w:rFonts w:ascii="GHEA Grapalat" w:hAnsi="GHEA Grapalat" w:cs="GHEA Grapalat"/>
          <w:iCs/>
          <w:sz w:val="22"/>
          <w:szCs w:val="22"/>
        </w:rPr>
        <w:lastRenderedPageBreak/>
        <w:t>2022 թվականի առաջին եռամսյակում ՀՀ պետական բյուջե են մուտքագրվել ընդհանուր առմամբ շուրջ 12.3 մլրդ</w:t>
      </w:r>
      <w:r w:rsidRPr="00B57DAB">
        <w:rPr>
          <w:rFonts w:ascii="Courier New" w:hAnsi="Courier New" w:cs="Courier New"/>
          <w:iCs/>
          <w:sz w:val="22"/>
          <w:szCs w:val="22"/>
        </w:rPr>
        <w:t> </w:t>
      </w:r>
      <w:r w:rsidRPr="00B57DAB">
        <w:rPr>
          <w:rFonts w:ascii="GHEA Grapalat" w:hAnsi="GHEA Grapalat" w:cs="GHEA Grapalat"/>
          <w:iCs/>
          <w:sz w:val="22"/>
          <w:szCs w:val="22"/>
        </w:rPr>
        <w:t>դրամ այլ հարկեր՝ կազմելով պետական բյուջեի հարկային եկամուտների և պետական տուրքերի 3.1%-ը: Մասնավորապես` 8.1</w:t>
      </w:r>
      <w:r w:rsidR="001D28DE" w:rsidRPr="00B57DAB">
        <w:rPr>
          <w:rFonts w:ascii="GHEA Grapalat" w:hAnsi="GHEA Grapalat" w:cs="GHEA Grapalat"/>
          <w:iCs/>
          <w:sz w:val="22"/>
          <w:szCs w:val="22"/>
        </w:rPr>
        <w:t xml:space="preserve"> </w:t>
      </w:r>
      <w:r w:rsidRPr="00B57DAB">
        <w:rPr>
          <w:rFonts w:ascii="GHEA Grapalat" w:hAnsi="GHEA Grapalat" w:cs="GHEA Grapalat"/>
          <w:iCs/>
          <w:sz w:val="22"/>
          <w:szCs w:val="22"/>
        </w:rPr>
        <w:t>մլրդ դրամ են կազմել «Հայաստանի Հանրապետության պաշտպանության ժամանակ զինծառայողների կյանքին կամ առողջությանը պատճառված վնասների հատուցման մասին» ՀՀ օրենքով սահմանված դրոշմանիշային վճարները, 1.8 մլրդ դրամ՝ ռադիոհաճախականության օգտագործման պարտադիր վճարները, 779.2 մլն դրամ՝ ճանապարհային հարկը, 771.3 մլն դրամ` հարկային օրենսդրության խախտման համար սահմանված տուգանքները, 376.7 մլն դրամ՝ 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գանձվող միասնական մաքսային վճարը, 209.8 մլն դրամ՝ հանրային ծառայությունների կարգավորման պարտադիր վճարները: Նախորդ տարվա առաջին եռամսյակի համեմատ այլ հարկերի փաստացի ցուցանիշն աճել է 37.8%-ով կամ 3.4 մլրդ դրամով: Աճն արձանագրվել է հիմնականում դրոշմանիշային վճարների գծով՝ հիմնականում պայմանավորված 2021 թվականի հունվարի 1-ից «Հայաստանի Հանրապետության պաշտպանության ժամանակ զինծառայողների կյանքին կամ առողջությանը պատճառված վնասների հատուցման մասին» ՀՀ օրենքում կատարված փոփոխությունների համաձայն դրոշմանիշային վճարների դրույքաչափերի բարձրացմամբ: Քանի որ յուրաքանչյուր ամիս վճարումները կատարվում են հիմնականում նախորդ ամսվա եկամուտների դիմաց, 2021 թվականի հունվարի մուտքերը ստացվել էին մինչև 2021 թվականը գործող դրույքաչափով:</w:t>
      </w:r>
    </w:p>
    <w:p w:rsidR="00372C78" w:rsidRPr="00B57DAB" w:rsidRDefault="00372C78" w:rsidP="00372C78">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2022 թվականի առաջին եռամսյակում ՀՀ պետական բյուջ</w:t>
      </w:r>
      <w:r w:rsidR="007E0A7D" w:rsidRPr="00B57DAB">
        <w:rPr>
          <w:rFonts w:ascii="GHEA Grapalat" w:hAnsi="GHEA Grapalat" w:cs="GHEA Grapalat"/>
          <w:sz w:val="22"/>
          <w:szCs w:val="22"/>
        </w:rPr>
        <w:t>ե են մուտքագրվել ավելի քան 23.7</w:t>
      </w:r>
      <w:r w:rsidR="007E0A7D" w:rsidRPr="00B57DAB">
        <w:rPr>
          <w:rFonts w:ascii="Courier New" w:hAnsi="Courier New" w:cs="Courier New"/>
          <w:sz w:val="22"/>
          <w:szCs w:val="22"/>
        </w:rPr>
        <w:t> </w:t>
      </w:r>
      <w:r w:rsidRPr="00B57DAB">
        <w:rPr>
          <w:rFonts w:ascii="GHEA Grapalat" w:hAnsi="GHEA Grapalat" w:cs="GHEA Grapalat"/>
          <w:sz w:val="22"/>
          <w:szCs w:val="22"/>
        </w:rPr>
        <w:t xml:space="preserve">մլրդ դրամ </w:t>
      </w:r>
      <w:r w:rsidRPr="00B57DAB">
        <w:rPr>
          <w:rFonts w:ascii="GHEA Grapalat" w:hAnsi="GHEA Grapalat" w:cs="GHEA Grapalat"/>
          <w:i/>
          <w:sz w:val="22"/>
          <w:szCs w:val="22"/>
        </w:rPr>
        <w:t>պետական տուրքեր`</w:t>
      </w:r>
      <w:r w:rsidRPr="00B57DAB">
        <w:rPr>
          <w:rFonts w:ascii="GHEA Grapalat" w:hAnsi="GHEA Grapalat" w:cs="GHEA Grapalat"/>
          <w:sz w:val="22"/>
          <w:szCs w:val="22"/>
        </w:rPr>
        <w:t xml:space="preserve"> 25.7%</w:t>
      </w:r>
      <w:r w:rsidRPr="00B57DAB">
        <w:rPr>
          <w:rFonts w:ascii="GHEA Grapalat" w:hAnsi="GHEA Grapalat" w:cs="GHEA Grapalat"/>
          <w:sz w:val="22"/>
          <w:szCs w:val="22"/>
        </w:rPr>
        <w:noBreakHyphen/>
        <w:t>ով գերազանցելով եռամսյակային ծրագրային ցուցանիշը: Վերջինս պայմանավորված է պետական տուրքերում մեծ տեսակարար կշիռ ունեցող լիցենզավորման ենթակա կամ թույլտվություններով գործունեություն իրականացնելու նպատակով լիցենզիաներ, արտոնագրեր (թույլտվություններ) տալու համար գանձվող տուրքերի կատարողականով: Հի</w:t>
      </w:r>
      <w:r w:rsidR="007E0A7D" w:rsidRPr="00B57DAB">
        <w:rPr>
          <w:rFonts w:ascii="GHEA Grapalat" w:hAnsi="GHEA Grapalat" w:cs="GHEA Grapalat"/>
          <w:sz w:val="22"/>
          <w:szCs w:val="22"/>
        </w:rPr>
        <w:t>մնականում նշված տուրքերի աճով է</w:t>
      </w:r>
      <w:r w:rsidRPr="00B57DAB">
        <w:rPr>
          <w:rFonts w:ascii="GHEA Grapalat" w:hAnsi="GHEA Grapalat" w:cs="GHEA Grapalat"/>
          <w:sz w:val="22"/>
          <w:szCs w:val="22"/>
        </w:rPr>
        <w:t xml:space="preserve"> պայմանավորված </w:t>
      </w:r>
      <w:r w:rsidR="007E0A7D" w:rsidRPr="00B57DAB">
        <w:rPr>
          <w:rFonts w:ascii="GHEA Grapalat" w:hAnsi="GHEA Grapalat" w:cs="GHEA Grapalat"/>
          <w:sz w:val="22"/>
          <w:szCs w:val="22"/>
        </w:rPr>
        <w:t>նաև</w:t>
      </w:r>
      <w:r w:rsidRPr="00B57DAB">
        <w:rPr>
          <w:rFonts w:ascii="GHEA Grapalat" w:hAnsi="GHEA Grapalat" w:cs="GHEA Grapalat"/>
          <w:sz w:val="22"/>
          <w:szCs w:val="22"/>
        </w:rPr>
        <w:t xml:space="preserve"> 2021 թվականի առաջին եռամսյակի համեմատ պետական տու</w:t>
      </w:r>
      <w:r w:rsidR="007E0A7D" w:rsidRPr="00B57DAB">
        <w:rPr>
          <w:rFonts w:ascii="GHEA Grapalat" w:hAnsi="GHEA Grapalat" w:cs="GHEA Grapalat"/>
          <w:sz w:val="22"/>
          <w:szCs w:val="22"/>
        </w:rPr>
        <w:t>րքի գծով մուտքերի 3.3 անգամ (</w:t>
      </w:r>
      <w:r w:rsidRPr="00B57DAB">
        <w:rPr>
          <w:rFonts w:ascii="GHEA Grapalat" w:hAnsi="GHEA Grapalat" w:cs="GHEA Grapalat"/>
          <w:sz w:val="22"/>
          <w:szCs w:val="22"/>
        </w:rPr>
        <w:t>16.5 մլրդ դրամ) աճը:</w:t>
      </w:r>
    </w:p>
    <w:p w:rsidR="00372C78" w:rsidRPr="00B57DAB" w:rsidRDefault="00372C78" w:rsidP="00372C78">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 xml:space="preserve">Առանձին պետական տուրքերի վերաբերյալ տեղեկատվությունը ներկայացված է Աղյուսակ </w:t>
      </w:r>
      <w:r w:rsidR="00B57DAB" w:rsidRPr="00B57DAB">
        <w:rPr>
          <w:rFonts w:ascii="GHEA Grapalat" w:hAnsi="GHEA Grapalat" w:cs="GHEA Grapalat"/>
          <w:sz w:val="22"/>
          <w:szCs w:val="22"/>
        </w:rPr>
        <w:t>7</w:t>
      </w:r>
      <w:r w:rsidRPr="00B57DAB">
        <w:rPr>
          <w:rFonts w:ascii="GHEA Grapalat" w:hAnsi="GHEA Grapalat" w:cs="GHEA Grapalat"/>
          <w:sz w:val="22"/>
          <w:szCs w:val="22"/>
        </w:rPr>
        <w:noBreakHyphen/>
        <w:t>ում:</w:t>
      </w:r>
    </w:p>
    <w:p w:rsidR="00372C78" w:rsidRPr="00B57DAB" w:rsidRDefault="00372C78" w:rsidP="00372C78">
      <w:pPr>
        <w:autoSpaceDE w:val="0"/>
        <w:autoSpaceDN w:val="0"/>
        <w:adjustRightInd w:val="0"/>
        <w:spacing w:line="360" w:lineRule="auto"/>
        <w:ind w:firstLine="567"/>
        <w:jc w:val="both"/>
        <w:rPr>
          <w:rFonts w:ascii="GHEA Grapalat" w:hAnsi="GHEA Grapalat" w:cs="GHEA Grapalat"/>
          <w:sz w:val="22"/>
          <w:szCs w:val="22"/>
        </w:rPr>
      </w:pPr>
    </w:p>
    <w:p w:rsidR="00372C78" w:rsidRPr="00B57DAB" w:rsidRDefault="00372C78" w:rsidP="00770F24">
      <w:pPr>
        <w:pStyle w:val="Caption"/>
        <w:keepNext/>
        <w:numPr>
          <w:ilvl w:val="0"/>
          <w:numId w:val="8"/>
        </w:numPr>
        <w:tabs>
          <w:tab w:val="left" w:pos="1134"/>
        </w:tabs>
        <w:ind w:left="0" w:firstLine="0"/>
        <w:jc w:val="left"/>
        <w:rPr>
          <w:rFonts w:ascii="GHEA Grapalat" w:hAnsi="GHEA Grapalat"/>
          <w:i/>
          <w:sz w:val="18"/>
          <w:szCs w:val="18"/>
          <w:lang w:val="hy-AM"/>
        </w:rPr>
      </w:pPr>
      <w:r w:rsidRPr="00B57DAB">
        <w:rPr>
          <w:rFonts w:ascii="GHEA Grapalat" w:hAnsi="GHEA Grapalat"/>
          <w:i/>
          <w:sz w:val="18"/>
          <w:szCs w:val="18"/>
          <w:lang w:val="hy-AM"/>
        </w:rPr>
        <w:lastRenderedPageBreak/>
        <w:t>Պետական տուրքերի գծով ՀՀ պետական բյուջեի մուտքերը (մլրդ դրամ)</w:t>
      </w:r>
    </w:p>
    <w:tbl>
      <w:tblPr>
        <w:tblW w:w="10314" w:type="dxa"/>
        <w:tblLayout w:type="fixed"/>
        <w:tblLook w:val="04A0" w:firstRow="1" w:lastRow="0" w:firstColumn="1" w:lastColumn="0" w:noHBand="0" w:noVBand="1"/>
      </w:tblPr>
      <w:tblGrid>
        <w:gridCol w:w="4786"/>
        <w:gridCol w:w="992"/>
        <w:gridCol w:w="993"/>
        <w:gridCol w:w="992"/>
        <w:gridCol w:w="1276"/>
        <w:gridCol w:w="1275"/>
      </w:tblGrid>
      <w:tr w:rsidR="00372C78" w:rsidRPr="00B57DAB" w:rsidTr="007E0A7D">
        <w:trPr>
          <w:trHeight w:val="1320"/>
        </w:trPr>
        <w:tc>
          <w:tcPr>
            <w:tcW w:w="4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2C78" w:rsidRPr="00B57DAB" w:rsidRDefault="00372C78" w:rsidP="00372C78">
            <w:pPr>
              <w:rPr>
                <w:rFonts w:ascii="GHEA Grapalat" w:hAnsi="GHEA Grapalat" w:cs="Calibri"/>
                <w:sz w:val="18"/>
                <w:szCs w:val="18"/>
              </w:rPr>
            </w:pPr>
            <w:r w:rsidRPr="00B57DAB">
              <w:rPr>
                <w:rFonts w:ascii="Courier New" w:hAnsi="Courier New" w:cs="Courier New"/>
                <w:sz w:val="18"/>
                <w:szCs w:val="18"/>
              </w:rPr>
              <w:t> </w:t>
            </w:r>
          </w:p>
        </w:tc>
        <w:tc>
          <w:tcPr>
            <w:tcW w:w="992" w:type="dxa"/>
            <w:tcBorders>
              <w:top w:val="single" w:sz="4" w:space="0" w:color="auto"/>
              <w:left w:val="nil"/>
              <w:bottom w:val="single" w:sz="4" w:space="0" w:color="auto"/>
              <w:right w:val="single" w:sz="4" w:space="0" w:color="auto"/>
            </w:tcBorders>
            <w:shd w:val="clear" w:color="000000" w:fill="FFFFFF"/>
            <w:hideMark/>
          </w:tcPr>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2021թ. առաջին եռամս</w:t>
            </w:r>
            <w:r w:rsidR="007E0A7D" w:rsidRPr="00B57DAB">
              <w:rPr>
                <w:rFonts w:ascii="GHEA Grapalat" w:hAnsi="GHEA Grapalat" w:cs="Calibri"/>
                <w:b/>
                <w:bCs/>
                <w:sz w:val="18"/>
                <w:szCs w:val="18"/>
              </w:rPr>
              <w:t>-</w:t>
            </w:r>
            <w:r w:rsidRPr="00B57DAB">
              <w:rPr>
                <w:rFonts w:ascii="GHEA Grapalat" w:hAnsi="GHEA Grapalat" w:cs="Calibri"/>
                <w:b/>
                <w:bCs/>
                <w:sz w:val="18"/>
                <w:szCs w:val="18"/>
              </w:rPr>
              <w:t>յակի փաստ</w:t>
            </w:r>
          </w:p>
        </w:tc>
        <w:tc>
          <w:tcPr>
            <w:tcW w:w="993" w:type="dxa"/>
            <w:tcBorders>
              <w:top w:val="single" w:sz="4" w:space="0" w:color="auto"/>
              <w:left w:val="nil"/>
              <w:bottom w:val="single" w:sz="4" w:space="0" w:color="auto"/>
              <w:right w:val="single" w:sz="4" w:space="0" w:color="auto"/>
            </w:tcBorders>
            <w:shd w:val="clear" w:color="000000" w:fill="FFFFFF"/>
            <w:hideMark/>
          </w:tcPr>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 ճշտված պլան</w:t>
            </w:r>
          </w:p>
        </w:tc>
        <w:tc>
          <w:tcPr>
            <w:tcW w:w="992" w:type="dxa"/>
            <w:tcBorders>
              <w:top w:val="single" w:sz="4" w:space="0" w:color="auto"/>
              <w:left w:val="nil"/>
              <w:bottom w:val="single" w:sz="4" w:space="0" w:color="auto"/>
              <w:right w:val="single" w:sz="4" w:space="0" w:color="auto"/>
            </w:tcBorders>
            <w:shd w:val="clear" w:color="000000" w:fill="FFFFFF"/>
            <w:hideMark/>
          </w:tcPr>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w:t>
            </w:r>
            <w:r w:rsidR="007E0A7D" w:rsidRPr="00B57DAB">
              <w:rPr>
                <w:rFonts w:ascii="GHEA Grapalat" w:hAnsi="GHEA Grapalat" w:cs="Calibri"/>
                <w:b/>
                <w:bCs/>
                <w:sz w:val="18"/>
                <w:szCs w:val="18"/>
              </w:rPr>
              <w:t>-</w:t>
            </w:r>
            <w:r w:rsidRPr="00B57DAB">
              <w:rPr>
                <w:rFonts w:ascii="GHEA Grapalat" w:hAnsi="GHEA Grapalat" w:cs="Calibri"/>
                <w:b/>
                <w:bCs/>
                <w:sz w:val="18"/>
                <w:szCs w:val="18"/>
              </w:rPr>
              <w:t>յակի փաստ</w:t>
            </w:r>
          </w:p>
        </w:tc>
        <w:tc>
          <w:tcPr>
            <w:tcW w:w="1276" w:type="dxa"/>
            <w:tcBorders>
              <w:top w:val="single" w:sz="4" w:space="0" w:color="auto"/>
              <w:left w:val="nil"/>
              <w:bottom w:val="single" w:sz="4" w:space="0" w:color="auto"/>
              <w:right w:val="single" w:sz="4" w:space="0" w:color="auto"/>
            </w:tcBorders>
            <w:shd w:val="clear" w:color="000000" w:fill="FFFFFF"/>
          </w:tcPr>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Կատարո-ղականն առաջին եռամսյակի ճշտված պլանի նկատմամբ (%)</w:t>
            </w:r>
          </w:p>
        </w:tc>
        <w:tc>
          <w:tcPr>
            <w:tcW w:w="1275" w:type="dxa"/>
            <w:tcBorders>
              <w:top w:val="single" w:sz="4" w:space="0" w:color="auto"/>
              <w:left w:val="nil"/>
              <w:bottom w:val="single" w:sz="4" w:space="0" w:color="auto"/>
              <w:right w:val="single" w:sz="4" w:space="0" w:color="auto"/>
            </w:tcBorders>
            <w:shd w:val="clear" w:color="000000" w:fill="FFFFFF"/>
          </w:tcPr>
          <w:p w:rsidR="00372C78" w:rsidRPr="00B57DAB" w:rsidRDefault="00372C78" w:rsidP="00372C78">
            <w:pPr>
              <w:jc w:val="center"/>
              <w:rPr>
                <w:rFonts w:ascii="GHEA Grapalat" w:hAnsi="GHEA Grapalat" w:cs="Calibri"/>
                <w:b/>
                <w:bCs/>
                <w:sz w:val="18"/>
                <w:szCs w:val="18"/>
              </w:rPr>
            </w:pPr>
            <w:r w:rsidRPr="00B57DAB">
              <w:rPr>
                <w:rFonts w:ascii="GHEA Grapalat" w:hAnsi="GHEA Grapalat" w:cs="Calibri"/>
                <w:b/>
                <w:bCs/>
                <w:sz w:val="18"/>
                <w:szCs w:val="18"/>
              </w:rPr>
              <w:t xml:space="preserve">2022թ. առաջին եռամսյակը 2021թ. </w:t>
            </w:r>
            <w:proofErr w:type="gramStart"/>
            <w:r w:rsidRPr="00B57DAB">
              <w:rPr>
                <w:rFonts w:ascii="GHEA Grapalat" w:hAnsi="GHEA Grapalat" w:cs="Calibri"/>
                <w:b/>
                <w:bCs/>
                <w:sz w:val="18"/>
                <w:szCs w:val="18"/>
              </w:rPr>
              <w:t>առաջին</w:t>
            </w:r>
            <w:proofErr w:type="gramEnd"/>
            <w:r w:rsidRPr="00B57DAB">
              <w:rPr>
                <w:rFonts w:ascii="GHEA Grapalat" w:hAnsi="GHEA Grapalat" w:cs="Calibri"/>
                <w:b/>
                <w:bCs/>
                <w:sz w:val="18"/>
                <w:szCs w:val="18"/>
              </w:rPr>
              <w:t xml:space="preserve"> եռամսյակի նկատմամբ (%)</w:t>
            </w:r>
          </w:p>
        </w:tc>
      </w:tr>
      <w:tr w:rsidR="00372C78" w:rsidRPr="00B57DAB" w:rsidTr="007E0A7D">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372C78" w:rsidRPr="00B57DAB" w:rsidRDefault="00372C78" w:rsidP="00372C78">
            <w:pPr>
              <w:rPr>
                <w:rFonts w:ascii="GHEA Grapalat" w:hAnsi="GHEA Grapalat" w:cs="Calibri"/>
                <w:b/>
                <w:bCs/>
                <w:sz w:val="18"/>
                <w:szCs w:val="18"/>
              </w:rPr>
            </w:pPr>
            <w:r w:rsidRPr="00B57DAB">
              <w:rPr>
                <w:rFonts w:ascii="GHEA Grapalat" w:hAnsi="GHEA Grapalat" w:cs="Calibri"/>
                <w:b/>
                <w:bCs/>
                <w:sz w:val="18"/>
                <w:szCs w:val="18"/>
              </w:rPr>
              <w:t>Պետական տուրքեր</w:t>
            </w:r>
          </w:p>
        </w:tc>
        <w:tc>
          <w:tcPr>
            <w:tcW w:w="992" w:type="dxa"/>
            <w:tcBorders>
              <w:top w:val="nil"/>
              <w:left w:val="nil"/>
              <w:bottom w:val="single" w:sz="4" w:space="0" w:color="auto"/>
              <w:right w:val="single" w:sz="4" w:space="0" w:color="auto"/>
            </w:tcBorders>
            <w:shd w:val="clear" w:color="auto" w:fill="auto"/>
            <w:vAlign w:val="center"/>
            <w:hideMark/>
          </w:tcPr>
          <w:p w:rsidR="00372C78" w:rsidRPr="00B57DAB" w:rsidRDefault="00372C78" w:rsidP="00372C78">
            <w:pPr>
              <w:jc w:val="right"/>
              <w:rPr>
                <w:rFonts w:ascii="GHEA Grapalat" w:hAnsi="GHEA Grapalat" w:cs="Calibri"/>
                <w:b/>
                <w:bCs/>
                <w:sz w:val="18"/>
                <w:szCs w:val="18"/>
              </w:rPr>
            </w:pPr>
            <w:r w:rsidRPr="00B57DAB">
              <w:rPr>
                <w:rFonts w:ascii="GHEA Grapalat" w:hAnsi="GHEA Grapalat" w:cs="Calibri"/>
                <w:b/>
                <w:bCs/>
                <w:sz w:val="18"/>
                <w:szCs w:val="18"/>
              </w:rPr>
              <w:t>7.3</w:t>
            </w:r>
          </w:p>
        </w:tc>
        <w:tc>
          <w:tcPr>
            <w:tcW w:w="993" w:type="dxa"/>
            <w:tcBorders>
              <w:top w:val="nil"/>
              <w:left w:val="nil"/>
              <w:bottom w:val="single" w:sz="4" w:space="0" w:color="auto"/>
              <w:right w:val="single" w:sz="4" w:space="0" w:color="auto"/>
            </w:tcBorders>
            <w:shd w:val="clear" w:color="auto" w:fill="auto"/>
            <w:vAlign w:val="center"/>
            <w:hideMark/>
          </w:tcPr>
          <w:p w:rsidR="00372C78" w:rsidRPr="00B57DAB" w:rsidRDefault="00372C78" w:rsidP="00372C78">
            <w:pPr>
              <w:jc w:val="right"/>
              <w:rPr>
                <w:rFonts w:ascii="GHEA Grapalat" w:hAnsi="GHEA Grapalat" w:cs="Calibri"/>
                <w:b/>
                <w:bCs/>
                <w:sz w:val="18"/>
                <w:szCs w:val="18"/>
              </w:rPr>
            </w:pPr>
            <w:r w:rsidRPr="00B57DAB">
              <w:rPr>
                <w:rFonts w:ascii="GHEA Grapalat" w:hAnsi="GHEA Grapalat" w:cs="Calibri"/>
                <w:b/>
                <w:bCs/>
                <w:sz w:val="18"/>
                <w:szCs w:val="18"/>
              </w:rPr>
              <w:t>18.9</w:t>
            </w:r>
          </w:p>
        </w:tc>
        <w:tc>
          <w:tcPr>
            <w:tcW w:w="992"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b/>
                <w:bCs/>
                <w:sz w:val="18"/>
                <w:szCs w:val="18"/>
              </w:rPr>
            </w:pPr>
            <w:r w:rsidRPr="00B57DAB">
              <w:rPr>
                <w:rFonts w:ascii="GHEA Grapalat" w:hAnsi="GHEA Grapalat" w:cs="Calibri"/>
                <w:b/>
                <w:bCs/>
                <w:sz w:val="18"/>
                <w:szCs w:val="18"/>
              </w:rPr>
              <w:t>23.7</w:t>
            </w:r>
          </w:p>
        </w:tc>
        <w:tc>
          <w:tcPr>
            <w:tcW w:w="1276"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b/>
                <w:bCs/>
                <w:sz w:val="18"/>
                <w:szCs w:val="18"/>
              </w:rPr>
            </w:pPr>
            <w:r w:rsidRPr="00B57DAB">
              <w:rPr>
                <w:rFonts w:ascii="GHEA Grapalat" w:hAnsi="GHEA Grapalat" w:cs="Calibri"/>
                <w:b/>
                <w:bCs/>
                <w:sz w:val="18"/>
                <w:szCs w:val="18"/>
              </w:rPr>
              <w:t>125.7</w:t>
            </w:r>
          </w:p>
        </w:tc>
        <w:tc>
          <w:tcPr>
            <w:tcW w:w="1275"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b/>
                <w:bCs/>
                <w:sz w:val="18"/>
                <w:szCs w:val="18"/>
              </w:rPr>
            </w:pPr>
            <w:r w:rsidRPr="00B57DAB">
              <w:rPr>
                <w:rFonts w:ascii="GHEA Grapalat" w:hAnsi="GHEA Grapalat" w:cs="Calibri"/>
                <w:b/>
                <w:bCs/>
                <w:sz w:val="18"/>
                <w:szCs w:val="18"/>
              </w:rPr>
              <w:t>326.0</w:t>
            </w:r>
          </w:p>
        </w:tc>
      </w:tr>
      <w:tr w:rsidR="00372C78" w:rsidRPr="00B57DAB" w:rsidTr="007E0A7D">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372C78" w:rsidRPr="00B57DAB" w:rsidRDefault="00372C78" w:rsidP="00372C78">
            <w:pPr>
              <w:rPr>
                <w:rFonts w:ascii="GHEA Grapalat" w:hAnsi="GHEA Grapalat" w:cs="Calibri"/>
                <w:sz w:val="18"/>
                <w:szCs w:val="18"/>
              </w:rPr>
            </w:pPr>
            <w:r w:rsidRPr="00B57DAB">
              <w:rPr>
                <w:rFonts w:ascii="GHEA Grapalat" w:hAnsi="GHEA Grapalat" w:cs="Calibri"/>
                <w:sz w:val="18"/>
                <w:szCs w:val="18"/>
              </w:rPr>
              <w:t>Դատարան տրվող հայցադիմումների, դիմումների, դատարանի դատական ակտերի դեմ վերաքննիչ և վճռաբեկ բողոքների համար, ինչպես նաև դատարանի կողմից տրվող փաստաթղթերի պատճեններ (կրկնօրինակներ), գործում առկա լուսանկարների (լուսաժապավենների), ձայնագրությունների, տեսագրությունների և դրանց էլեկտրոնային կրիչների բնօրինակից պատճենահանված կրիչ և դատական նիստի համակարգչային ձայնագրման կրկնօրինակ տալու համար</w:t>
            </w:r>
          </w:p>
        </w:tc>
        <w:tc>
          <w:tcPr>
            <w:tcW w:w="992"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0.6</w:t>
            </w:r>
          </w:p>
        </w:tc>
        <w:tc>
          <w:tcPr>
            <w:tcW w:w="993"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0.6</w:t>
            </w:r>
          </w:p>
        </w:tc>
        <w:tc>
          <w:tcPr>
            <w:tcW w:w="992"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0.7</w:t>
            </w:r>
          </w:p>
        </w:tc>
        <w:tc>
          <w:tcPr>
            <w:tcW w:w="1276"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125.7</w:t>
            </w:r>
          </w:p>
        </w:tc>
        <w:tc>
          <w:tcPr>
            <w:tcW w:w="1275"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122.7</w:t>
            </w:r>
          </w:p>
        </w:tc>
      </w:tr>
      <w:tr w:rsidR="00372C78" w:rsidRPr="00B57DAB" w:rsidTr="007E0A7D">
        <w:trPr>
          <w:trHeight w:val="315"/>
        </w:trPr>
        <w:tc>
          <w:tcPr>
            <w:tcW w:w="4786" w:type="dxa"/>
            <w:tcBorders>
              <w:top w:val="nil"/>
              <w:left w:val="single" w:sz="4" w:space="0" w:color="auto"/>
              <w:bottom w:val="single" w:sz="4" w:space="0" w:color="auto"/>
              <w:right w:val="single" w:sz="4" w:space="0" w:color="auto"/>
            </w:tcBorders>
            <w:shd w:val="clear" w:color="auto" w:fill="auto"/>
            <w:hideMark/>
          </w:tcPr>
          <w:p w:rsidR="00372C78" w:rsidRPr="00B57DAB" w:rsidRDefault="00372C78" w:rsidP="00372C78">
            <w:pPr>
              <w:rPr>
                <w:rFonts w:ascii="GHEA Grapalat" w:hAnsi="GHEA Grapalat" w:cs="Calibri"/>
                <w:sz w:val="18"/>
                <w:szCs w:val="18"/>
              </w:rPr>
            </w:pPr>
            <w:r w:rsidRPr="00B57DAB">
              <w:rPr>
                <w:rFonts w:ascii="GHEA Grapalat" w:hAnsi="GHEA Grapalat" w:cs="Calibri"/>
                <w:sz w:val="18"/>
                <w:szCs w:val="18"/>
              </w:rPr>
              <w:t>Հյուպատոսական ծառայությունների կամ գործողությունների համար</w:t>
            </w:r>
          </w:p>
        </w:tc>
        <w:tc>
          <w:tcPr>
            <w:tcW w:w="992"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0.5</w:t>
            </w:r>
          </w:p>
        </w:tc>
        <w:tc>
          <w:tcPr>
            <w:tcW w:w="993"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0.6</w:t>
            </w:r>
          </w:p>
        </w:tc>
        <w:tc>
          <w:tcPr>
            <w:tcW w:w="992"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0.5</w:t>
            </w:r>
          </w:p>
        </w:tc>
        <w:tc>
          <w:tcPr>
            <w:tcW w:w="1276"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81.2</w:t>
            </w:r>
          </w:p>
        </w:tc>
        <w:tc>
          <w:tcPr>
            <w:tcW w:w="1275"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86.2</w:t>
            </w:r>
          </w:p>
        </w:tc>
      </w:tr>
      <w:tr w:rsidR="00372C78" w:rsidRPr="00B57DAB" w:rsidTr="007E0A7D">
        <w:trPr>
          <w:trHeight w:val="315"/>
        </w:trPr>
        <w:tc>
          <w:tcPr>
            <w:tcW w:w="4786" w:type="dxa"/>
            <w:tcBorders>
              <w:top w:val="nil"/>
              <w:left w:val="single" w:sz="4" w:space="0" w:color="auto"/>
              <w:bottom w:val="single" w:sz="4" w:space="0" w:color="auto"/>
              <w:right w:val="single" w:sz="4" w:space="0" w:color="auto"/>
            </w:tcBorders>
            <w:shd w:val="clear" w:color="auto" w:fill="auto"/>
            <w:hideMark/>
          </w:tcPr>
          <w:p w:rsidR="00372C78" w:rsidRPr="00B57DAB" w:rsidRDefault="00372C78" w:rsidP="00372C78">
            <w:pPr>
              <w:rPr>
                <w:rFonts w:ascii="GHEA Grapalat" w:hAnsi="GHEA Grapalat" w:cs="Calibri"/>
                <w:sz w:val="18"/>
                <w:szCs w:val="18"/>
              </w:rPr>
            </w:pPr>
            <w:r w:rsidRPr="00B57DAB">
              <w:rPr>
                <w:rFonts w:ascii="GHEA Grapalat" w:hAnsi="GHEA Grapalat" w:cs="Calibri"/>
                <w:sz w:val="18"/>
                <w:szCs w:val="18"/>
              </w:rPr>
              <w:t>Պետական գրանցման համար</w:t>
            </w:r>
          </w:p>
        </w:tc>
        <w:tc>
          <w:tcPr>
            <w:tcW w:w="992"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1.1</w:t>
            </w:r>
          </w:p>
        </w:tc>
        <w:tc>
          <w:tcPr>
            <w:tcW w:w="993"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1.3</w:t>
            </w:r>
          </w:p>
        </w:tc>
        <w:tc>
          <w:tcPr>
            <w:tcW w:w="992"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1.1</w:t>
            </w:r>
          </w:p>
        </w:tc>
        <w:tc>
          <w:tcPr>
            <w:tcW w:w="1276"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83.2</w:t>
            </w:r>
          </w:p>
        </w:tc>
        <w:tc>
          <w:tcPr>
            <w:tcW w:w="1275"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94.9</w:t>
            </w:r>
          </w:p>
        </w:tc>
      </w:tr>
      <w:tr w:rsidR="00372C78" w:rsidRPr="00B57DAB" w:rsidTr="007E0A7D">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372C78" w:rsidRPr="00B57DAB" w:rsidRDefault="00372C78" w:rsidP="00372C78">
            <w:pPr>
              <w:rPr>
                <w:rFonts w:ascii="GHEA Grapalat" w:hAnsi="GHEA Grapalat" w:cs="Calibri"/>
                <w:sz w:val="18"/>
                <w:szCs w:val="18"/>
              </w:rPr>
            </w:pPr>
            <w:r w:rsidRPr="00B57DAB">
              <w:rPr>
                <w:rFonts w:ascii="GHEA Grapalat" w:hAnsi="GHEA Grapalat" w:cs="Calibri"/>
                <w:sz w:val="18"/>
                <w:szCs w:val="18"/>
              </w:rPr>
              <w:t>Ֆիզիկական անձանց տրվող իրավաբանական նշանակություն ունեցող փաստաթղթերի, որոշակի ծառայությունների կամ գործողությունների համար</w:t>
            </w:r>
          </w:p>
        </w:tc>
        <w:tc>
          <w:tcPr>
            <w:tcW w:w="992"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0.5</w:t>
            </w:r>
          </w:p>
        </w:tc>
        <w:tc>
          <w:tcPr>
            <w:tcW w:w="993"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0.6</w:t>
            </w:r>
          </w:p>
        </w:tc>
        <w:tc>
          <w:tcPr>
            <w:tcW w:w="992"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0.6</w:t>
            </w:r>
          </w:p>
        </w:tc>
        <w:tc>
          <w:tcPr>
            <w:tcW w:w="1276"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95.0</w:t>
            </w:r>
          </w:p>
        </w:tc>
        <w:tc>
          <w:tcPr>
            <w:tcW w:w="1275"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121.2</w:t>
            </w:r>
          </w:p>
        </w:tc>
      </w:tr>
      <w:tr w:rsidR="00372C78" w:rsidRPr="00B57DAB" w:rsidTr="007E0A7D">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372C78" w:rsidRPr="00B57DAB" w:rsidRDefault="00372C78" w:rsidP="00372C78">
            <w:pPr>
              <w:rPr>
                <w:rFonts w:ascii="GHEA Grapalat" w:hAnsi="GHEA Grapalat" w:cs="Calibri"/>
                <w:sz w:val="18"/>
                <w:szCs w:val="18"/>
              </w:rPr>
            </w:pPr>
            <w:r w:rsidRPr="00B57DAB">
              <w:rPr>
                <w:rFonts w:ascii="GHEA Grapalat" w:hAnsi="GHEA Grapalat" w:cs="Calibri"/>
                <w:sz w:val="18"/>
                <w:szCs w:val="18"/>
              </w:rPr>
              <w:t>Լիցենզավորման ենթակա կամ թույլտվություններով գործունեություն իրականացնելու նպատակով լիցենզիաներ, արտոնագրեր (թույլտվություններ) տալու համար</w:t>
            </w:r>
          </w:p>
        </w:tc>
        <w:tc>
          <w:tcPr>
            <w:tcW w:w="992"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1.9</w:t>
            </w:r>
          </w:p>
        </w:tc>
        <w:tc>
          <w:tcPr>
            <w:tcW w:w="993"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11.8</w:t>
            </w:r>
          </w:p>
        </w:tc>
        <w:tc>
          <w:tcPr>
            <w:tcW w:w="992"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17.4</w:t>
            </w:r>
          </w:p>
        </w:tc>
        <w:tc>
          <w:tcPr>
            <w:tcW w:w="1276"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147.7</w:t>
            </w:r>
          </w:p>
        </w:tc>
        <w:tc>
          <w:tcPr>
            <w:tcW w:w="1275"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934.2</w:t>
            </w:r>
          </w:p>
        </w:tc>
      </w:tr>
      <w:tr w:rsidR="00372C78" w:rsidRPr="00B57DAB" w:rsidTr="007E0A7D">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372C78" w:rsidRPr="00B57DAB" w:rsidRDefault="00372C78" w:rsidP="00372C78">
            <w:pPr>
              <w:rPr>
                <w:rFonts w:ascii="GHEA Grapalat" w:hAnsi="GHEA Grapalat" w:cs="Calibri"/>
                <w:sz w:val="18"/>
                <w:szCs w:val="18"/>
              </w:rPr>
            </w:pPr>
            <w:r w:rsidRPr="00B57DAB">
              <w:rPr>
                <w:rFonts w:ascii="GHEA Grapalat" w:hAnsi="GHEA Grapalat" w:cs="Calibri"/>
                <w:sz w:val="18"/>
                <w:szCs w:val="18"/>
              </w:rPr>
              <w:t>Օրենքով սահմանված այլ ծառայությունների և գործողությունների համար</w:t>
            </w:r>
          </w:p>
        </w:tc>
        <w:tc>
          <w:tcPr>
            <w:tcW w:w="992"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2.6</w:t>
            </w:r>
          </w:p>
        </w:tc>
        <w:tc>
          <w:tcPr>
            <w:tcW w:w="993"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4.0</w:t>
            </w:r>
          </w:p>
        </w:tc>
        <w:tc>
          <w:tcPr>
            <w:tcW w:w="992"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3.4</w:t>
            </w:r>
          </w:p>
        </w:tc>
        <w:tc>
          <w:tcPr>
            <w:tcW w:w="1276"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86.2</w:t>
            </w:r>
          </w:p>
        </w:tc>
        <w:tc>
          <w:tcPr>
            <w:tcW w:w="1275"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131.2</w:t>
            </w:r>
          </w:p>
        </w:tc>
      </w:tr>
      <w:tr w:rsidR="00372C78" w:rsidRPr="00B57DAB" w:rsidTr="007E0A7D">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372C78" w:rsidRPr="00B57DAB" w:rsidRDefault="00372C78" w:rsidP="00372C78">
            <w:pPr>
              <w:rPr>
                <w:rFonts w:ascii="GHEA Grapalat" w:hAnsi="GHEA Grapalat" w:cs="Calibri"/>
                <w:sz w:val="18"/>
                <w:szCs w:val="18"/>
              </w:rPr>
            </w:pPr>
            <w:r w:rsidRPr="00B57DAB">
              <w:rPr>
                <w:rFonts w:ascii="GHEA Grapalat" w:hAnsi="GHEA Grapalat" w:cs="Calibri"/>
                <w:sz w:val="18"/>
                <w:szCs w:val="18"/>
              </w:rPr>
              <w:t>Այլ պետական տուրքեր</w:t>
            </w:r>
            <w:r w:rsidRPr="00B57DAB">
              <w:rPr>
                <w:rStyle w:val="FootnoteReference"/>
                <w:rFonts w:ascii="GHEA Grapalat" w:hAnsi="GHEA Grapalat" w:cs="Calibri"/>
                <w:sz w:val="18"/>
                <w:szCs w:val="18"/>
              </w:rPr>
              <w:footnoteReference w:id="29"/>
            </w:r>
          </w:p>
        </w:tc>
        <w:tc>
          <w:tcPr>
            <w:tcW w:w="992"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0.1</w:t>
            </w:r>
          </w:p>
        </w:tc>
        <w:tc>
          <w:tcPr>
            <w:tcW w:w="993"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0.1</w:t>
            </w:r>
          </w:p>
        </w:tc>
        <w:tc>
          <w:tcPr>
            <w:tcW w:w="992" w:type="dxa"/>
            <w:tcBorders>
              <w:top w:val="nil"/>
              <w:left w:val="nil"/>
              <w:bottom w:val="single" w:sz="4" w:space="0" w:color="auto"/>
              <w:right w:val="single" w:sz="4" w:space="0" w:color="auto"/>
            </w:tcBorders>
            <w:shd w:val="clear" w:color="auto" w:fill="auto"/>
            <w:noWrap/>
            <w:vAlign w:val="center"/>
            <w:hideMark/>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0.1</w:t>
            </w:r>
          </w:p>
        </w:tc>
        <w:tc>
          <w:tcPr>
            <w:tcW w:w="1276"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98.7</w:t>
            </w:r>
          </w:p>
        </w:tc>
        <w:tc>
          <w:tcPr>
            <w:tcW w:w="1275" w:type="dxa"/>
            <w:tcBorders>
              <w:top w:val="nil"/>
              <w:left w:val="nil"/>
              <w:bottom w:val="single" w:sz="4" w:space="0" w:color="auto"/>
              <w:right w:val="single" w:sz="4" w:space="0" w:color="auto"/>
            </w:tcBorders>
            <w:vAlign w:val="center"/>
          </w:tcPr>
          <w:p w:rsidR="00372C78" w:rsidRPr="00B57DAB" w:rsidRDefault="00372C78" w:rsidP="00372C78">
            <w:pPr>
              <w:jc w:val="right"/>
              <w:rPr>
                <w:rFonts w:ascii="GHEA Grapalat" w:hAnsi="GHEA Grapalat" w:cs="Calibri"/>
                <w:sz w:val="18"/>
                <w:szCs w:val="18"/>
              </w:rPr>
            </w:pPr>
            <w:r w:rsidRPr="00B57DAB">
              <w:rPr>
                <w:rFonts w:ascii="GHEA Grapalat" w:hAnsi="GHEA Grapalat" w:cs="Calibri"/>
                <w:sz w:val="18"/>
                <w:szCs w:val="18"/>
              </w:rPr>
              <w:t>128.4</w:t>
            </w:r>
          </w:p>
        </w:tc>
      </w:tr>
    </w:tbl>
    <w:p w:rsidR="00372C78" w:rsidRPr="00B57DAB" w:rsidRDefault="00372C78" w:rsidP="00372C78">
      <w:pPr>
        <w:tabs>
          <w:tab w:val="left" w:pos="851"/>
        </w:tabs>
        <w:spacing w:line="360" w:lineRule="auto"/>
        <w:ind w:firstLine="567"/>
        <w:jc w:val="both"/>
        <w:rPr>
          <w:rFonts w:ascii="GHEA Grapalat" w:hAnsi="GHEA Grapalat" w:cs="GHEA Grapalat"/>
          <w:color w:val="000000"/>
          <w:sz w:val="22"/>
          <w:szCs w:val="22"/>
        </w:rPr>
      </w:pPr>
    </w:p>
    <w:p w:rsidR="00372C78" w:rsidRPr="00B57DAB" w:rsidRDefault="00372C78" w:rsidP="00372C78">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Calibri"/>
          <w:sz w:val="22"/>
          <w:szCs w:val="22"/>
        </w:rPr>
        <w:t xml:space="preserve">Հաշվետու ժամանակահատվածում պետական գրանցումների համար </w:t>
      </w:r>
      <w:r w:rsidR="00641370" w:rsidRPr="00B57DAB">
        <w:rPr>
          <w:rFonts w:ascii="GHEA Grapalat" w:hAnsi="GHEA Grapalat" w:cs="Calibri"/>
          <w:sz w:val="22"/>
          <w:szCs w:val="22"/>
        </w:rPr>
        <w:t>գանձված պետական տուրքի՝</w:t>
      </w:r>
      <w:r w:rsidRPr="00B57DAB">
        <w:rPr>
          <w:rFonts w:ascii="GHEA Grapalat" w:hAnsi="GHEA Grapalat" w:cs="Calibri"/>
          <w:sz w:val="22"/>
          <w:szCs w:val="22"/>
        </w:rPr>
        <w:t xml:space="preserve"> </w:t>
      </w:r>
      <w:r w:rsidR="00641370" w:rsidRPr="00B57DAB">
        <w:rPr>
          <w:rFonts w:ascii="GHEA Grapalat" w:hAnsi="GHEA Grapalat" w:cs="Calibri"/>
          <w:sz w:val="22"/>
          <w:szCs w:val="22"/>
        </w:rPr>
        <w:t>կ</w:t>
      </w:r>
      <w:r w:rsidRPr="00B57DAB">
        <w:rPr>
          <w:rFonts w:ascii="GHEA Grapalat" w:hAnsi="GHEA Grapalat" w:cs="Calibri"/>
          <w:sz w:val="22"/>
          <w:szCs w:val="22"/>
        </w:rPr>
        <w:t xml:space="preserve">անխատեսված ցուցանիշի համեմատ </w:t>
      </w:r>
      <w:r w:rsidR="00641370" w:rsidRPr="00B57DAB">
        <w:rPr>
          <w:rFonts w:ascii="GHEA Grapalat" w:hAnsi="GHEA Grapalat" w:cs="Calibri"/>
          <w:sz w:val="22"/>
          <w:szCs w:val="22"/>
        </w:rPr>
        <w:t>ցածր ցուցանիշը</w:t>
      </w:r>
      <w:r w:rsidRPr="00B57DAB">
        <w:rPr>
          <w:rFonts w:ascii="GHEA Grapalat" w:hAnsi="GHEA Grapalat" w:cs="Calibri"/>
          <w:sz w:val="22"/>
          <w:szCs w:val="22"/>
        </w:rPr>
        <w:t xml:space="preserve"> հիմնականում պայմանավորված է ավտոմոբիլի հաշվառման համարանիշ (բացառությամբ տարանցիկ և ժամանակավոր համարանիշի) տալու, գյուղատնտեսական ինքնագնաց մեքենայի գրանցման, պետական համարանիշ տալու, </w:t>
      </w:r>
      <w:r w:rsidRPr="00B57DAB">
        <w:rPr>
          <w:rFonts w:ascii="GHEA Grapalat" w:hAnsi="GHEA Grapalat" w:cs="GHEA Grapalat"/>
          <w:sz w:val="22"/>
          <w:szCs w:val="22"/>
        </w:rPr>
        <w:t>ինչպես նաև կորցրած պետական համարանիշը վերականգնելու և ավտոմոբիլի, մոտոտրանսպորտային միջոցի, տրիցիկլի, քվադրիցիկլի, կցորդի (կիսակցորդի) հաշվառման վկայագիր տալու համար բյուջե մուտքագրված տուրքերի կատարողականով, որոնք կազմել են համապատասխանաբար 465.6 մլն դրամ և 238.7 մլն դրամ՝ 22.4%-ով (134.8 մլն դրամով) և 20.4%</w:t>
      </w:r>
      <w:r w:rsidRPr="00B57DAB">
        <w:rPr>
          <w:rFonts w:ascii="GHEA Grapalat" w:hAnsi="GHEA Grapalat" w:cs="GHEA Grapalat"/>
          <w:sz w:val="22"/>
          <w:szCs w:val="22"/>
        </w:rPr>
        <w:noBreakHyphen/>
        <w:t xml:space="preserve">ով </w:t>
      </w:r>
      <w:r w:rsidRPr="00B57DAB">
        <w:rPr>
          <w:rFonts w:ascii="GHEA Grapalat" w:hAnsi="GHEA Grapalat" w:cs="GHEA Grapalat"/>
          <w:sz w:val="22"/>
          <w:szCs w:val="22"/>
        </w:rPr>
        <w:lastRenderedPageBreak/>
        <w:t>(61.3 մլն դրամով) զիջելով կանխատեսված ցուցանիշները: Նախորդ</w:t>
      </w:r>
      <w:r w:rsidRPr="00B57DAB">
        <w:rPr>
          <w:rFonts w:ascii="GHEA Grapalat" w:hAnsi="GHEA Grapalat" w:cs="GHEA Grapalat"/>
          <w:sz w:val="22"/>
          <w:szCs w:val="22"/>
          <w:lang w:val="zu-ZA"/>
        </w:rPr>
        <w:t xml:space="preserve"> </w:t>
      </w:r>
      <w:r w:rsidRPr="00B57DAB">
        <w:rPr>
          <w:rFonts w:ascii="GHEA Grapalat" w:hAnsi="GHEA Grapalat" w:cs="GHEA Grapalat"/>
          <w:sz w:val="22"/>
          <w:szCs w:val="22"/>
        </w:rPr>
        <w:t>տարվա</w:t>
      </w:r>
      <w:r w:rsidRPr="00B57DAB">
        <w:rPr>
          <w:rFonts w:ascii="GHEA Grapalat" w:hAnsi="GHEA Grapalat" w:cs="GHEA Grapalat"/>
          <w:sz w:val="22"/>
          <w:szCs w:val="22"/>
          <w:lang w:val="zu-ZA"/>
        </w:rPr>
        <w:t xml:space="preserve"> </w:t>
      </w:r>
      <w:r w:rsidRPr="00B57DAB">
        <w:rPr>
          <w:rFonts w:ascii="GHEA Grapalat" w:hAnsi="GHEA Grapalat" w:cs="GHEA Grapalat"/>
          <w:sz w:val="22"/>
          <w:szCs w:val="22"/>
        </w:rPr>
        <w:t xml:space="preserve">առաջին եռամսյակի համեմատ պետական գրանցումների համար գանձված տուրքերի նվազումը հիմնականում պայմանավորված է «Պետական տուրքի մասին» ՀՀ օրենքում կատարված </w:t>
      </w:r>
      <w:r w:rsidR="002D56DD" w:rsidRPr="00B57DAB">
        <w:rPr>
          <w:rFonts w:ascii="GHEA Grapalat" w:hAnsi="GHEA Grapalat" w:cs="GHEA Grapalat"/>
          <w:sz w:val="22"/>
          <w:szCs w:val="22"/>
        </w:rPr>
        <w:t>փոփոխությամբ</w:t>
      </w:r>
      <w:r w:rsidRPr="00B57DAB">
        <w:rPr>
          <w:rFonts w:ascii="GHEA Grapalat" w:hAnsi="GHEA Grapalat" w:cs="GHEA Grapalat"/>
          <w:sz w:val="22"/>
          <w:szCs w:val="22"/>
        </w:rPr>
        <w:t>, որի համաձայն 2021 թվականի օգոստոսի 18-ից հանվել է</w:t>
      </w:r>
      <w:r w:rsidR="002D56DD" w:rsidRPr="00B57DAB">
        <w:rPr>
          <w:rFonts w:ascii="GHEA Grapalat" w:hAnsi="GHEA Grapalat" w:cs="GHEA Grapalat"/>
          <w:sz w:val="22"/>
          <w:szCs w:val="22"/>
        </w:rPr>
        <w:t xml:space="preserve"> լիցենզառուներին տրանսպորտային միջոցների պարտադիր տեխնիկական զննության համապատասխան նմուշի փաստաթուղթ տրամադրելու համար</w:t>
      </w:r>
      <w:r w:rsidRPr="00B57DAB">
        <w:rPr>
          <w:rFonts w:ascii="GHEA Grapalat" w:hAnsi="GHEA Grapalat" w:cs="GHEA Grapalat"/>
          <w:sz w:val="22"/>
          <w:szCs w:val="22"/>
        </w:rPr>
        <w:t xml:space="preserve"> պետական տուրքի պահանջը: </w:t>
      </w:r>
    </w:p>
    <w:p w:rsidR="00372C78" w:rsidRPr="00B57DAB" w:rsidRDefault="00372C78" w:rsidP="00372C78">
      <w:pPr>
        <w:tabs>
          <w:tab w:val="left" w:pos="851"/>
        </w:tabs>
        <w:spacing w:line="360" w:lineRule="auto"/>
        <w:ind w:firstLine="567"/>
        <w:jc w:val="both"/>
        <w:rPr>
          <w:rFonts w:ascii="GHEA Grapalat" w:hAnsi="GHEA Grapalat" w:cs="GHEA Grapalat"/>
          <w:color w:val="000000"/>
          <w:sz w:val="22"/>
          <w:szCs w:val="22"/>
        </w:rPr>
      </w:pPr>
      <w:r w:rsidRPr="00B57DAB">
        <w:rPr>
          <w:rFonts w:ascii="GHEA Grapalat" w:hAnsi="GHEA Grapalat" w:cs="Calibri"/>
          <w:sz w:val="22"/>
          <w:szCs w:val="22"/>
        </w:rPr>
        <w:t xml:space="preserve">Հաշվետու ժամանակահատվածում պետական բյուջե մուտքագրված պետական տուրքերի 73.2%-ը ստացվել է </w:t>
      </w:r>
      <w:r w:rsidRPr="00B57DAB">
        <w:rPr>
          <w:rFonts w:ascii="GHEA Grapalat" w:hAnsi="GHEA Grapalat" w:cs="GHEA Grapalat"/>
          <w:i/>
          <w:color w:val="000000"/>
          <w:sz w:val="22"/>
          <w:szCs w:val="22"/>
        </w:rPr>
        <w:t xml:space="preserve">լիցենզավորման ենթակա կամ թույլտվություններով գործունեություն իրականացնելու նպատակով լիցենզիաներ, արտոնագրեր (թույլտվություններ) տալու </w:t>
      </w:r>
      <w:r w:rsidRPr="00B57DAB">
        <w:rPr>
          <w:rFonts w:ascii="GHEA Grapalat" w:hAnsi="GHEA Grapalat" w:cs="Calibri"/>
          <w:sz w:val="22"/>
          <w:szCs w:val="22"/>
        </w:rPr>
        <w:t xml:space="preserve">համար, որոնց գծով պետական բյուջե է մուտքագրվել շուրջ 17.4 մլրդ դրամ` 47.7%-ով (5.6 մլրդ դրամով) գերազանցելով կանխատեսված ցուցանիշը և 9.3 անգամ (15.5 մլրդ դրամով)՝ նախորդ տարվա նույն ժամանակահատվածի փաստացի մուտքերը: </w:t>
      </w:r>
      <w:r w:rsidR="006D3858" w:rsidRPr="00B57DAB">
        <w:rPr>
          <w:rFonts w:ascii="GHEA Grapalat" w:hAnsi="GHEA Grapalat" w:cs="Calibri"/>
          <w:sz w:val="22"/>
          <w:szCs w:val="22"/>
        </w:rPr>
        <w:t xml:space="preserve">Ծրագրվածից ավել մուտքերի ստացումը հիմնականում պայմանավորված է պղնձի և մոլիբդենի խտահանքեր արտահանելու լիցենզիաներ կամ թույլտվություններ կամ հավաստագրեր տրամադրելու համար պետական տուրքերի մուտքերով: Նշված տուրքը սահմանվել է 2021 թվականի սեպտեմբերից, և հիմնականում դրանով է պայմանավորված նախորդ տարվա առաջին եռամսյակի համեմատ պետական տուրքի գծով մուտքերի, և, մասնավորապես, լիցենզավորման գծով մուտքերի աճը: </w:t>
      </w:r>
      <w:r w:rsidRPr="00B57DAB">
        <w:rPr>
          <w:rFonts w:ascii="GHEA Grapalat" w:hAnsi="GHEA Grapalat" w:cs="Calibri"/>
          <w:sz w:val="22"/>
          <w:szCs w:val="22"/>
        </w:rPr>
        <w:t>Պղնձի և մոլիբդենի խտահանքեր արտահանելու լիցենզիաներ կամ թույլտվություններ կամ հավաստագրեր տրամադրելու համար ստացված պետական տուրքի հաշվին ապահովվել է լիցենզավորման ենթակա կամ թույլտվություններով գործունեություն իրականացնելու նպատակով լիցենզիաներ, արտոնագրեր (թույլտվություններ) տալու համար գանձվող տուրքերի 87.9%-ը, որոնց</w:t>
      </w:r>
      <w:r w:rsidRPr="00B57DAB">
        <w:rPr>
          <w:rFonts w:ascii="GHEA Grapalat" w:hAnsi="GHEA Grapalat" w:cs="GHEA Grapalat"/>
          <w:color w:val="000000"/>
          <w:sz w:val="22"/>
          <w:szCs w:val="22"/>
        </w:rPr>
        <w:t xml:space="preserve"> գծով պետական բյուջե է մուտքագրվել շուրջ 15.3 մլրդ դրամ՝ 52.7%-ով գերազանցելով առաջին եռամսյակի ծրագրային ցուցանիշը: </w:t>
      </w:r>
    </w:p>
    <w:p w:rsidR="00372C78" w:rsidRPr="00B57DAB" w:rsidRDefault="00372C78" w:rsidP="00372C78">
      <w:pPr>
        <w:tabs>
          <w:tab w:val="left" w:pos="851"/>
        </w:tabs>
        <w:spacing w:line="360" w:lineRule="auto"/>
        <w:ind w:firstLine="567"/>
        <w:jc w:val="both"/>
        <w:rPr>
          <w:rFonts w:ascii="GHEA Grapalat" w:hAnsi="GHEA Grapalat" w:cs="GHEA Grapalat"/>
          <w:color w:val="000000"/>
          <w:sz w:val="22"/>
          <w:szCs w:val="22"/>
        </w:rPr>
      </w:pPr>
      <w:r w:rsidRPr="00B57DAB">
        <w:rPr>
          <w:rFonts w:ascii="GHEA Grapalat" w:hAnsi="GHEA Grapalat" w:cs="GHEA Grapalat"/>
          <w:color w:val="000000"/>
          <w:sz w:val="22"/>
          <w:szCs w:val="22"/>
        </w:rPr>
        <w:t>Լիցենզավորման ենթակա կամ թույլտվություններով գործունեություն իրականացնելու նպատակով լիցենզիաներ, արտոնագրեր (թույլտվություններ) տալու համար գանձված տուրքերի առաջին եռամսյակի կան</w:t>
      </w:r>
      <w:r w:rsidRPr="00B57DAB">
        <w:rPr>
          <w:rFonts w:ascii="GHEA Grapalat" w:hAnsi="GHEA Grapalat" w:cs="Calibri"/>
          <w:sz w:val="22"/>
          <w:szCs w:val="22"/>
        </w:rPr>
        <w:t xml:space="preserve">խատեսված ցուցանիշի գերազանցումը մասամբ էլ պայմանավորված է </w:t>
      </w:r>
      <w:r w:rsidRPr="00B57DAB">
        <w:rPr>
          <w:rFonts w:ascii="GHEA Grapalat" w:hAnsi="GHEA Grapalat" w:cs="GHEA Grapalat"/>
          <w:color w:val="000000"/>
          <w:sz w:val="22"/>
          <w:szCs w:val="22"/>
        </w:rPr>
        <w:t xml:space="preserve">մաքսային բնագավառում </w:t>
      </w:r>
      <w:r w:rsidRPr="00B57DAB">
        <w:rPr>
          <w:rFonts w:ascii="GHEA Grapalat" w:hAnsi="GHEA Grapalat" w:cs="Calibri"/>
          <w:sz w:val="22"/>
          <w:szCs w:val="22"/>
        </w:rPr>
        <w:t>լիցենզիաներ տալու համար գանձվող տուրքերի կատարողականով: Հաշվետու ժամանակահատվածում մ</w:t>
      </w:r>
      <w:r w:rsidRPr="00B57DAB">
        <w:rPr>
          <w:rFonts w:ascii="GHEA Grapalat" w:hAnsi="GHEA Grapalat" w:cs="GHEA Grapalat"/>
          <w:color w:val="000000"/>
          <w:sz w:val="22"/>
          <w:szCs w:val="22"/>
        </w:rPr>
        <w:t xml:space="preserve">աքսային բնագավառում լիցենզավորման գծով մուտքերը կազմել են շուրջ 828 մլն դրամ՝ </w:t>
      </w:r>
      <w:r w:rsidRPr="00B57DAB">
        <w:rPr>
          <w:rFonts w:ascii="GHEA Grapalat" w:hAnsi="GHEA Grapalat" w:cs="Calibri"/>
          <w:sz w:val="22"/>
          <w:szCs w:val="22"/>
        </w:rPr>
        <w:t>17.2</w:t>
      </w:r>
      <w:r w:rsidRPr="00B57DAB">
        <w:rPr>
          <w:rFonts w:ascii="GHEA Grapalat" w:hAnsi="GHEA Grapalat" w:cs="GHEA Grapalat"/>
          <w:sz w:val="22"/>
          <w:szCs w:val="22"/>
        </w:rPr>
        <w:t>%-ով (121.5 մլն դրամով)</w:t>
      </w:r>
      <w:r w:rsidRPr="00B57DAB">
        <w:rPr>
          <w:rFonts w:ascii="GHEA Grapalat" w:hAnsi="GHEA Grapalat" w:cs="Calibri"/>
          <w:sz w:val="22"/>
          <w:szCs w:val="22"/>
        </w:rPr>
        <w:t xml:space="preserve"> գերազանցելով կանխատեսված և 23.1%</w:t>
      </w:r>
      <w:r w:rsidRPr="00B57DAB">
        <w:rPr>
          <w:rFonts w:ascii="GHEA Grapalat" w:hAnsi="GHEA Grapalat" w:cs="Calibri"/>
          <w:sz w:val="22"/>
          <w:szCs w:val="22"/>
        </w:rPr>
        <w:noBreakHyphen/>
        <w:t>ով (155.1 մլն դրամով)՝ նախորդ տարվա նույն ժամանակահատվածի փաստացի ցուցանիշները:</w:t>
      </w:r>
    </w:p>
    <w:p w:rsidR="00372C78" w:rsidRPr="00B57DAB" w:rsidRDefault="00372C78" w:rsidP="00372C78">
      <w:pPr>
        <w:tabs>
          <w:tab w:val="left" w:pos="851"/>
        </w:tabs>
        <w:spacing w:line="360" w:lineRule="auto"/>
        <w:ind w:firstLine="567"/>
        <w:jc w:val="both"/>
        <w:rPr>
          <w:rFonts w:ascii="GHEA Grapalat" w:hAnsi="GHEA Grapalat" w:cs="Calibri"/>
          <w:sz w:val="22"/>
          <w:szCs w:val="22"/>
        </w:rPr>
      </w:pPr>
      <w:r w:rsidRPr="00B57DAB">
        <w:rPr>
          <w:rFonts w:ascii="GHEA Grapalat" w:hAnsi="GHEA Grapalat" w:cs="GHEA Grapalat"/>
          <w:sz w:val="22"/>
          <w:szCs w:val="22"/>
        </w:rPr>
        <w:t>2022 թվ</w:t>
      </w:r>
      <w:r w:rsidRPr="00B57DAB">
        <w:rPr>
          <w:rFonts w:ascii="GHEA Grapalat" w:hAnsi="GHEA Grapalat" w:cs="Calibri"/>
          <w:sz w:val="22"/>
          <w:szCs w:val="22"/>
        </w:rPr>
        <w:t xml:space="preserve">ականի առաջին եռամսյակում պետական տուրքերի 14.4%-ը բյուջե է վճարվել </w:t>
      </w:r>
      <w:r w:rsidRPr="00B57DAB">
        <w:rPr>
          <w:rFonts w:ascii="GHEA Grapalat" w:hAnsi="GHEA Grapalat" w:cs="Calibri"/>
          <w:i/>
          <w:sz w:val="22"/>
          <w:szCs w:val="22"/>
        </w:rPr>
        <w:t>օրենքով սահմանված այլ ծառայությունների և գործողությունների</w:t>
      </w:r>
      <w:r w:rsidRPr="00B57DAB">
        <w:rPr>
          <w:rFonts w:ascii="GHEA Grapalat" w:hAnsi="GHEA Grapalat" w:cs="Calibri"/>
          <w:sz w:val="22"/>
          <w:szCs w:val="22"/>
        </w:rPr>
        <w:t xml:space="preserve"> դիմաց՝ կազմելով 3.4</w:t>
      </w:r>
      <w:r w:rsidRPr="00B57DAB">
        <w:rPr>
          <w:rFonts w:ascii="Courier New" w:hAnsi="Courier New" w:cs="Courier New"/>
          <w:sz w:val="22"/>
          <w:szCs w:val="22"/>
        </w:rPr>
        <w:t> </w:t>
      </w:r>
      <w:r w:rsidRPr="00B57DAB">
        <w:rPr>
          <w:rFonts w:ascii="GHEA Grapalat" w:hAnsi="GHEA Grapalat" w:cs="GHEA Grapalat"/>
          <w:sz w:val="22"/>
          <w:szCs w:val="22"/>
        </w:rPr>
        <w:t>մլրդ</w:t>
      </w:r>
      <w:r w:rsidRPr="00B57DAB">
        <w:rPr>
          <w:rFonts w:ascii="Courier New" w:hAnsi="Courier New" w:cs="Courier New"/>
          <w:sz w:val="22"/>
          <w:szCs w:val="22"/>
        </w:rPr>
        <w:t> </w:t>
      </w:r>
      <w:r w:rsidRPr="00B57DAB">
        <w:rPr>
          <w:rFonts w:ascii="GHEA Grapalat" w:hAnsi="GHEA Grapalat" w:cs="GHEA Grapalat"/>
          <w:sz w:val="22"/>
          <w:szCs w:val="22"/>
        </w:rPr>
        <w:t>դրամ</w:t>
      </w:r>
      <w:r w:rsidRPr="00B57DAB">
        <w:rPr>
          <w:rFonts w:ascii="GHEA Grapalat" w:hAnsi="GHEA Grapalat" w:cs="Calibri"/>
          <w:sz w:val="22"/>
          <w:szCs w:val="22"/>
        </w:rPr>
        <w:t xml:space="preserve">, </w:t>
      </w:r>
      <w:r w:rsidRPr="00B57DAB">
        <w:rPr>
          <w:rFonts w:ascii="GHEA Grapalat" w:hAnsi="GHEA Grapalat" w:cs="GHEA Grapalat"/>
          <w:sz w:val="22"/>
          <w:szCs w:val="22"/>
        </w:rPr>
        <w:t>որը</w:t>
      </w:r>
      <w:r w:rsidRPr="00B57DAB">
        <w:rPr>
          <w:rFonts w:ascii="GHEA Grapalat" w:hAnsi="GHEA Grapalat" w:cs="Calibri"/>
          <w:sz w:val="22"/>
          <w:szCs w:val="22"/>
        </w:rPr>
        <w:t xml:space="preserve"> </w:t>
      </w:r>
      <w:r w:rsidRPr="00B57DAB">
        <w:rPr>
          <w:rFonts w:ascii="GHEA Grapalat" w:hAnsi="GHEA Grapalat" w:cs="Calibri"/>
          <w:sz w:val="22"/>
          <w:szCs w:val="22"/>
        </w:rPr>
        <w:lastRenderedPageBreak/>
        <w:t>13.8%-</w:t>
      </w:r>
      <w:r w:rsidRPr="00B57DAB">
        <w:rPr>
          <w:rFonts w:ascii="GHEA Grapalat" w:hAnsi="GHEA Grapalat" w:cs="GHEA Grapalat"/>
          <w:sz w:val="22"/>
          <w:szCs w:val="22"/>
        </w:rPr>
        <w:t>ով</w:t>
      </w:r>
      <w:r w:rsidRPr="00B57DAB">
        <w:rPr>
          <w:rFonts w:ascii="GHEA Grapalat" w:hAnsi="GHEA Grapalat" w:cs="Calibri"/>
          <w:sz w:val="22"/>
          <w:szCs w:val="22"/>
        </w:rPr>
        <w:t xml:space="preserve"> (շուրջ </w:t>
      </w:r>
      <w:r w:rsidRPr="00B57DAB">
        <w:rPr>
          <w:rFonts w:ascii="GHEA Grapalat" w:hAnsi="GHEA Grapalat" w:cs="Calibri"/>
          <w:bCs/>
          <w:sz w:val="22"/>
          <w:szCs w:val="22"/>
        </w:rPr>
        <w:t xml:space="preserve">550.1 մլն </w:t>
      </w:r>
      <w:r w:rsidRPr="00B57DAB">
        <w:rPr>
          <w:rFonts w:ascii="GHEA Grapalat" w:hAnsi="GHEA Grapalat" w:cs="Calibri"/>
          <w:sz w:val="22"/>
          <w:szCs w:val="22"/>
        </w:rPr>
        <w:t>դրամով) զիջել</w:t>
      </w:r>
      <w:r w:rsidRPr="00B57DAB">
        <w:rPr>
          <w:rFonts w:ascii="GHEA Grapalat" w:hAnsi="GHEA Grapalat" w:cs="Calibri"/>
          <w:bCs/>
          <w:sz w:val="22"/>
          <w:szCs w:val="22"/>
        </w:rPr>
        <w:t xml:space="preserve"> է ծրագրային ցուցանիշը: Շեղումը հիմնականում պայմանավորված է </w:t>
      </w:r>
      <w:r w:rsidRPr="00B57DAB">
        <w:rPr>
          <w:rFonts w:ascii="GHEA Grapalat" w:hAnsi="GHEA Grapalat" w:cs="Calibri"/>
          <w:sz w:val="22"/>
          <w:szCs w:val="22"/>
        </w:rPr>
        <w:t>նրանով, որ սև մետաղի թափոնների և ջարդոնի, խողովակների և դրանց կցամասերի, սև մետաղական կոնստրուկցիաների, ինչպես նաև գունավոր մետաղի թափոնների և ջարդոնի արտահանման համար առաջին եռամսյակում նախատեսված 720 մլն դրամի դիմաց փաստացի մուտքեր չեն ստացվել: Վերջինս պայմանավորված է նրանով, որ ՀՕ-46-ն որոշմամբ (ուժի մեջ է մտել 2022 թվականի հունվարի 25-ին) 6 ամիս ժամկետով կիրառվել է Հայաստանի Հանրապետությունից մի շարք ապրանքների արտահանման ժամանակավոր արգելք: Միաժամանակ,</w:t>
      </w:r>
      <w:r w:rsidRPr="00B57DAB">
        <w:rPr>
          <w:rFonts w:ascii="GHEA Grapalat" w:hAnsi="GHEA Grapalat" w:cs="GHEA Grapalat"/>
          <w:color w:val="000000"/>
          <w:sz w:val="22"/>
          <w:szCs w:val="22"/>
        </w:rPr>
        <w:t xml:space="preserve"> հաշվետու եռամսյակում օրենքով սահմանված դեպքերում ծանուցման ենթակա գործունեությամբ զբաղվելու իրավունք ձեռք բերելու համար</w:t>
      </w:r>
      <w:r w:rsidR="00F72867" w:rsidRPr="00B57DAB">
        <w:rPr>
          <w:rFonts w:ascii="GHEA Grapalat" w:hAnsi="GHEA Grapalat" w:cs="GHEA Grapalat"/>
          <w:color w:val="000000"/>
          <w:sz w:val="22"/>
          <w:szCs w:val="22"/>
        </w:rPr>
        <w:t xml:space="preserve"> սահմանված պետական տուրքերը 4.3</w:t>
      </w:r>
      <w:r w:rsidR="00F72867" w:rsidRPr="00B57DAB">
        <w:rPr>
          <w:rFonts w:ascii="Courier New" w:hAnsi="Courier New" w:cs="Courier New"/>
          <w:color w:val="000000"/>
          <w:sz w:val="22"/>
          <w:szCs w:val="22"/>
        </w:rPr>
        <w:t> </w:t>
      </w:r>
      <w:r w:rsidRPr="00B57DAB">
        <w:rPr>
          <w:rFonts w:ascii="GHEA Grapalat" w:hAnsi="GHEA Grapalat" w:cs="GHEA Grapalat"/>
          <w:color w:val="000000"/>
          <w:sz w:val="22"/>
          <w:szCs w:val="22"/>
        </w:rPr>
        <w:t>անգամ կամ</w:t>
      </w:r>
      <w:r w:rsidR="005065D7" w:rsidRPr="00B57DAB">
        <w:rPr>
          <w:rFonts w:ascii="GHEA Grapalat" w:hAnsi="GHEA Grapalat" w:cs="GHEA Grapalat"/>
          <w:color w:val="000000"/>
          <w:sz w:val="22"/>
          <w:szCs w:val="22"/>
        </w:rPr>
        <w:t xml:space="preserve"> </w:t>
      </w:r>
      <w:r w:rsidRPr="00B57DAB">
        <w:rPr>
          <w:rFonts w:ascii="GHEA Grapalat" w:hAnsi="GHEA Grapalat" w:cs="GHEA Grapalat"/>
          <w:color w:val="000000"/>
          <w:sz w:val="22"/>
          <w:szCs w:val="22"/>
        </w:rPr>
        <w:t>513.4</w:t>
      </w:r>
      <w:r w:rsidRPr="00B57DAB">
        <w:rPr>
          <w:rFonts w:ascii="Courier New" w:hAnsi="Courier New" w:cs="Courier New"/>
          <w:color w:val="000000"/>
          <w:sz w:val="22"/>
          <w:szCs w:val="22"/>
        </w:rPr>
        <w:t> </w:t>
      </w:r>
      <w:r w:rsidRPr="00B57DAB">
        <w:rPr>
          <w:rFonts w:ascii="GHEA Grapalat" w:hAnsi="GHEA Grapalat" w:cs="GHEA Grapalat"/>
          <w:color w:val="000000"/>
          <w:sz w:val="22"/>
          <w:szCs w:val="22"/>
        </w:rPr>
        <w:t>մլն</w:t>
      </w:r>
      <w:r w:rsidRPr="00B57DAB">
        <w:rPr>
          <w:rFonts w:ascii="Courier New" w:hAnsi="Courier New" w:cs="Courier New"/>
          <w:color w:val="000000"/>
          <w:sz w:val="22"/>
          <w:szCs w:val="22"/>
        </w:rPr>
        <w:t> </w:t>
      </w:r>
      <w:r w:rsidRPr="00B57DAB">
        <w:rPr>
          <w:rFonts w:ascii="GHEA Grapalat" w:hAnsi="GHEA Grapalat" w:cs="GHEA Grapalat"/>
          <w:color w:val="000000"/>
          <w:sz w:val="22"/>
          <w:szCs w:val="22"/>
        </w:rPr>
        <w:t xml:space="preserve">դրամով գերազանցել են կանխատեսված ցուցանիշը՝ կազմելով շուրջ 667 մլն դրամ: </w:t>
      </w:r>
      <w:r w:rsidRPr="00B57DAB">
        <w:rPr>
          <w:rFonts w:ascii="GHEA Grapalat" w:hAnsi="GHEA Grapalat" w:cs="Calibri"/>
          <w:sz w:val="22"/>
          <w:szCs w:val="22"/>
        </w:rPr>
        <w:t>Նախորդ տարվա առաջին եռամսյակի համեմատ օրենքով սահմանված այլ ծառայությունների և գործողությունների</w:t>
      </w:r>
      <w:r w:rsidRPr="00B57DAB">
        <w:rPr>
          <w:rFonts w:ascii="GHEA Grapalat" w:hAnsi="GHEA Grapalat" w:cs="GHEA Grapalat"/>
          <w:color w:val="000000"/>
          <w:sz w:val="22"/>
          <w:szCs w:val="22"/>
        </w:rPr>
        <w:t xml:space="preserve"> համար գանձված տուրքերն աճել են 31.2</w:t>
      </w:r>
      <w:r w:rsidRPr="00B57DAB">
        <w:rPr>
          <w:rFonts w:ascii="GHEA Grapalat" w:hAnsi="GHEA Grapalat" w:cs="Calibri"/>
          <w:sz w:val="22"/>
          <w:szCs w:val="22"/>
        </w:rPr>
        <w:t xml:space="preserve">%-ով կամ 813.9 մլն դրամով, որը հիմնականում պայմանավորված է ՀՀ-ից օդային տրանսպորտի միջոցներով ֆիզիկական անձանց (օդային ուղևորների) ելքի և </w:t>
      </w:r>
      <w:r w:rsidRPr="00B57DAB">
        <w:rPr>
          <w:rFonts w:ascii="GHEA Grapalat" w:hAnsi="GHEA Grapalat" w:cs="GHEA Grapalat"/>
          <w:color w:val="000000"/>
          <w:sz w:val="22"/>
          <w:szCs w:val="22"/>
        </w:rPr>
        <w:t>օրենքով սահմանված դեպքերում ծանուցման ենթակա գործունեությամբ զբաղվելու իրավունք ձեռք բերելու</w:t>
      </w:r>
      <w:r w:rsidRPr="00B57DAB">
        <w:rPr>
          <w:rFonts w:ascii="GHEA Grapalat" w:hAnsi="GHEA Grapalat" w:cs="Calibri"/>
          <w:sz w:val="22"/>
          <w:szCs w:val="22"/>
        </w:rPr>
        <w:t xml:space="preserve"> համար գանձվող տուրքերի համապատասխանաբար 63.9% (842.5 մլն դրամ) և 37.7% (182.7 մլն դրամ) աճով:</w:t>
      </w:r>
    </w:p>
    <w:p w:rsidR="00887282" w:rsidRPr="00B57DAB" w:rsidRDefault="00887282" w:rsidP="008C2DC3">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43" w:name="_Toc8218752"/>
      <w:bookmarkStart w:id="44" w:name="_Toc39073421"/>
      <w:bookmarkStart w:id="45" w:name="_Toc71311892"/>
      <w:bookmarkStart w:id="46" w:name="_Toc102759890"/>
      <w:bookmarkEnd w:id="38"/>
      <w:r w:rsidRPr="00B57DAB">
        <w:rPr>
          <w:rFonts w:ascii="GHEA Grapalat" w:hAnsi="GHEA Grapalat"/>
          <w:bCs/>
          <w:i w:val="0"/>
          <w:noProof/>
          <w:sz w:val="22"/>
          <w:szCs w:val="22"/>
          <w:lang w:val="de-AT"/>
        </w:rPr>
        <w:t>Պաշտոնական դրամաշնորհներ</w:t>
      </w:r>
      <w:bookmarkEnd w:id="43"/>
      <w:bookmarkEnd w:id="44"/>
      <w:bookmarkEnd w:id="45"/>
      <w:bookmarkEnd w:id="46"/>
    </w:p>
    <w:p w:rsidR="00B4231A" w:rsidRPr="00B57DAB" w:rsidRDefault="00B4231A" w:rsidP="00B4231A">
      <w:pPr>
        <w:tabs>
          <w:tab w:val="left" w:pos="851"/>
        </w:tabs>
        <w:spacing w:line="360" w:lineRule="auto"/>
        <w:ind w:firstLine="567"/>
        <w:jc w:val="both"/>
        <w:rPr>
          <w:rFonts w:ascii="GHEA Grapalat" w:hAnsi="GHEA Grapalat" w:cs="GHEA Grapalat"/>
          <w:color w:val="000000"/>
          <w:sz w:val="22"/>
          <w:szCs w:val="22"/>
        </w:rPr>
      </w:pPr>
      <w:bookmarkStart w:id="47" w:name="_Toc8218753"/>
      <w:bookmarkStart w:id="48" w:name="_Toc39073422"/>
      <w:r w:rsidRPr="00B57DAB">
        <w:rPr>
          <w:rFonts w:ascii="GHEA Grapalat" w:hAnsi="GHEA Grapalat" w:cs="GHEA Grapalat"/>
          <w:color w:val="000000"/>
          <w:sz w:val="22"/>
          <w:szCs w:val="22"/>
        </w:rPr>
        <w:t>2022 թվականի առաջին եռամսյակի ընթացքում ստացվել են ավելի քան 1.3 մլրդ դրամ պաշտոնական դրամաշնորհներ՝ կազմելով առաջին եռամսյակում ծրագրված մուտքերի 20.6%-ը, որը պայմանավորված է նպատակային ծրագրերի կատար</w:t>
      </w:r>
      <w:r w:rsidR="00042AA2" w:rsidRPr="00B57DAB">
        <w:rPr>
          <w:rFonts w:ascii="GHEA Grapalat" w:hAnsi="GHEA Grapalat" w:cs="GHEA Grapalat"/>
          <w:color w:val="000000"/>
          <w:sz w:val="22"/>
          <w:szCs w:val="22"/>
        </w:rPr>
        <w:t>ման աստիճանով</w:t>
      </w:r>
      <w:r w:rsidRPr="00B57DAB">
        <w:rPr>
          <w:rFonts w:ascii="GHEA Grapalat" w:hAnsi="GHEA Grapalat" w:cs="GHEA Grapalat"/>
          <w:color w:val="000000"/>
          <w:sz w:val="22"/>
          <w:szCs w:val="22"/>
        </w:rPr>
        <w:t xml:space="preserve">: </w:t>
      </w:r>
    </w:p>
    <w:p w:rsidR="00B4231A" w:rsidRPr="00B57DAB" w:rsidRDefault="00B4231A" w:rsidP="00B4231A">
      <w:pPr>
        <w:tabs>
          <w:tab w:val="left" w:pos="851"/>
        </w:tabs>
        <w:spacing w:line="360" w:lineRule="auto"/>
        <w:ind w:firstLine="567"/>
        <w:jc w:val="both"/>
        <w:rPr>
          <w:rFonts w:ascii="GHEA Grapalat" w:hAnsi="GHEA Grapalat" w:cs="GHEA Grapalat"/>
          <w:color w:val="000000"/>
          <w:sz w:val="22"/>
          <w:szCs w:val="22"/>
        </w:rPr>
      </w:pPr>
    </w:p>
    <w:p w:rsidR="00B4231A" w:rsidRPr="00B57DAB" w:rsidRDefault="00B4231A" w:rsidP="00770F24">
      <w:pPr>
        <w:pStyle w:val="Caption"/>
        <w:keepNext/>
        <w:numPr>
          <w:ilvl w:val="0"/>
          <w:numId w:val="8"/>
        </w:numPr>
        <w:tabs>
          <w:tab w:val="left" w:pos="1134"/>
        </w:tabs>
        <w:ind w:left="0" w:firstLine="0"/>
        <w:jc w:val="left"/>
        <w:rPr>
          <w:rFonts w:ascii="GHEA Grapalat" w:hAnsi="GHEA Grapalat"/>
          <w:i/>
          <w:sz w:val="18"/>
          <w:szCs w:val="18"/>
          <w:lang w:val="hy-AM"/>
        </w:rPr>
      </w:pPr>
      <w:r w:rsidRPr="00B57DAB">
        <w:rPr>
          <w:rFonts w:ascii="GHEA Grapalat" w:hAnsi="GHEA Grapalat"/>
          <w:i/>
          <w:sz w:val="18"/>
          <w:szCs w:val="18"/>
          <w:lang w:val="hy-AM"/>
        </w:rPr>
        <w:t xml:space="preserve">Պաշտոնական դրամաշնորհներ (մլրդ դրամ) </w:t>
      </w:r>
    </w:p>
    <w:tbl>
      <w:tblPr>
        <w:tblW w:w="10206" w:type="dxa"/>
        <w:tblInd w:w="108" w:type="dxa"/>
        <w:tblLayout w:type="fixed"/>
        <w:tblLook w:val="04A0" w:firstRow="1" w:lastRow="0" w:firstColumn="1" w:lastColumn="0" w:noHBand="0" w:noVBand="1"/>
      </w:tblPr>
      <w:tblGrid>
        <w:gridCol w:w="4395"/>
        <w:gridCol w:w="1134"/>
        <w:gridCol w:w="1134"/>
        <w:gridCol w:w="992"/>
        <w:gridCol w:w="1276"/>
        <w:gridCol w:w="1275"/>
      </w:tblGrid>
      <w:tr w:rsidR="00B4231A" w:rsidRPr="00B57DAB" w:rsidTr="00B4231A">
        <w:trPr>
          <w:trHeight w:val="806"/>
        </w:trPr>
        <w:tc>
          <w:tcPr>
            <w:tcW w:w="4395" w:type="dxa"/>
            <w:tcBorders>
              <w:top w:val="single" w:sz="4" w:space="0" w:color="auto"/>
              <w:left w:val="single" w:sz="4" w:space="0" w:color="auto"/>
              <w:bottom w:val="single" w:sz="4" w:space="0" w:color="auto"/>
              <w:right w:val="single" w:sz="4" w:space="0" w:color="auto"/>
            </w:tcBorders>
            <w:noWrap/>
            <w:vAlign w:val="bottom"/>
            <w:hideMark/>
          </w:tcPr>
          <w:p w:rsidR="00B4231A" w:rsidRPr="00B57DAB" w:rsidRDefault="00B4231A" w:rsidP="00E02F0C">
            <w:pPr>
              <w:ind w:left="-15" w:firstLine="15"/>
              <w:rPr>
                <w:rFonts w:ascii="GHEA Grapalat" w:hAnsi="GHEA Grapalat" w:cs="Calibri"/>
                <w:sz w:val="18"/>
                <w:szCs w:val="18"/>
                <w:lang w:val="hy-AM"/>
              </w:rPr>
            </w:pPr>
            <w:r w:rsidRPr="00B57DAB">
              <w:rPr>
                <w:rFonts w:ascii="Courier New" w:hAnsi="Courier New" w:cs="Courier New"/>
                <w:sz w:val="18"/>
                <w:szCs w:val="18"/>
                <w:lang w:val="hy-AM"/>
              </w:rPr>
              <w:t> </w:t>
            </w:r>
          </w:p>
        </w:tc>
        <w:tc>
          <w:tcPr>
            <w:tcW w:w="1134" w:type="dxa"/>
            <w:tcBorders>
              <w:top w:val="single" w:sz="4" w:space="0" w:color="auto"/>
              <w:left w:val="nil"/>
              <w:bottom w:val="single" w:sz="4" w:space="0" w:color="auto"/>
              <w:right w:val="single" w:sz="4" w:space="0" w:color="auto"/>
            </w:tcBorders>
            <w:hideMark/>
          </w:tcPr>
          <w:p w:rsidR="00B4231A" w:rsidRPr="00B57DAB" w:rsidRDefault="00B4231A" w:rsidP="00E02F0C">
            <w:pPr>
              <w:jc w:val="center"/>
              <w:rPr>
                <w:rFonts w:ascii="GHEA Grapalat" w:hAnsi="GHEA Grapalat" w:cs="Calibri"/>
                <w:b/>
                <w:bCs/>
                <w:sz w:val="18"/>
                <w:szCs w:val="18"/>
              </w:rPr>
            </w:pPr>
            <w:r w:rsidRPr="00B57DAB">
              <w:rPr>
                <w:rFonts w:ascii="GHEA Grapalat" w:hAnsi="GHEA Grapalat" w:cs="Calibri"/>
                <w:b/>
                <w:bCs/>
                <w:sz w:val="18"/>
                <w:szCs w:val="18"/>
              </w:rPr>
              <w:t>2021թ. առաջին եռամս-յակի փաստ</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4231A" w:rsidRPr="00B57DAB" w:rsidRDefault="00B4231A" w:rsidP="00E02F0C">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 ճշտված պլան</w:t>
            </w:r>
          </w:p>
        </w:tc>
        <w:tc>
          <w:tcPr>
            <w:tcW w:w="992" w:type="dxa"/>
            <w:tcBorders>
              <w:top w:val="single" w:sz="4" w:space="0" w:color="auto"/>
              <w:left w:val="nil"/>
              <w:bottom w:val="single" w:sz="4" w:space="0" w:color="auto"/>
              <w:right w:val="single" w:sz="4" w:space="0" w:color="auto"/>
            </w:tcBorders>
            <w:shd w:val="clear" w:color="auto" w:fill="FFFFFF"/>
            <w:hideMark/>
          </w:tcPr>
          <w:p w:rsidR="00B4231A" w:rsidRPr="00B57DAB" w:rsidRDefault="00B4231A" w:rsidP="00E02F0C">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 փաստ</w:t>
            </w:r>
          </w:p>
        </w:tc>
        <w:tc>
          <w:tcPr>
            <w:tcW w:w="1276" w:type="dxa"/>
            <w:tcBorders>
              <w:top w:val="single" w:sz="4" w:space="0" w:color="auto"/>
              <w:left w:val="nil"/>
              <w:bottom w:val="single" w:sz="4" w:space="0" w:color="auto"/>
              <w:right w:val="single" w:sz="4" w:space="0" w:color="auto"/>
            </w:tcBorders>
            <w:shd w:val="clear" w:color="auto" w:fill="FFFFFF"/>
            <w:hideMark/>
          </w:tcPr>
          <w:p w:rsidR="00B4231A" w:rsidRPr="00B57DAB" w:rsidRDefault="00B4231A" w:rsidP="00E02F0C">
            <w:pPr>
              <w:jc w:val="center"/>
              <w:rPr>
                <w:rFonts w:ascii="GHEA Grapalat" w:hAnsi="GHEA Grapalat" w:cs="Calibri"/>
                <w:b/>
                <w:bCs/>
                <w:sz w:val="18"/>
                <w:szCs w:val="18"/>
              </w:rPr>
            </w:pPr>
            <w:r w:rsidRPr="00B57DAB">
              <w:rPr>
                <w:rFonts w:ascii="GHEA Grapalat" w:hAnsi="GHEA Grapalat" w:cs="Calibri"/>
                <w:b/>
                <w:bCs/>
                <w:sz w:val="18"/>
                <w:szCs w:val="18"/>
              </w:rPr>
              <w:t>Կատարո-ղականն առաջին եռամսյակի ճշտված պլանի նկատմամբ (%)</w:t>
            </w:r>
          </w:p>
        </w:tc>
        <w:tc>
          <w:tcPr>
            <w:tcW w:w="1275" w:type="dxa"/>
            <w:tcBorders>
              <w:top w:val="single" w:sz="4" w:space="0" w:color="auto"/>
              <w:left w:val="nil"/>
              <w:bottom w:val="single" w:sz="4" w:space="0" w:color="auto"/>
              <w:right w:val="single" w:sz="4" w:space="0" w:color="auto"/>
            </w:tcBorders>
            <w:shd w:val="clear" w:color="auto" w:fill="FFFFFF"/>
            <w:hideMark/>
          </w:tcPr>
          <w:p w:rsidR="00B4231A" w:rsidRPr="00B57DAB" w:rsidRDefault="00B4231A" w:rsidP="00E02F0C">
            <w:pPr>
              <w:jc w:val="center"/>
              <w:rPr>
                <w:rFonts w:ascii="GHEA Grapalat" w:hAnsi="GHEA Grapalat" w:cs="Calibri"/>
                <w:b/>
                <w:bCs/>
                <w:sz w:val="18"/>
                <w:szCs w:val="18"/>
              </w:rPr>
            </w:pPr>
            <w:r w:rsidRPr="00B57DAB">
              <w:rPr>
                <w:rFonts w:ascii="GHEA Grapalat" w:hAnsi="GHEA Grapalat" w:cs="Calibri"/>
                <w:b/>
                <w:bCs/>
                <w:sz w:val="18"/>
                <w:szCs w:val="18"/>
              </w:rPr>
              <w:t xml:space="preserve">2022թ. առաջին եռամսյակը 2021թ. </w:t>
            </w:r>
            <w:proofErr w:type="gramStart"/>
            <w:r w:rsidRPr="00B57DAB">
              <w:rPr>
                <w:rFonts w:ascii="GHEA Grapalat" w:hAnsi="GHEA Grapalat" w:cs="Calibri"/>
                <w:b/>
                <w:bCs/>
                <w:sz w:val="18"/>
                <w:szCs w:val="18"/>
              </w:rPr>
              <w:t>առաջին</w:t>
            </w:r>
            <w:proofErr w:type="gramEnd"/>
            <w:r w:rsidRPr="00B57DAB">
              <w:rPr>
                <w:rFonts w:ascii="GHEA Grapalat" w:hAnsi="GHEA Grapalat" w:cs="Calibri"/>
                <w:b/>
                <w:bCs/>
                <w:sz w:val="18"/>
                <w:szCs w:val="18"/>
              </w:rPr>
              <w:t xml:space="preserve"> եռամսյակի նկատմամբ (%)</w:t>
            </w:r>
          </w:p>
        </w:tc>
      </w:tr>
      <w:tr w:rsidR="00B4231A" w:rsidRPr="00B57DAB" w:rsidTr="00042AA2">
        <w:trPr>
          <w:trHeight w:val="419"/>
        </w:trPr>
        <w:tc>
          <w:tcPr>
            <w:tcW w:w="4395" w:type="dxa"/>
            <w:tcBorders>
              <w:top w:val="nil"/>
              <w:left w:val="single" w:sz="4" w:space="0" w:color="auto"/>
              <w:bottom w:val="single" w:sz="4" w:space="0" w:color="auto"/>
              <w:right w:val="single" w:sz="4" w:space="0" w:color="auto"/>
            </w:tcBorders>
            <w:vAlign w:val="bottom"/>
            <w:hideMark/>
          </w:tcPr>
          <w:p w:rsidR="00B4231A" w:rsidRPr="00B57DAB" w:rsidRDefault="00B4231A" w:rsidP="00042AA2">
            <w:pPr>
              <w:rPr>
                <w:rFonts w:ascii="GHEA Grapalat" w:hAnsi="GHEA Grapalat" w:cs="Calibri"/>
                <w:b/>
                <w:bCs/>
                <w:sz w:val="18"/>
                <w:szCs w:val="18"/>
              </w:rPr>
            </w:pPr>
            <w:r w:rsidRPr="00B57DAB">
              <w:rPr>
                <w:rFonts w:ascii="GHEA Grapalat" w:hAnsi="GHEA Grapalat" w:cs="Calibri"/>
                <w:b/>
                <w:i/>
                <w:sz w:val="18"/>
                <w:szCs w:val="18"/>
              </w:rPr>
              <w:t>Պաշտոնական դրամաշնորհներ</w:t>
            </w:r>
            <w:r w:rsidRPr="00B57DAB">
              <w:rPr>
                <w:rFonts w:ascii="GHEA Grapalat" w:hAnsi="GHEA Grapalat" w:cs="Calibri"/>
                <w:b/>
                <w:bCs/>
                <w:i/>
                <w:sz w:val="18"/>
                <w:szCs w:val="18"/>
              </w:rPr>
              <w:t>,</w:t>
            </w:r>
            <w:r w:rsidRPr="00B57DAB">
              <w:rPr>
                <w:rFonts w:ascii="GHEA Grapalat" w:hAnsi="GHEA Grapalat" w:cs="Calibri"/>
                <w:sz w:val="18"/>
                <w:szCs w:val="18"/>
              </w:rPr>
              <w:t xml:space="preserve"> այդ թվում`</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231A" w:rsidRPr="00B57DAB" w:rsidRDefault="00B4231A" w:rsidP="00042AA2">
            <w:pPr>
              <w:jc w:val="right"/>
              <w:rPr>
                <w:rFonts w:ascii="GHEA Grapalat" w:hAnsi="GHEA Grapalat" w:cs="Calibri"/>
                <w:b/>
                <w:bCs/>
                <w:sz w:val="18"/>
                <w:szCs w:val="18"/>
              </w:rPr>
            </w:pPr>
            <w:r w:rsidRPr="00B57DAB">
              <w:rPr>
                <w:rFonts w:ascii="GHEA Grapalat" w:hAnsi="GHEA Grapalat" w:cs="Calibri"/>
                <w:b/>
                <w:bCs/>
                <w:sz w:val="18"/>
                <w:szCs w:val="18"/>
              </w:rPr>
              <w:t>1.2</w:t>
            </w:r>
          </w:p>
        </w:tc>
        <w:tc>
          <w:tcPr>
            <w:tcW w:w="1134" w:type="dxa"/>
            <w:tcBorders>
              <w:top w:val="nil"/>
              <w:left w:val="single" w:sz="4" w:space="0" w:color="auto"/>
              <w:bottom w:val="single" w:sz="4" w:space="0" w:color="auto"/>
              <w:right w:val="single" w:sz="4" w:space="0" w:color="auto"/>
            </w:tcBorders>
            <w:noWrap/>
            <w:vAlign w:val="bottom"/>
            <w:hideMark/>
          </w:tcPr>
          <w:p w:rsidR="00B4231A" w:rsidRPr="00B57DAB" w:rsidRDefault="00B4231A" w:rsidP="00042AA2">
            <w:pPr>
              <w:jc w:val="right"/>
              <w:rPr>
                <w:rFonts w:ascii="GHEA Grapalat" w:hAnsi="GHEA Grapalat" w:cs="Calibri"/>
                <w:b/>
                <w:bCs/>
                <w:sz w:val="18"/>
                <w:szCs w:val="18"/>
              </w:rPr>
            </w:pPr>
            <w:r w:rsidRPr="00B57DAB">
              <w:rPr>
                <w:rFonts w:ascii="GHEA Grapalat" w:hAnsi="GHEA Grapalat" w:cs="Calibri"/>
                <w:b/>
                <w:bCs/>
                <w:sz w:val="18"/>
                <w:szCs w:val="18"/>
              </w:rPr>
              <w:t>6.4</w:t>
            </w:r>
          </w:p>
        </w:tc>
        <w:tc>
          <w:tcPr>
            <w:tcW w:w="992" w:type="dxa"/>
            <w:tcBorders>
              <w:top w:val="nil"/>
              <w:left w:val="nil"/>
              <w:bottom w:val="single" w:sz="4" w:space="0" w:color="auto"/>
              <w:right w:val="single" w:sz="4" w:space="0" w:color="auto"/>
            </w:tcBorders>
            <w:noWrap/>
            <w:vAlign w:val="bottom"/>
            <w:hideMark/>
          </w:tcPr>
          <w:p w:rsidR="00B4231A" w:rsidRPr="00B57DAB" w:rsidRDefault="00B4231A" w:rsidP="00042AA2">
            <w:pPr>
              <w:jc w:val="right"/>
              <w:rPr>
                <w:rFonts w:ascii="GHEA Grapalat" w:hAnsi="GHEA Grapalat" w:cs="Calibri"/>
                <w:b/>
                <w:bCs/>
                <w:sz w:val="18"/>
                <w:szCs w:val="18"/>
              </w:rPr>
            </w:pPr>
            <w:r w:rsidRPr="00B57DAB">
              <w:rPr>
                <w:rFonts w:ascii="GHEA Grapalat" w:hAnsi="GHEA Grapalat" w:cs="Calibri"/>
                <w:b/>
                <w:bCs/>
                <w:sz w:val="18"/>
                <w:szCs w:val="18"/>
              </w:rPr>
              <w:t>1.3</w:t>
            </w:r>
          </w:p>
        </w:tc>
        <w:tc>
          <w:tcPr>
            <w:tcW w:w="1276" w:type="dxa"/>
            <w:tcBorders>
              <w:top w:val="nil"/>
              <w:left w:val="nil"/>
              <w:bottom w:val="single" w:sz="4" w:space="0" w:color="auto"/>
              <w:right w:val="single" w:sz="4" w:space="0" w:color="auto"/>
            </w:tcBorders>
            <w:noWrap/>
            <w:vAlign w:val="bottom"/>
            <w:hideMark/>
          </w:tcPr>
          <w:p w:rsidR="00B4231A" w:rsidRPr="00B57DAB" w:rsidRDefault="00B4231A" w:rsidP="00042AA2">
            <w:pPr>
              <w:jc w:val="right"/>
              <w:rPr>
                <w:rFonts w:ascii="GHEA Grapalat" w:hAnsi="GHEA Grapalat"/>
                <w:b/>
                <w:bCs/>
                <w:sz w:val="18"/>
                <w:szCs w:val="18"/>
              </w:rPr>
            </w:pPr>
            <w:r w:rsidRPr="00B57DAB">
              <w:rPr>
                <w:rFonts w:ascii="GHEA Grapalat" w:hAnsi="GHEA Grapalat"/>
                <w:b/>
                <w:bCs/>
                <w:sz w:val="18"/>
                <w:szCs w:val="18"/>
              </w:rPr>
              <w:t>20.6</w:t>
            </w:r>
          </w:p>
        </w:tc>
        <w:tc>
          <w:tcPr>
            <w:tcW w:w="1275" w:type="dxa"/>
            <w:tcBorders>
              <w:top w:val="nil"/>
              <w:left w:val="nil"/>
              <w:bottom w:val="single" w:sz="4" w:space="0" w:color="auto"/>
              <w:right w:val="single" w:sz="4" w:space="0" w:color="auto"/>
            </w:tcBorders>
            <w:vAlign w:val="bottom"/>
          </w:tcPr>
          <w:p w:rsidR="00B4231A" w:rsidRPr="00B57DAB" w:rsidRDefault="00B4231A" w:rsidP="00042AA2">
            <w:pPr>
              <w:jc w:val="right"/>
              <w:rPr>
                <w:rFonts w:ascii="GHEA Grapalat" w:hAnsi="GHEA Grapalat"/>
                <w:b/>
                <w:bCs/>
                <w:sz w:val="18"/>
                <w:szCs w:val="18"/>
              </w:rPr>
            </w:pPr>
            <w:r w:rsidRPr="00B57DAB">
              <w:rPr>
                <w:rFonts w:ascii="GHEA Grapalat" w:hAnsi="GHEA Grapalat"/>
                <w:b/>
                <w:bCs/>
                <w:sz w:val="18"/>
                <w:szCs w:val="18"/>
              </w:rPr>
              <w:t>105.6</w:t>
            </w:r>
          </w:p>
        </w:tc>
      </w:tr>
      <w:tr w:rsidR="00B4231A" w:rsidRPr="00B57DAB" w:rsidTr="00042AA2">
        <w:trPr>
          <w:trHeight w:val="342"/>
        </w:trPr>
        <w:tc>
          <w:tcPr>
            <w:tcW w:w="4395" w:type="dxa"/>
            <w:tcBorders>
              <w:top w:val="nil"/>
              <w:left w:val="single" w:sz="4" w:space="0" w:color="auto"/>
              <w:bottom w:val="single" w:sz="4" w:space="0" w:color="auto"/>
              <w:right w:val="single" w:sz="4" w:space="0" w:color="auto"/>
            </w:tcBorders>
            <w:noWrap/>
            <w:vAlign w:val="bottom"/>
            <w:hideMark/>
          </w:tcPr>
          <w:p w:rsidR="00B4231A" w:rsidRPr="00B57DAB" w:rsidRDefault="00B4231A" w:rsidP="00042AA2">
            <w:pPr>
              <w:ind w:firstLineChars="100" w:firstLine="180"/>
              <w:rPr>
                <w:rFonts w:ascii="GHEA Grapalat" w:hAnsi="GHEA Grapalat" w:cs="Calibri"/>
                <w:sz w:val="18"/>
                <w:szCs w:val="18"/>
              </w:rPr>
            </w:pPr>
            <w:r w:rsidRPr="00B57DAB">
              <w:rPr>
                <w:rFonts w:ascii="GHEA Grapalat" w:hAnsi="GHEA Grapalat" w:cs="Calibri"/>
                <w:sz w:val="18"/>
                <w:szCs w:val="18"/>
              </w:rPr>
              <w:t xml:space="preserve">Նպատակային դրամաշնորհներ </w:t>
            </w:r>
          </w:p>
        </w:tc>
        <w:tc>
          <w:tcPr>
            <w:tcW w:w="1134" w:type="dxa"/>
            <w:tcBorders>
              <w:top w:val="nil"/>
              <w:left w:val="single" w:sz="4" w:space="0" w:color="auto"/>
              <w:bottom w:val="single" w:sz="4" w:space="0" w:color="auto"/>
              <w:right w:val="single" w:sz="4" w:space="0" w:color="auto"/>
            </w:tcBorders>
            <w:vAlign w:val="bottom"/>
            <w:hideMark/>
          </w:tcPr>
          <w:p w:rsidR="00B4231A" w:rsidRPr="00B57DAB" w:rsidRDefault="00B4231A" w:rsidP="00042AA2">
            <w:pPr>
              <w:jc w:val="right"/>
              <w:rPr>
                <w:rFonts w:ascii="GHEA Grapalat" w:hAnsi="GHEA Grapalat" w:cs="Calibri"/>
                <w:sz w:val="18"/>
                <w:szCs w:val="18"/>
              </w:rPr>
            </w:pPr>
            <w:r w:rsidRPr="00B57DAB">
              <w:rPr>
                <w:rFonts w:ascii="GHEA Grapalat" w:hAnsi="GHEA Grapalat" w:cs="Calibri"/>
                <w:sz w:val="18"/>
                <w:szCs w:val="18"/>
              </w:rPr>
              <w:t>1.2</w:t>
            </w:r>
          </w:p>
        </w:tc>
        <w:tc>
          <w:tcPr>
            <w:tcW w:w="1134" w:type="dxa"/>
            <w:tcBorders>
              <w:top w:val="nil"/>
              <w:left w:val="single" w:sz="4" w:space="0" w:color="auto"/>
              <w:bottom w:val="single" w:sz="4" w:space="0" w:color="auto"/>
              <w:right w:val="single" w:sz="4" w:space="0" w:color="auto"/>
            </w:tcBorders>
            <w:noWrap/>
            <w:vAlign w:val="bottom"/>
            <w:hideMark/>
          </w:tcPr>
          <w:p w:rsidR="00B4231A" w:rsidRPr="00B57DAB" w:rsidRDefault="00B4231A" w:rsidP="00042AA2">
            <w:pPr>
              <w:jc w:val="right"/>
              <w:rPr>
                <w:rFonts w:ascii="GHEA Grapalat" w:hAnsi="GHEA Grapalat" w:cs="Calibri"/>
                <w:sz w:val="18"/>
                <w:szCs w:val="18"/>
              </w:rPr>
            </w:pPr>
            <w:r w:rsidRPr="00B57DAB">
              <w:rPr>
                <w:rFonts w:ascii="GHEA Grapalat" w:hAnsi="GHEA Grapalat" w:cs="Calibri"/>
                <w:sz w:val="18"/>
                <w:szCs w:val="18"/>
              </w:rPr>
              <w:t>6.2</w:t>
            </w:r>
          </w:p>
        </w:tc>
        <w:tc>
          <w:tcPr>
            <w:tcW w:w="992" w:type="dxa"/>
            <w:tcBorders>
              <w:top w:val="nil"/>
              <w:left w:val="nil"/>
              <w:bottom w:val="single" w:sz="4" w:space="0" w:color="auto"/>
              <w:right w:val="single" w:sz="4" w:space="0" w:color="auto"/>
            </w:tcBorders>
            <w:noWrap/>
            <w:vAlign w:val="bottom"/>
            <w:hideMark/>
          </w:tcPr>
          <w:p w:rsidR="00B4231A" w:rsidRPr="00B57DAB" w:rsidRDefault="00B4231A" w:rsidP="00042AA2">
            <w:pPr>
              <w:jc w:val="right"/>
              <w:rPr>
                <w:rFonts w:ascii="GHEA Grapalat" w:hAnsi="GHEA Grapalat" w:cs="Calibri"/>
                <w:sz w:val="18"/>
                <w:szCs w:val="18"/>
              </w:rPr>
            </w:pPr>
            <w:r w:rsidRPr="00B57DAB">
              <w:rPr>
                <w:rFonts w:ascii="GHEA Grapalat" w:hAnsi="GHEA Grapalat" w:cs="Calibri"/>
                <w:sz w:val="18"/>
                <w:szCs w:val="18"/>
              </w:rPr>
              <w:t>1.1</w:t>
            </w:r>
          </w:p>
        </w:tc>
        <w:tc>
          <w:tcPr>
            <w:tcW w:w="1276" w:type="dxa"/>
            <w:tcBorders>
              <w:top w:val="nil"/>
              <w:left w:val="nil"/>
              <w:bottom w:val="single" w:sz="4" w:space="0" w:color="auto"/>
              <w:right w:val="single" w:sz="4" w:space="0" w:color="auto"/>
            </w:tcBorders>
            <w:noWrap/>
            <w:vAlign w:val="bottom"/>
            <w:hideMark/>
          </w:tcPr>
          <w:p w:rsidR="00B4231A" w:rsidRPr="00B57DAB" w:rsidRDefault="00B4231A" w:rsidP="00042AA2">
            <w:pPr>
              <w:jc w:val="right"/>
              <w:rPr>
                <w:rFonts w:ascii="GHEA Grapalat" w:hAnsi="GHEA Grapalat" w:cs="Calibri"/>
                <w:sz w:val="18"/>
                <w:szCs w:val="18"/>
              </w:rPr>
            </w:pPr>
            <w:r w:rsidRPr="00B57DAB">
              <w:rPr>
                <w:rFonts w:ascii="GHEA Grapalat" w:hAnsi="GHEA Grapalat"/>
                <w:bCs/>
                <w:sz w:val="18"/>
                <w:szCs w:val="18"/>
              </w:rPr>
              <w:t>18.2</w:t>
            </w:r>
          </w:p>
        </w:tc>
        <w:tc>
          <w:tcPr>
            <w:tcW w:w="1275" w:type="dxa"/>
            <w:tcBorders>
              <w:top w:val="nil"/>
              <w:left w:val="nil"/>
              <w:bottom w:val="single" w:sz="4" w:space="0" w:color="auto"/>
              <w:right w:val="single" w:sz="4" w:space="0" w:color="auto"/>
            </w:tcBorders>
            <w:vAlign w:val="bottom"/>
            <w:hideMark/>
          </w:tcPr>
          <w:p w:rsidR="00B4231A" w:rsidRPr="00B57DAB" w:rsidRDefault="00B4231A" w:rsidP="00042AA2">
            <w:pPr>
              <w:jc w:val="right"/>
              <w:rPr>
                <w:rFonts w:ascii="GHEA Grapalat" w:hAnsi="GHEA Grapalat"/>
                <w:bCs/>
                <w:sz w:val="18"/>
                <w:szCs w:val="18"/>
              </w:rPr>
            </w:pPr>
            <w:r w:rsidRPr="00B57DAB">
              <w:rPr>
                <w:rFonts w:ascii="GHEA Grapalat" w:hAnsi="GHEA Grapalat"/>
                <w:bCs/>
                <w:sz w:val="18"/>
                <w:szCs w:val="18"/>
              </w:rPr>
              <w:t>90.8</w:t>
            </w:r>
          </w:p>
        </w:tc>
      </w:tr>
      <w:tr w:rsidR="00B4231A" w:rsidRPr="00B57DAB" w:rsidTr="00042AA2">
        <w:trPr>
          <w:trHeight w:val="305"/>
        </w:trPr>
        <w:tc>
          <w:tcPr>
            <w:tcW w:w="4395" w:type="dxa"/>
            <w:tcBorders>
              <w:top w:val="nil"/>
              <w:left w:val="single" w:sz="4" w:space="0" w:color="auto"/>
              <w:bottom w:val="single" w:sz="4" w:space="0" w:color="auto"/>
              <w:right w:val="single" w:sz="4" w:space="0" w:color="auto"/>
            </w:tcBorders>
            <w:noWrap/>
            <w:vAlign w:val="bottom"/>
            <w:hideMark/>
          </w:tcPr>
          <w:p w:rsidR="00B4231A" w:rsidRPr="00B57DAB" w:rsidRDefault="00B4231A" w:rsidP="00042AA2">
            <w:pPr>
              <w:ind w:firstLineChars="100" w:firstLine="180"/>
              <w:rPr>
                <w:rFonts w:ascii="GHEA Grapalat" w:hAnsi="GHEA Grapalat" w:cs="Calibri"/>
                <w:sz w:val="18"/>
                <w:szCs w:val="18"/>
              </w:rPr>
            </w:pPr>
            <w:r w:rsidRPr="00B57DAB">
              <w:rPr>
                <w:rFonts w:ascii="GHEA Grapalat" w:hAnsi="GHEA Grapalat" w:cs="Calibri"/>
                <w:sz w:val="18"/>
                <w:szCs w:val="18"/>
              </w:rPr>
              <w:t xml:space="preserve">Բյուջետային աջակցության դրամաշնորհներ </w:t>
            </w:r>
          </w:p>
        </w:tc>
        <w:tc>
          <w:tcPr>
            <w:tcW w:w="1134" w:type="dxa"/>
            <w:tcBorders>
              <w:top w:val="nil"/>
              <w:left w:val="single" w:sz="4" w:space="0" w:color="auto"/>
              <w:bottom w:val="single" w:sz="4" w:space="0" w:color="auto"/>
              <w:right w:val="single" w:sz="4" w:space="0" w:color="auto"/>
            </w:tcBorders>
            <w:vAlign w:val="bottom"/>
            <w:hideMark/>
          </w:tcPr>
          <w:p w:rsidR="00B4231A" w:rsidRPr="00B57DAB" w:rsidRDefault="00B4231A" w:rsidP="00042AA2">
            <w:pPr>
              <w:jc w:val="right"/>
              <w:rPr>
                <w:rFonts w:ascii="GHEA Grapalat" w:hAnsi="GHEA Grapalat" w:cs="Calibri"/>
                <w:sz w:val="18"/>
                <w:szCs w:val="18"/>
              </w:rPr>
            </w:pPr>
            <w:r w:rsidRPr="00B57DAB">
              <w:rPr>
                <w:rFonts w:ascii="GHEA Grapalat" w:hAnsi="GHEA Grapalat" w:cs="Calibri"/>
                <w:sz w:val="18"/>
                <w:szCs w:val="18"/>
              </w:rPr>
              <w:t>0.0</w:t>
            </w:r>
          </w:p>
        </w:tc>
        <w:tc>
          <w:tcPr>
            <w:tcW w:w="1134" w:type="dxa"/>
            <w:tcBorders>
              <w:top w:val="nil"/>
              <w:left w:val="single" w:sz="4" w:space="0" w:color="auto"/>
              <w:bottom w:val="single" w:sz="4" w:space="0" w:color="auto"/>
              <w:right w:val="single" w:sz="4" w:space="0" w:color="auto"/>
            </w:tcBorders>
            <w:noWrap/>
            <w:vAlign w:val="bottom"/>
            <w:hideMark/>
          </w:tcPr>
          <w:p w:rsidR="00B4231A" w:rsidRPr="00B57DAB" w:rsidRDefault="00B4231A" w:rsidP="00042AA2">
            <w:pPr>
              <w:jc w:val="right"/>
              <w:rPr>
                <w:rFonts w:ascii="GHEA Grapalat" w:hAnsi="GHEA Grapalat" w:cs="Calibri"/>
                <w:sz w:val="18"/>
                <w:szCs w:val="18"/>
              </w:rPr>
            </w:pPr>
            <w:r w:rsidRPr="00B57DAB">
              <w:rPr>
                <w:rFonts w:ascii="GHEA Grapalat" w:hAnsi="GHEA Grapalat" w:cs="Calibri"/>
                <w:sz w:val="18"/>
                <w:szCs w:val="18"/>
              </w:rPr>
              <w:t>0.2</w:t>
            </w:r>
          </w:p>
        </w:tc>
        <w:tc>
          <w:tcPr>
            <w:tcW w:w="992" w:type="dxa"/>
            <w:tcBorders>
              <w:top w:val="nil"/>
              <w:left w:val="nil"/>
              <w:bottom w:val="single" w:sz="4" w:space="0" w:color="auto"/>
              <w:right w:val="single" w:sz="4" w:space="0" w:color="auto"/>
            </w:tcBorders>
            <w:noWrap/>
            <w:vAlign w:val="bottom"/>
            <w:hideMark/>
          </w:tcPr>
          <w:p w:rsidR="00B4231A" w:rsidRPr="00B57DAB" w:rsidRDefault="00B4231A" w:rsidP="00042AA2">
            <w:pPr>
              <w:jc w:val="right"/>
              <w:rPr>
                <w:rFonts w:ascii="GHEA Grapalat" w:hAnsi="GHEA Grapalat" w:cs="Calibri"/>
                <w:sz w:val="18"/>
                <w:szCs w:val="18"/>
              </w:rPr>
            </w:pPr>
            <w:r w:rsidRPr="00B57DAB">
              <w:rPr>
                <w:rFonts w:ascii="GHEA Grapalat" w:hAnsi="GHEA Grapalat" w:cs="Calibri"/>
                <w:sz w:val="18"/>
                <w:szCs w:val="18"/>
              </w:rPr>
              <w:t>0.2</w:t>
            </w:r>
          </w:p>
        </w:tc>
        <w:tc>
          <w:tcPr>
            <w:tcW w:w="1276" w:type="dxa"/>
            <w:tcBorders>
              <w:top w:val="nil"/>
              <w:left w:val="nil"/>
              <w:bottom w:val="single" w:sz="4" w:space="0" w:color="auto"/>
              <w:right w:val="single" w:sz="4" w:space="0" w:color="auto"/>
            </w:tcBorders>
            <w:noWrap/>
            <w:vAlign w:val="bottom"/>
          </w:tcPr>
          <w:p w:rsidR="00B4231A" w:rsidRPr="00B57DAB" w:rsidRDefault="00B4231A" w:rsidP="00042AA2">
            <w:pPr>
              <w:jc w:val="right"/>
              <w:rPr>
                <w:rFonts w:ascii="GHEA Grapalat" w:hAnsi="GHEA Grapalat"/>
                <w:bCs/>
                <w:sz w:val="18"/>
                <w:szCs w:val="18"/>
              </w:rPr>
            </w:pPr>
            <w:r w:rsidRPr="00B57DAB">
              <w:rPr>
                <w:rFonts w:ascii="GHEA Grapalat" w:hAnsi="GHEA Grapalat"/>
                <w:bCs/>
                <w:sz w:val="18"/>
                <w:szCs w:val="18"/>
              </w:rPr>
              <w:t>100.0</w:t>
            </w:r>
          </w:p>
        </w:tc>
        <w:tc>
          <w:tcPr>
            <w:tcW w:w="1275" w:type="dxa"/>
            <w:tcBorders>
              <w:top w:val="nil"/>
              <w:left w:val="nil"/>
              <w:bottom w:val="single" w:sz="4" w:space="0" w:color="auto"/>
              <w:right w:val="single" w:sz="4" w:space="0" w:color="auto"/>
            </w:tcBorders>
            <w:vAlign w:val="bottom"/>
            <w:hideMark/>
          </w:tcPr>
          <w:p w:rsidR="00B4231A" w:rsidRPr="00B57DAB" w:rsidRDefault="00B4231A" w:rsidP="00042AA2">
            <w:pPr>
              <w:jc w:val="right"/>
              <w:rPr>
                <w:rFonts w:ascii="GHEA Grapalat" w:hAnsi="GHEA Grapalat"/>
                <w:bCs/>
                <w:sz w:val="18"/>
                <w:szCs w:val="18"/>
              </w:rPr>
            </w:pPr>
            <w:r w:rsidRPr="00B57DAB">
              <w:rPr>
                <w:rFonts w:ascii="GHEA Grapalat" w:hAnsi="GHEA Grapalat"/>
                <w:bCs/>
                <w:sz w:val="18"/>
                <w:szCs w:val="18"/>
              </w:rPr>
              <w:t>-</w:t>
            </w:r>
          </w:p>
        </w:tc>
      </w:tr>
    </w:tbl>
    <w:p w:rsidR="00B4231A" w:rsidRPr="00B57DAB" w:rsidRDefault="00B4231A" w:rsidP="005A29FB">
      <w:pPr>
        <w:tabs>
          <w:tab w:val="left" w:pos="851"/>
        </w:tabs>
        <w:spacing w:line="360" w:lineRule="auto"/>
        <w:ind w:firstLine="567"/>
        <w:jc w:val="both"/>
        <w:rPr>
          <w:rFonts w:ascii="GHEA Grapalat" w:hAnsi="GHEA Grapalat" w:cs="GHEA Grapalat"/>
          <w:color w:val="000000"/>
          <w:sz w:val="22"/>
          <w:szCs w:val="22"/>
        </w:rPr>
      </w:pPr>
    </w:p>
    <w:p w:rsidR="00B4231A" w:rsidRPr="00B57DAB" w:rsidRDefault="00B4231A" w:rsidP="00B4231A">
      <w:pPr>
        <w:tabs>
          <w:tab w:val="left" w:pos="851"/>
        </w:tabs>
        <w:spacing w:line="360" w:lineRule="auto"/>
        <w:ind w:firstLine="567"/>
        <w:jc w:val="both"/>
        <w:rPr>
          <w:rFonts w:ascii="GHEA Grapalat" w:hAnsi="GHEA Grapalat" w:cs="GHEA Grapalat"/>
          <w:color w:val="000000"/>
          <w:sz w:val="22"/>
          <w:szCs w:val="22"/>
        </w:rPr>
      </w:pPr>
      <w:r w:rsidRPr="00B57DAB">
        <w:rPr>
          <w:rFonts w:ascii="GHEA Grapalat" w:hAnsi="GHEA Grapalat" w:cs="GHEA Grapalat"/>
          <w:color w:val="000000"/>
          <w:sz w:val="22"/>
          <w:szCs w:val="22"/>
        </w:rPr>
        <w:t>Նպատակային ծրագրերից 6-ի շրջանակներում նախատեսված 3.1</w:t>
      </w:r>
      <w:r w:rsidR="00092FE8" w:rsidRPr="00B57DAB">
        <w:rPr>
          <w:rFonts w:ascii="GHEA Grapalat" w:hAnsi="GHEA Grapalat" w:cs="GHEA Grapalat"/>
          <w:color w:val="000000"/>
          <w:sz w:val="22"/>
          <w:szCs w:val="22"/>
        </w:rPr>
        <w:t xml:space="preserve"> </w:t>
      </w:r>
      <w:r w:rsidR="00042AA2" w:rsidRPr="00B57DAB">
        <w:rPr>
          <w:rFonts w:ascii="GHEA Grapalat" w:hAnsi="GHEA Grapalat" w:cs="GHEA Grapalat"/>
          <w:color w:val="000000"/>
          <w:sz w:val="22"/>
          <w:szCs w:val="22"/>
        </w:rPr>
        <w:t>մլրդ դրամ դրամաշնորհները</w:t>
      </w:r>
      <w:r w:rsidRPr="00B57DAB">
        <w:rPr>
          <w:rFonts w:ascii="GHEA Grapalat" w:hAnsi="GHEA Grapalat" w:cs="GHEA Grapalat"/>
          <w:color w:val="000000"/>
          <w:sz w:val="22"/>
          <w:szCs w:val="22"/>
        </w:rPr>
        <w:t xml:space="preserve"> չեն ստացվել, իսկ 5 ծրագրերի շրջանակներում նախատեսված միջոցները </w:t>
      </w:r>
      <w:r w:rsidRPr="00B57DAB">
        <w:rPr>
          <w:rFonts w:ascii="GHEA Grapalat" w:hAnsi="GHEA Grapalat" w:cs="GHEA Grapalat"/>
          <w:color w:val="000000"/>
          <w:sz w:val="22"/>
          <w:szCs w:val="22"/>
        </w:rPr>
        <w:lastRenderedPageBreak/>
        <w:t>ստացվել են մասնակիորեն՝ 10.8%-ով, որոնք կազմել են ավելի քան 277.9 մլն դրամ: 2 ծրագրերի շրջանակներում ստացված դրամաշնորհները գերազանցել են ծրագիրը 85.3%-ով կամ 386.7 մլն դրամով</w:t>
      </w:r>
      <w:r w:rsidR="00AA4898" w:rsidRPr="00B57DAB">
        <w:rPr>
          <w:rFonts w:ascii="GHEA Grapalat" w:hAnsi="GHEA Grapalat" w:cs="GHEA Grapalat"/>
          <w:color w:val="000000"/>
          <w:sz w:val="22"/>
          <w:szCs w:val="22"/>
        </w:rPr>
        <w:t xml:space="preserve">, իսկ մեկ </w:t>
      </w:r>
      <w:r w:rsidR="00AA4898" w:rsidRPr="00B57DAB">
        <w:rPr>
          <w:rFonts w:ascii="GHEA Grapalat" w:hAnsi="GHEA Grapalat" w:cs="Calibri"/>
          <w:bCs/>
          <w:sz w:val="22"/>
          <w:szCs w:val="22"/>
          <w:lang w:val="hy-AM"/>
        </w:rPr>
        <w:t>միջոցառման շրջանակներում նախատեսված 7.2 մլն դրամը ստացվել է ամբողջությամբ</w:t>
      </w:r>
      <w:r w:rsidRPr="00B57DAB">
        <w:rPr>
          <w:rFonts w:ascii="GHEA Grapalat" w:hAnsi="GHEA Grapalat" w:cs="GHEA Grapalat"/>
          <w:color w:val="000000"/>
          <w:sz w:val="22"/>
          <w:szCs w:val="22"/>
        </w:rPr>
        <w:t xml:space="preserve">: </w:t>
      </w:r>
    </w:p>
    <w:p w:rsidR="003D4E23" w:rsidRPr="00B57DAB" w:rsidRDefault="003D4E23" w:rsidP="00B4231A">
      <w:pPr>
        <w:tabs>
          <w:tab w:val="left" w:pos="851"/>
        </w:tabs>
        <w:spacing w:line="360" w:lineRule="auto"/>
        <w:ind w:firstLine="567"/>
        <w:jc w:val="both"/>
        <w:rPr>
          <w:rFonts w:ascii="GHEA Grapalat" w:hAnsi="GHEA Grapalat" w:cs="GHEA Grapalat"/>
          <w:color w:val="000000"/>
          <w:sz w:val="22"/>
          <w:szCs w:val="22"/>
        </w:rPr>
      </w:pPr>
    </w:p>
    <w:p w:rsidR="00B4231A" w:rsidRPr="00B57DAB" w:rsidRDefault="00B4231A" w:rsidP="00F533F8">
      <w:pPr>
        <w:pStyle w:val="a8"/>
        <w:numPr>
          <w:ilvl w:val="0"/>
          <w:numId w:val="32"/>
        </w:numPr>
        <w:ind w:left="0" w:firstLine="0"/>
        <w:jc w:val="both"/>
        <w:rPr>
          <w:sz w:val="22"/>
          <w:szCs w:val="22"/>
        </w:rPr>
      </w:pPr>
      <w:r w:rsidRPr="00B57DAB">
        <w:rPr>
          <w:sz w:val="22"/>
          <w:szCs w:val="22"/>
        </w:rPr>
        <w:t>Նպատակային դրամաշնորհներն ըստ դոնորների (մլն դրամ)</w:t>
      </w:r>
    </w:p>
    <w:p w:rsidR="00B4231A" w:rsidRPr="00B57DAB" w:rsidRDefault="00B4231A" w:rsidP="00B4231A">
      <w:r w:rsidRPr="00B57DAB">
        <w:rPr>
          <w:rFonts w:ascii="GHEA Grapalat" w:hAnsi="GHEA Grapalat" w:cs="Calibri"/>
          <w:noProof/>
          <w:sz w:val="22"/>
          <w:szCs w:val="22"/>
        </w:rPr>
        <w:drawing>
          <wp:inline distT="0" distB="0" distL="0" distR="0" wp14:anchorId="2DD2FE65" wp14:editId="12763F50">
            <wp:extent cx="6057900" cy="2581275"/>
            <wp:effectExtent l="0" t="0" r="0" b="9525"/>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92FE8" w:rsidRPr="00B57DAB" w:rsidRDefault="00092FE8" w:rsidP="003D4E23">
      <w:pPr>
        <w:tabs>
          <w:tab w:val="left" w:pos="851"/>
        </w:tabs>
        <w:spacing w:line="360" w:lineRule="auto"/>
        <w:ind w:firstLine="567"/>
        <w:jc w:val="both"/>
        <w:rPr>
          <w:rFonts w:ascii="GHEA Grapalat" w:hAnsi="GHEA Grapalat" w:cs="GHEA Grapalat"/>
          <w:color w:val="000000"/>
          <w:sz w:val="22"/>
          <w:szCs w:val="22"/>
        </w:rPr>
      </w:pPr>
    </w:p>
    <w:p w:rsidR="00B4231A" w:rsidRPr="00B57DAB" w:rsidRDefault="00B4231A" w:rsidP="003D4E23">
      <w:pPr>
        <w:tabs>
          <w:tab w:val="left" w:pos="851"/>
        </w:tabs>
        <w:spacing w:line="360" w:lineRule="auto"/>
        <w:ind w:firstLine="567"/>
        <w:jc w:val="both"/>
        <w:rPr>
          <w:rFonts w:ascii="GHEA Grapalat" w:hAnsi="GHEA Grapalat" w:cs="GHEA Grapalat"/>
          <w:color w:val="000000"/>
          <w:sz w:val="22"/>
          <w:szCs w:val="22"/>
        </w:rPr>
      </w:pPr>
      <w:r w:rsidRPr="00B57DAB">
        <w:rPr>
          <w:rFonts w:ascii="GHEA Grapalat" w:hAnsi="GHEA Grapalat" w:cs="GHEA Grapalat"/>
          <w:color w:val="000000"/>
          <w:sz w:val="22"/>
          <w:szCs w:val="22"/>
        </w:rPr>
        <w:t>Հաշվետու ժամանակահատվածում սոցիալական աջակցության փոխըմբռնման հուշագրի՝ «Աջակցություն ռազմական գործողությունների արդյունքում տեղահանված ընտանիքիների երեխաներին» բյուջետային աջակցության դրամաշնորհային ծրագրի շրջանակում ՄԱԿ-ի Մանկական հիմնադրամի կողմից հատկացվել է 183 մլն դրամ:</w:t>
      </w:r>
    </w:p>
    <w:p w:rsidR="00B4231A" w:rsidRPr="00B57DAB" w:rsidRDefault="00B4231A" w:rsidP="003D4E23">
      <w:pPr>
        <w:tabs>
          <w:tab w:val="left" w:pos="851"/>
        </w:tabs>
        <w:spacing w:line="360" w:lineRule="auto"/>
        <w:ind w:firstLine="567"/>
        <w:jc w:val="both"/>
        <w:rPr>
          <w:rFonts w:ascii="GHEA Grapalat" w:hAnsi="GHEA Grapalat" w:cs="GHEA Grapalat"/>
          <w:color w:val="000000"/>
          <w:sz w:val="22"/>
          <w:szCs w:val="22"/>
        </w:rPr>
      </w:pPr>
      <w:r w:rsidRPr="00B57DAB">
        <w:rPr>
          <w:rFonts w:ascii="GHEA Grapalat" w:hAnsi="GHEA Grapalat" w:cs="GHEA Grapalat"/>
          <w:color w:val="000000"/>
          <w:sz w:val="22"/>
          <w:szCs w:val="22"/>
        </w:rPr>
        <w:t>2022 թվականի առաջին եռամսյակում պետական բյուջե մուտքագրված պաշտոնական դրամաշնորհները 5.6%-ով կամ 69.5 մլն դրամով գերազանցել են նախորդ տարվա նույն ժամանակահատվածի ցուցանիշը:</w:t>
      </w:r>
    </w:p>
    <w:p w:rsidR="001D0801" w:rsidRPr="00B57DAB" w:rsidRDefault="001D0801" w:rsidP="003D4E23">
      <w:pPr>
        <w:tabs>
          <w:tab w:val="left" w:pos="851"/>
        </w:tabs>
        <w:spacing w:line="360" w:lineRule="auto"/>
        <w:ind w:firstLine="567"/>
        <w:jc w:val="both"/>
        <w:rPr>
          <w:rFonts w:ascii="GHEA Grapalat" w:hAnsi="GHEA Grapalat" w:cs="GHEA Grapalat"/>
          <w:color w:val="000000"/>
          <w:sz w:val="22"/>
          <w:szCs w:val="22"/>
        </w:rPr>
      </w:pPr>
    </w:p>
    <w:p w:rsidR="00887282" w:rsidRPr="00B57DAB" w:rsidRDefault="00887282" w:rsidP="008C2DC3">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49" w:name="_Toc71311893"/>
      <w:bookmarkStart w:id="50" w:name="_Toc102759891"/>
      <w:r w:rsidRPr="00B57DAB">
        <w:rPr>
          <w:rFonts w:ascii="GHEA Grapalat" w:hAnsi="GHEA Grapalat"/>
          <w:bCs/>
          <w:i w:val="0"/>
          <w:noProof/>
          <w:sz w:val="22"/>
          <w:szCs w:val="22"/>
          <w:lang w:val="de-AT"/>
        </w:rPr>
        <w:t>Այլ եկամուտներ</w:t>
      </w:r>
      <w:bookmarkEnd w:id="47"/>
      <w:bookmarkEnd w:id="48"/>
      <w:bookmarkEnd w:id="49"/>
      <w:bookmarkEnd w:id="50"/>
    </w:p>
    <w:p w:rsidR="005A29FB" w:rsidRPr="00B57DAB" w:rsidRDefault="005A29FB" w:rsidP="005A29FB">
      <w:pPr>
        <w:autoSpaceDE w:val="0"/>
        <w:autoSpaceDN w:val="0"/>
        <w:adjustRightInd w:val="0"/>
        <w:spacing w:line="360" w:lineRule="auto"/>
        <w:ind w:firstLine="567"/>
        <w:jc w:val="both"/>
        <w:rPr>
          <w:rFonts w:ascii="GHEA Grapalat" w:hAnsi="GHEA Grapalat" w:cs="Calibri"/>
          <w:sz w:val="22"/>
          <w:szCs w:val="22"/>
        </w:rPr>
      </w:pPr>
      <w:bookmarkStart w:id="51" w:name="_Toc8210487"/>
      <w:r w:rsidRPr="00B57DAB">
        <w:rPr>
          <w:rFonts w:ascii="GHEA Grapalat" w:hAnsi="GHEA Grapalat" w:cs="Calibri"/>
          <w:sz w:val="22"/>
          <w:szCs w:val="22"/>
        </w:rPr>
        <w:t>Հաշվետու ժամանակահատվածում ՀՀ պետական բյուջեի</w:t>
      </w:r>
      <w:r w:rsidR="00AA4898" w:rsidRPr="00B57DAB">
        <w:rPr>
          <w:rFonts w:ascii="GHEA Grapalat" w:hAnsi="GHEA Grapalat" w:cs="Calibri"/>
          <w:sz w:val="22"/>
          <w:szCs w:val="22"/>
        </w:rPr>
        <w:t xml:space="preserve"> այլ եկամուտները կազմել են 23.6</w:t>
      </w:r>
      <w:r w:rsidR="00AA4898" w:rsidRPr="00B57DAB">
        <w:rPr>
          <w:rFonts w:ascii="Courier New" w:hAnsi="Courier New" w:cs="Courier New"/>
          <w:sz w:val="22"/>
          <w:szCs w:val="22"/>
        </w:rPr>
        <w:t> </w:t>
      </w:r>
      <w:r w:rsidRPr="00B57DAB">
        <w:rPr>
          <w:rFonts w:ascii="GHEA Grapalat" w:hAnsi="GHEA Grapalat" w:cs="Calibri"/>
          <w:sz w:val="22"/>
          <w:szCs w:val="22"/>
        </w:rPr>
        <w:t xml:space="preserve">մլրդ դրամ՝ 35.9%-ով գերազանցելով ծրագրված ցուցանիշը: Վերջինս հիմնականում պայմանավորված է բանկերում և այլ ֆինանսավարկային հաստատություններում բյուջեի ժամանակավոր ազատ միջոցների օգտագործումից ստացված տոկոսավճարների, ապրանքների մատակարարումից ու ծառայությունների մատուցումից և իրավախախտումների համար գործադիր, դատական մարմինների կողմից կիրառվող պատժամիջոցներից մուտքերի եռամսյակային ծրագրի </w:t>
      </w:r>
      <w:r w:rsidRPr="00B57DAB">
        <w:rPr>
          <w:rFonts w:ascii="GHEA Grapalat" w:hAnsi="GHEA Grapalat" w:cs="Calibri"/>
          <w:sz w:val="22"/>
          <w:szCs w:val="22"/>
        </w:rPr>
        <w:lastRenderedPageBreak/>
        <w:t>գերազանցմամբ: Նախորդ տարվա նույն ժամանակահատվածի համեմատ այլ եկամուտների 56% (8.5 մլրդ դրամ) աճը հիմնականում պայմանավորված է օրենքով և այլ իրավական ակտերով սահմանված այլ եկամուտների և բանկերում ու այլ ֆինանսավարկային հաստատություններում բյուջեի ժամանակավոր ազատ միջոցների տեղաբաշխումից և դեպոզիտներից ստացված տոկոսավճարների գծով մուտքերի աճով:</w:t>
      </w:r>
    </w:p>
    <w:p w:rsidR="005A29FB" w:rsidRPr="00B57DAB" w:rsidRDefault="005A29FB" w:rsidP="005A29FB">
      <w:pPr>
        <w:autoSpaceDE w:val="0"/>
        <w:autoSpaceDN w:val="0"/>
        <w:adjustRightInd w:val="0"/>
        <w:spacing w:line="360" w:lineRule="auto"/>
        <w:ind w:firstLine="567"/>
        <w:jc w:val="both"/>
        <w:rPr>
          <w:rFonts w:ascii="GHEA Grapalat" w:hAnsi="GHEA Grapalat" w:cs="GHEA Grapalat"/>
          <w:lang w:val="hy-AM"/>
        </w:rPr>
      </w:pPr>
      <w:r w:rsidRPr="00B57DAB">
        <w:rPr>
          <w:rFonts w:ascii="GHEA Grapalat" w:hAnsi="GHEA Grapalat" w:cs="Calibri"/>
          <w:sz w:val="22"/>
          <w:szCs w:val="22"/>
        </w:rPr>
        <w:t xml:space="preserve">Այլ եկամուտների առանձին բաղադրիչների վերաբերյալ տեղեկատվությունը ներկայացված է Աղյուսակ </w:t>
      </w:r>
      <w:r w:rsidR="00B57DAB" w:rsidRPr="00B57DAB">
        <w:rPr>
          <w:rFonts w:ascii="GHEA Grapalat" w:hAnsi="GHEA Grapalat" w:cs="Calibri"/>
          <w:sz w:val="22"/>
          <w:szCs w:val="22"/>
        </w:rPr>
        <w:t>9</w:t>
      </w:r>
      <w:r w:rsidRPr="00B57DAB">
        <w:rPr>
          <w:rFonts w:ascii="GHEA Grapalat" w:hAnsi="GHEA Grapalat" w:cs="Calibri"/>
          <w:sz w:val="22"/>
          <w:szCs w:val="22"/>
        </w:rPr>
        <w:noBreakHyphen/>
        <w:t>ում</w:t>
      </w:r>
      <w:r w:rsidRPr="00B57DAB">
        <w:rPr>
          <w:rFonts w:ascii="GHEA Grapalat" w:hAnsi="GHEA Grapalat" w:cs="GHEA Grapalat"/>
          <w:lang w:val="hy-AM"/>
        </w:rPr>
        <w:t xml:space="preserve">: </w:t>
      </w:r>
    </w:p>
    <w:p w:rsidR="005A29FB" w:rsidRPr="00B57DAB" w:rsidRDefault="005A29FB" w:rsidP="005A29FB">
      <w:pPr>
        <w:ind w:right="9" w:firstLine="567"/>
        <w:jc w:val="both"/>
        <w:rPr>
          <w:rFonts w:ascii="GHEA Grapalat" w:hAnsi="GHEA Grapalat" w:cs="Calibri"/>
          <w:bCs/>
          <w:sz w:val="22"/>
          <w:szCs w:val="22"/>
          <w:lang w:val="hy-AM"/>
        </w:rPr>
      </w:pPr>
    </w:p>
    <w:p w:rsidR="005A29FB" w:rsidRPr="00B57DAB" w:rsidRDefault="005A29FB" w:rsidP="00770F24">
      <w:pPr>
        <w:pStyle w:val="Caption"/>
        <w:keepNext/>
        <w:numPr>
          <w:ilvl w:val="0"/>
          <w:numId w:val="8"/>
        </w:numPr>
        <w:tabs>
          <w:tab w:val="left" w:pos="1134"/>
        </w:tabs>
        <w:ind w:left="0" w:firstLine="0"/>
        <w:jc w:val="left"/>
        <w:rPr>
          <w:rFonts w:ascii="GHEA Grapalat" w:hAnsi="GHEA Grapalat"/>
          <w:i/>
          <w:sz w:val="18"/>
          <w:szCs w:val="18"/>
          <w:lang w:val="hy-AM"/>
        </w:rPr>
      </w:pPr>
      <w:r w:rsidRPr="00B57DAB">
        <w:rPr>
          <w:rFonts w:ascii="GHEA Grapalat" w:hAnsi="GHEA Grapalat"/>
          <w:i/>
          <w:sz w:val="18"/>
          <w:szCs w:val="18"/>
          <w:lang w:val="hy-AM"/>
        </w:rPr>
        <w:t>Այլ եկամուտների գծով ՀՀ պետական բյուջեի մուտքերը (մլն դրամ)</w:t>
      </w:r>
    </w:p>
    <w:tbl>
      <w:tblPr>
        <w:tblW w:w="10200" w:type="dxa"/>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78"/>
        <w:gridCol w:w="992"/>
        <w:gridCol w:w="993"/>
        <w:gridCol w:w="992"/>
        <w:gridCol w:w="1276"/>
        <w:gridCol w:w="1269"/>
      </w:tblGrid>
      <w:tr w:rsidR="005A29FB" w:rsidRPr="00B57DAB" w:rsidTr="005A29FB">
        <w:trPr>
          <w:trHeight w:val="823"/>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rPr>
                <w:rFonts w:ascii="GHEA Grapalat" w:hAnsi="GHEA Grapalat" w:cs="Calibri"/>
                <w:sz w:val="18"/>
                <w:szCs w:val="18"/>
                <w:lang w:val="hy-AM"/>
              </w:rPr>
            </w:pPr>
            <w:r w:rsidRPr="00B57DAB">
              <w:rPr>
                <w:rFonts w:ascii="Courier New" w:hAnsi="Courier New" w:cs="Courier New"/>
                <w:sz w:val="18"/>
                <w:szCs w:val="18"/>
                <w:lang w:val="hy-AM"/>
              </w:rPr>
              <w:t> </w:t>
            </w:r>
          </w:p>
        </w:tc>
        <w:tc>
          <w:tcPr>
            <w:tcW w:w="992" w:type="dxa"/>
            <w:tcBorders>
              <w:top w:val="single" w:sz="4" w:space="0" w:color="auto"/>
              <w:left w:val="single" w:sz="4" w:space="0" w:color="auto"/>
              <w:bottom w:val="single" w:sz="4" w:space="0" w:color="auto"/>
              <w:right w:val="single" w:sz="4" w:space="0" w:color="auto"/>
            </w:tcBorders>
            <w:hideMark/>
          </w:tcPr>
          <w:p w:rsidR="005A29FB" w:rsidRPr="00B57DAB" w:rsidRDefault="005A29FB">
            <w:pPr>
              <w:jc w:val="center"/>
              <w:rPr>
                <w:rFonts w:ascii="GHEA Grapalat" w:hAnsi="GHEA Grapalat" w:cs="Calibri"/>
                <w:b/>
                <w:bCs/>
                <w:sz w:val="18"/>
                <w:szCs w:val="18"/>
                <w:lang w:val="hy-AM"/>
              </w:rPr>
            </w:pPr>
            <w:r w:rsidRPr="00B57DAB">
              <w:rPr>
                <w:rFonts w:ascii="GHEA Grapalat" w:hAnsi="GHEA Grapalat" w:cs="Calibri"/>
                <w:b/>
                <w:bCs/>
                <w:sz w:val="18"/>
                <w:szCs w:val="18"/>
                <w:lang w:val="hy-AM"/>
              </w:rPr>
              <w:t>2021թ. առաջին եռամս-յակի փաստ</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5A29FB" w:rsidRPr="00B57DAB" w:rsidRDefault="005A29FB">
            <w:pPr>
              <w:jc w:val="center"/>
              <w:rPr>
                <w:rFonts w:ascii="GHEA Grapalat" w:hAnsi="GHEA Grapalat" w:cs="Calibri"/>
                <w:b/>
                <w:bCs/>
                <w:sz w:val="18"/>
                <w:szCs w:val="18"/>
                <w:lang w:val="hy-AM"/>
              </w:rPr>
            </w:pPr>
            <w:r w:rsidRPr="00B57DAB">
              <w:rPr>
                <w:rFonts w:ascii="GHEA Grapalat" w:hAnsi="GHEA Grapalat" w:cs="Calibri"/>
                <w:b/>
                <w:bCs/>
                <w:sz w:val="18"/>
                <w:szCs w:val="18"/>
                <w:lang w:val="hy-AM"/>
              </w:rPr>
              <w:t>2022թ. առաջին եռամս-յակի ճշտված պլան</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5A29FB" w:rsidRPr="00B57DAB" w:rsidRDefault="005A29FB">
            <w:pPr>
              <w:jc w:val="center"/>
              <w:rPr>
                <w:rFonts w:ascii="GHEA Grapalat" w:hAnsi="GHEA Grapalat" w:cs="Calibri"/>
                <w:b/>
                <w:bCs/>
                <w:sz w:val="18"/>
                <w:szCs w:val="18"/>
                <w:lang w:val="hy-AM"/>
              </w:rPr>
            </w:pPr>
            <w:r w:rsidRPr="00B57DAB">
              <w:rPr>
                <w:rFonts w:ascii="GHEA Grapalat" w:hAnsi="GHEA Grapalat" w:cs="Calibri"/>
                <w:b/>
                <w:bCs/>
                <w:sz w:val="18"/>
                <w:szCs w:val="18"/>
                <w:lang w:val="hy-AM"/>
              </w:rPr>
              <w:t>2022թ. առաջին եռամս-յակի փաստ</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A29FB" w:rsidRPr="00B57DAB" w:rsidRDefault="005A29FB">
            <w:pPr>
              <w:jc w:val="center"/>
              <w:rPr>
                <w:rFonts w:ascii="GHEA Grapalat" w:hAnsi="GHEA Grapalat" w:cs="Calibri"/>
                <w:b/>
                <w:bCs/>
                <w:sz w:val="18"/>
                <w:szCs w:val="18"/>
                <w:lang w:val="hy-AM"/>
              </w:rPr>
            </w:pPr>
            <w:r w:rsidRPr="00B57DAB">
              <w:rPr>
                <w:rFonts w:ascii="GHEA Grapalat" w:hAnsi="GHEA Grapalat" w:cs="Calibri"/>
                <w:b/>
                <w:bCs/>
                <w:sz w:val="18"/>
                <w:szCs w:val="18"/>
                <w:lang w:val="hy-AM"/>
              </w:rPr>
              <w:t>Կատարո-ղականն առաջին եռամսյակի ճշտված պլանի նկատմամբ (%)</w:t>
            </w:r>
          </w:p>
        </w:tc>
        <w:tc>
          <w:tcPr>
            <w:tcW w:w="1269" w:type="dxa"/>
            <w:tcBorders>
              <w:top w:val="single" w:sz="4" w:space="0" w:color="auto"/>
              <w:left w:val="single" w:sz="4" w:space="0" w:color="auto"/>
              <w:bottom w:val="single" w:sz="4" w:space="0" w:color="auto"/>
              <w:right w:val="single" w:sz="4" w:space="0" w:color="auto"/>
            </w:tcBorders>
            <w:shd w:val="clear" w:color="auto" w:fill="FFFFFF"/>
            <w:hideMark/>
          </w:tcPr>
          <w:p w:rsidR="005A29FB" w:rsidRPr="00B57DAB" w:rsidRDefault="005A29FB">
            <w:pPr>
              <w:jc w:val="center"/>
              <w:rPr>
                <w:rFonts w:ascii="GHEA Grapalat" w:hAnsi="GHEA Grapalat" w:cs="Calibri"/>
                <w:b/>
                <w:bCs/>
                <w:sz w:val="18"/>
                <w:szCs w:val="18"/>
                <w:lang w:val="hy-AM"/>
              </w:rPr>
            </w:pPr>
            <w:r w:rsidRPr="00B57DAB">
              <w:rPr>
                <w:rFonts w:ascii="GHEA Grapalat" w:hAnsi="GHEA Grapalat" w:cs="Calibri"/>
                <w:b/>
                <w:bCs/>
                <w:sz w:val="18"/>
                <w:szCs w:val="18"/>
                <w:lang w:val="hy-AM"/>
              </w:rPr>
              <w:t>2022թ. առաջին եռամսյակը 2021թ. առաջին եռամսյակի նկատմամբ (%)</w:t>
            </w:r>
          </w:p>
        </w:tc>
      </w:tr>
      <w:tr w:rsidR="005A29FB" w:rsidRPr="00B57DAB" w:rsidTr="005A29FB">
        <w:trPr>
          <w:trHeight w:val="323"/>
        </w:trPr>
        <w:tc>
          <w:tcPr>
            <w:tcW w:w="4678" w:type="dxa"/>
            <w:tcBorders>
              <w:top w:val="single" w:sz="4" w:space="0" w:color="auto"/>
              <w:left w:val="single" w:sz="4" w:space="0" w:color="auto"/>
              <w:bottom w:val="single" w:sz="4" w:space="0" w:color="auto"/>
              <w:right w:val="single" w:sz="4" w:space="0" w:color="auto"/>
            </w:tcBorders>
            <w:noWrap/>
            <w:hideMark/>
          </w:tcPr>
          <w:p w:rsidR="005A29FB" w:rsidRPr="00B57DAB" w:rsidRDefault="005A29FB">
            <w:pPr>
              <w:rPr>
                <w:rFonts w:ascii="GHEA Grapalat" w:hAnsi="GHEA Grapalat" w:cs="Calibri"/>
                <w:sz w:val="18"/>
                <w:szCs w:val="18"/>
              </w:rPr>
            </w:pPr>
            <w:r w:rsidRPr="00B57DAB">
              <w:rPr>
                <w:rFonts w:ascii="GHEA Grapalat" w:hAnsi="GHEA Grapalat" w:cs="Calibri"/>
                <w:b/>
                <w:bCs/>
                <w:sz w:val="18"/>
                <w:szCs w:val="18"/>
                <w:lang w:val="hy-AM"/>
              </w:rPr>
              <w:t xml:space="preserve"> Այլ եկամուտներ</w:t>
            </w:r>
          </w:p>
        </w:tc>
        <w:tc>
          <w:tcPr>
            <w:tcW w:w="992" w:type="dxa"/>
            <w:tcBorders>
              <w:top w:val="single" w:sz="4" w:space="0" w:color="auto"/>
              <w:left w:val="single" w:sz="4" w:space="0" w:color="auto"/>
              <w:bottom w:val="single" w:sz="4" w:space="0" w:color="auto"/>
              <w:right w:val="single" w:sz="4" w:space="0" w:color="auto"/>
            </w:tcBorders>
            <w:vAlign w:val="bottom"/>
            <w:hideMark/>
          </w:tcPr>
          <w:p w:rsidR="005A29FB" w:rsidRPr="00B57DAB" w:rsidRDefault="005A29FB">
            <w:pPr>
              <w:jc w:val="right"/>
              <w:rPr>
                <w:rFonts w:ascii="GHEA Grapalat" w:hAnsi="GHEA Grapalat" w:cs="Arial"/>
                <w:b/>
                <w:bCs/>
                <w:sz w:val="18"/>
                <w:szCs w:val="18"/>
              </w:rPr>
            </w:pPr>
            <w:r w:rsidRPr="00B57DAB">
              <w:rPr>
                <w:rFonts w:ascii="GHEA Grapalat" w:hAnsi="GHEA Grapalat" w:cs="Arial"/>
                <w:b/>
                <w:bCs/>
                <w:sz w:val="18"/>
                <w:szCs w:val="18"/>
              </w:rPr>
              <w:t>15,150.1</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b/>
                <w:bCs/>
                <w:sz w:val="18"/>
                <w:szCs w:val="18"/>
              </w:rPr>
            </w:pPr>
            <w:r w:rsidRPr="00B57DAB">
              <w:rPr>
                <w:rFonts w:ascii="GHEA Grapalat" w:hAnsi="GHEA Grapalat" w:cs="Arial"/>
                <w:b/>
                <w:bCs/>
                <w:sz w:val="18"/>
                <w:szCs w:val="18"/>
              </w:rPr>
              <w:t>17,388.8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b/>
                <w:bCs/>
                <w:sz w:val="18"/>
                <w:szCs w:val="18"/>
              </w:rPr>
            </w:pPr>
            <w:r w:rsidRPr="00B57DAB">
              <w:rPr>
                <w:rFonts w:ascii="GHEA Grapalat" w:hAnsi="GHEA Grapalat" w:cs="Arial"/>
                <w:b/>
                <w:bCs/>
                <w:sz w:val="18"/>
                <w:szCs w:val="18"/>
              </w:rPr>
              <w:t>23,628.1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b/>
                <w:bCs/>
                <w:sz w:val="18"/>
                <w:szCs w:val="18"/>
              </w:rPr>
            </w:pPr>
            <w:r w:rsidRPr="00B57DAB">
              <w:rPr>
                <w:rFonts w:ascii="GHEA Grapalat" w:hAnsi="GHEA Grapalat" w:cs="Arial"/>
                <w:b/>
                <w:bCs/>
                <w:sz w:val="18"/>
                <w:szCs w:val="18"/>
              </w:rPr>
              <w:t>135.9</w:t>
            </w:r>
          </w:p>
        </w:tc>
        <w:tc>
          <w:tcPr>
            <w:tcW w:w="1269" w:type="dxa"/>
            <w:tcBorders>
              <w:top w:val="single" w:sz="4" w:space="0" w:color="auto"/>
              <w:left w:val="single" w:sz="4" w:space="0" w:color="auto"/>
              <w:bottom w:val="single" w:sz="4" w:space="0" w:color="auto"/>
              <w:right w:val="single" w:sz="4" w:space="0" w:color="auto"/>
            </w:tcBorders>
            <w:vAlign w:val="bottom"/>
            <w:hideMark/>
          </w:tcPr>
          <w:p w:rsidR="005A29FB" w:rsidRPr="00B57DAB" w:rsidRDefault="005A29FB">
            <w:pPr>
              <w:jc w:val="right"/>
              <w:rPr>
                <w:rFonts w:ascii="GHEA Grapalat" w:hAnsi="GHEA Grapalat" w:cs="Arial"/>
                <w:b/>
                <w:bCs/>
                <w:sz w:val="18"/>
                <w:szCs w:val="18"/>
              </w:rPr>
            </w:pPr>
            <w:r w:rsidRPr="00B57DAB">
              <w:rPr>
                <w:rFonts w:ascii="GHEA Grapalat" w:hAnsi="GHEA Grapalat" w:cs="Arial"/>
                <w:b/>
                <w:bCs/>
                <w:sz w:val="18"/>
                <w:szCs w:val="18"/>
              </w:rPr>
              <w:t>156.0</w:t>
            </w:r>
          </w:p>
        </w:tc>
      </w:tr>
      <w:tr w:rsidR="005A29FB" w:rsidRPr="00B57DAB" w:rsidTr="005A29FB">
        <w:trPr>
          <w:trHeight w:val="288"/>
        </w:trPr>
        <w:tc>
          <w:tcPr>
            <w:tcW w:w="4678" w:type="dxa"/>
            <w:tcBorders>
              <w:top w:val="single" w:sz="4" w:space="0" w:color="auto"/>
              <w:left w:val="single" w:sz="4" w:space="0" w:color="auto"/>
              <w:bottom w:val="single" w:sz="4" w:space="0" w:color="auto"/>
              <w:right w:val="single" w:sz="4" w:space="0" w:color="auto"/>
            </w:tcBorders>
            <w:noWrap/>
            <w:hideMark/>
          </w:tcPr>
          <w:p w:rsidR="005A29FB" w:rsidRPr="00B57DAB" w:rsidRDefault="005A29FB" w:rsidP="005A29FB">
            <w:pPr>
              <w:rPr>
                <w:rFonts w:ascii="GHEA Grapalat" w:hAnsi="GHEA Grapalat" w:cs="Calibri"/>
                <w:sz w:val="18"/>
                <w:szCs w:val="18"/>
              </w:rPr>
            </w:pPr>
            <w:r w:rsidRPr="00B57DAB">
              <w:rPr>
                <w:rFonts w:ascii="GHEA Grapalat" w:hAnsi="GHEA Grapalat" w:cs="Calibri"/>
                <w:sz w:val="18"/>
                <w:szCs w:val="18"/>
              </w:rPr>
              <w:t>Պետական սեփականություն հանդիսացող գույքի վարձակալությունից եկամուտներ</w:t>
            </w:r>
          </w:p>
        </w:tc>
        <w:tc>
          <w:tcPr>
            <w:tcW w:w="992" w:type="dxa"/>
            <w:tcBorders>
              <w:top w:val="single" w:sz="4" w:space="0" w:color="auto"/>
              <w:left w:val="single" w:sz="4" w:space="0" w:color="auto"/>
              <w:bottom w:val="single" w:sz="4" w:space="0" w:color="auto"/>
              <w:right w:val="single" w:sz="4" w:space="0" w:color="auto"/>
            </w:tcBorders>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95.9</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83.9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124.4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148.3</w:t>
            </w:r>
          </w:p>
        </w:tc>
        <w:tc>
          <w:tcPr>
            <w:tcW w:w="1269" w:type="dxa"/>
            <w:tcBorders>
              <w:top w:val="single" w:sz="4" w:space="0" w:color="auto"/>
              <w:left w:val="single" w:sz="4" w:space="0" w:color="auto"/>
              <w:bottom w:val="single" w:sz="4" w:space="0" w:color="auto"/>
              <w:right w:val="single" w:sz="4" w:space="0" w:color="auto"/>
            </w:tcBorders>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129.8</w:t>
            </w:r>
          </w:p>
        </w:tc>
      </w:tr>
      <w:tr w:rsidR="005A29FB" w:rsidRPr="00B57DAB" w:rsidTr="005A29FB">
        <w:trPr>
          <w:trHeight w:val="288"/>
        </w:trPr>
        <w:tc>
          <w:tcPr>
            <w:tcW w:w="4678" w:type="dxa"/>
            <w:tcBorders>
              <w:top w:val="single" w:sz="4" w:space="0" w:color="auto"/>
              <w:left w:val="single" w:sz="4" w:space="0" w:color="auto"/>
              <w:bottom w:val="single" w:sz="4" w:space="0" w:color="auto"/>
              <w:right w:val="single" w:sz="4" w:space="0" w:color="auto"/>
            </w:tcBorders>
            <w:noWrap/>
            <w:hideMark/>
          </w:tcPr>
          <w:p w:rsidR="005A29FB" w:rsidRPr="00B57DAB" w:rsidRDefault="005A29FB">
            <w:pPr>
              <w:rPr>
                <w:rFonts w:ascii="GHEA Grapalat" w:hAnsi="GHEA Grapalat" w:cs="Calibri"/>
                <w:sz w:val="18"/>
                <w:szCs w:val="18"/>
              </w:rPr>
            </w:pPr>
            <w:r w:rsidRPr="00B57DAB">
              <w:rPr>
                <w:rFonts w:ascii="GHEA Grapalat" w:hAnsi="GHEA Grapalat" w:cs="Calibri"/>
                <w:sz w:val="18"/>
                <w:szCs w:val="18"/>
              </w:rPr>
              <w:t>Տոկոսավճարներ և շահաբաժիններ, այդ թվում՝</w:t>
            </w:r>
          </w:p>
        </w:tc>
        <w:tc>
          <w:tcPr>
            <w:tcW w:w="992" w:type="dxa"/>
            <w:tcBorders>
              <w:top w:val="single" w:sz="4" w:space="0" w:color="auto"/>
              <w:left w:val="single" w:sz="4" w:space="0" w:color="auto"/>
              <w:bottom w:val="single" w:sz="4" w:space="0" w:color="auto"/>
              <w:right w:val="single" w:sz="4" w:space="0" w:color="auto"/>
            </w:tcBorders>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4,727.5</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3,505.0</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6,503.5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185.5</w:t>
            </w:r>
          </w:p>
        </w:tc>
        <w:tc>
          <w:tcPr>
            <w:tcW w:w="1269" w:type="dxa"/>
            <w:tcBorders>
              <w:top w:val="single" w:sz="4" w:space="0" w:color="auto"/>
              <w:left w:val="single" w:sz="4" w:space="0" w:color="auto"/>
              <w:bottom w:val="single" w:sz="4" w:space="0" w:color="auto"/>
              <w:right w:val="single" w:sz="4" w:space="0" w:color="auto"/>
            </w:tcBorders>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137.6</w:t>
            </w:r>
          </w:p>
        </w:tc>
      </w:tr>
      <w:tr w:rsidR="005A29FB" w:rsidRPr="00B57DAB" w:rsidTr="005A29FB">
        <w:trPr>
          <w:trHeight w:val="1235"/>
        </w:trPr>
        <w:tc>
          <w:tcPr>
            <w:tcW w:w="4678" w:type="dxa"/>
            <w:tcBorders>
              <w:top w:val="single" w:sz="4" w:space="0" w:color="auto"/>
              <w:left w:val="single" w:sz="4" w:space="0" w:color="auto"/>
              <w:bottom w:val="single" w:sz="4" w:space="0" w:color="auto"/>
              <w:right w:val="single" w:sz="4" w:space="0" w:color="auto"/>
            </w:tcBorders>
            <w:noWrap/>
            <w:hideMark/>
          </w:tcPr>
          <w:p w:rsidR="005A29FB" w:rsidRPr="00B57DAB" w:rsidRDefault="005A29FB" w:rsidP="00770F24">
            <w:pPr>
              <w:pStyle w:val="ListParagraph"/>
              <w:numPr>
                <w:ilvl w:val="0"/>
                <w:numId w:val="15"/>
              </w:numPr>
              <w:tabs>
                <w:tab w:val="left" w:pos="459"/>
              </w:tabs>
              <w:ind w:left="34" w:firstLine="236"/>
              <w:rPr>
                <w:rFonts w:ascii="GHEA Grapalat" w:eastAsia="Calibri" w:hAnsi="GHEA Grapalat" w:cs="Calibri"/>
                <w:sz w:val="18"/>
                <w:szCs w:val="18"/>
                <w:lang w:val="hy-AM"/>
              </w:rPr>
            </w:pPr>
            <w:r w:rsidRPr="00B57DAB">
              <w:rPr>
                <w:rFonts w:ascii="GHEA Grapalat" w:hAnsi="GHEA Grapalat" w:cs="Calibri"/>
                <w:sz w:val="18"/>
                <w:szCs w:val="18"/>
                <w:lang w:val="hy-AM"/>
              </w:rPr>
              <w:t>բանկերում և այլ ֆինանսավարկային հաստատություններում բյուջեի ժամանակավոր ազատ միջոցների տեղաբաշխումից և դեպոզիտներից ստացվող տոկոսավճարներ</w:t>
            </w:r>
          </w:p>
        </w:tc>
        <w:tc>
          <w:tcPr>
            <w:tcW w:w="992" w:type="dxa"/>
            <w:tcBorders>
              <w:top w:val="single" w:sz="4" w:space="0" w:color="auto"/>
              <w:left w:val="single" w:sz="4" w:space="0" w:color="auto"/>
              <w:bottom w:val="single" w:sz="4" w:space="0" w:color="auto"/>
              <w:right w:val="single" w:sz="4" w:space="0" w:color="auto"/>
            </w:tcBorders>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4,712.8</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3,500.0</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6,455.6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184.4</w:t>
            </w:r>
          </w:p>
        </w:tc>
        <w:tc>
          <w:tcPr>
            <w:tcW w:w="1269" w:type="dxa"/>
            <w:tcBorders>
              <w:top w:val="single" w:sz="4" w:space="0" w:color="auto"/>
              <w:left w:val="single" w:sz="4" w:space="0" w:color="auto"/>
              <w:bottom w:val="single" w:sz="4" w:space="0" w:color="auto"/>
              <w:right w:val="single" w:sz="4" w:space="0" w:color="auto"/>
            </w:tcBorders>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137.0</w:t>
            </w:r>
          </w:p>
        </w:tc>
      </w:tr>
      <w:tr w:rsidR="005A29FB" w:rsidRPr="00B57DAB" w:rsidTr="005A29FB">
        <w:trPr>
          <w:trHeight w:val="160"/>
        </w:trPr>
        <w:tc>
          <w:tcPr>
            <w:tcW w:w="4678" w:type="dxa"/>
            <w:tcBorders>
              <w:top w:val="single" w:sz="4" w:space="0" w:color="auto"/>
              <w:left w:val="single" w:sz="4" w:space="0" w:color="auto"/>
              <w:bottom w:val="single" w:sz="4" w:space="0" w:color="auto"/>
              <w:right w:val="single" w:sz="4" w:space="0" w:color="auto"/>
            </w:tcBorders>
            <w:noWrap/>
            <w:hideMark/>
          </w:tcPr>
          <w:p w:rsidR="005A29FB" w:rsidRPr="00B57DAB" w:rsidRDefault="005A29FB" w:rsidP="00770F24">
            <w:pPr>
              <w:pStyle w:val="ListParagraph"/>
              <w:numPr>
                <w:ilvl w:val="0"/>
                <w:numId w:val="15"/>
              </w:numPr>
              <w:tabs>
                <w:tab w:val="left" w:pos="459"/>
              </w:tabs>
              <w:ind w:left="34" w:firstLine="236"/>
              <w:rPr>
                <w:rFonts w:ascii="GHEA Grapalat" w:eastAsia="Calibri" w:hAnsi="GHEA Grapalat" w:cs="Calibri"/>
                <w:sz w:val="18"/>
                <w:szCs w:val="18"/>
                <w:lang w:val="hy-AM"/>
              </w:rPr>
            </w:pPr>
            <w:r w:rsidRPr="00B57DAB">
              <w:rPr>
                <w:rFonts w:ascii="GHEA Grapalat" w:hAnsi="GHEA Grapalat" w:cs="Calibri"/>
                <w:sz w:val="18"/>
                <w:szCs w:val="18"/>
                <w:lang w:val="hy-AM"/>
              </w:rPr>
              <w:t>իրավաբանական անձանց կապիտալում կատարված ներդրումներից ստացվող շահաբաժիններ</w:t>
            </w:r>
          </w:p>
        </w:tc>
        <w:tc>
          <w:tcPr>
            <w:tcW w:w="992" w:type="dxa"/>
            <w:tcBorders>
              <w:top w:val="single" w:sz="4" w:space="0" w:color="auto"/>
              <w:left w:val="single" w:sz="4" w:space="0" w:color="auto"/>
              <w:bottom w:val="single" w:sz="4" w:space="0" w:color="auto"/>
              <w:right w:val="single" w:sz="4" w:space="0" w:color="auto"/>
            </w:tcBorders>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14.7</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5.0</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47.9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957.1</w:t>
            </w:r>
          </w:p>
        </w:tc>
        <w:tc>
          <w:tcPr>
            <w:tcW w:w="1269" w:type="dxa"/>
            <w:tcBorders>
              <w:top w:val="single" w:sz="4" w:space="0" w:color="auto"/>
              <w:left w:val="single" w:sz="4" w:space="0" w:color="auto"/>
              <w:bottom w:val="single" w:sz="4" w:space="0" w:color="auto"/>
              <w:right w:val="single" w:sz="4" w:space="0" w:color="auto"/>
            </w:tcBorders>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326.0</w:t>
            </w:r>
          </w:p>
        </w:tc>
      </w:tr>
      <w:tr w:rsidR="005A29FB" w:rsidRPr="00B57DAB" w:rsidTr="005A29FB">
        <w:trPr>
          <w:trHeight w:val="288"/>
        </w:trPr>
        <w:tc>
          <w:tcPr>
            <w:tcW w:w="4678" w:type="dxa"/>
            <w:tcBorders>
              <w:top w:val="single" w:sz="4" w:space="0" w:color="auto"/>
              <w:left w:val="single" w:sz="4" w:space="0" w:color="auto"/>
              <w:bottom w:val="single" w:sz="4" w:space="0" w:color="auto"/>
              <w:right w:val="single" w:sz="4" w:space="0" w:color="auto"/>
            </w:tcBorders>
            <w:vAlign w:val="bottom"/>
            <w:hideMark/>
          </w:tcPr>
          <w:p w:rsidR="005A29FB" w:rsidRPr="00B57DAB" w:rsidRDefault="005A29FB">
            <w:pPr>
              <w:rPr>
                <w:rFonts w:ascii="GHEA Grapalat" w:hAnsi="GHEA Grapalat" w:cs="Calibri"/>
                <w:bCs/>
                <w:sz w:val="18"/>
                <w:szCs w:val="18"/>
                <w:lang w:val="hy-AM"/>
              </w:rPr>
            </w:pPr>
            <w:r w:rsidRPr="00B57DAB">
              <w:rPr>
                <w:rFonts w:ascii="GHEA Grapalat" w:hAnsi="GHEA Grapalat" w:cs="Calibri"/>
                <w:bCs/>
                <w:sz w:val="18"/>
                <w:szCs w:val="18"/>
                <w:lang w:val="hy-AM"/>
              </w:rPr>
              <w:t>Պետության կողմից տրված վարկերի օգտագործման դիմաց վճարներ (տոկոսներ), այդ թվում՝</w:t>
            </w:r>
          </w:p>
        </w:tc>
        <w:tc>
          <w:tcPr>
            <w:tcW w:w="992" w:type="dxa"/>
            <w:tcBorders>
              <w:top w:val="single" w:sz="4" w:space="0" w:color="auto"/>
              <w:left w:val="single" w:sz="4" w:space="0" w:color="auto"/>
              <w:bottom w:val="single" w:sz="4" w:space="0" w:color="auto"/>
              <w:right w:val="single" w:sz="4" w:space="0" w:color="auto"/>
            </w:tcBorders>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2,604.9</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2,138.2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2,171.7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101.6</w:t>
            </w:r>
          </w:p>
        </w:tc>
        <w:tc>
          <w:tcPr>
            <w:tcW w:w="1269" w:type="dxa"/>
            <w:tcBorders>
              <w:top w:val="single" w:sz="4" w:space="0" w:color="auto"/>
              <w:left w:val="single" w:sz="4" w:space="0" w:color="auto"/>
              <w:bottom w:val="single" w:sz="4" w:space="0" w:color="auto"/>
              <w:right w:val="single" w:sz="4" w:space="0" w:color="auto"/>
            </w:tcBorders>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83.4</w:t>
            </w:r>
          </w:p>
        </w:tc>
      </w:tr>
      <w:tr w:rsidR="005A29FB" w:rsidRPr="00B57DAB" w:rsidTr="005A29FB">
        <w:trPr>
          <w:trHeight w:val="288"/>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rsidP="00770F24">
            <w:pPr>
              <w:pStyle w:val="ListParagraph"/>
              <w:numPr>
                <w:ilvl w:val="0"/>
                <w:numId w:val="15"/>
              </w:numPr>
              <w:tabs>
                <w:tab w:val="left" w:pos="459"/>
              </w:tabs>
              <w:ind w:left="34" w:firstLine="236"/>
              <w:rPr>
                <w:rFonts w:ascii="GHEA Grapalat" w:eastAsia="Calibri" w:hAnsi="GHEA Grapalat" w:cs="Calibri"/>
                <w:sz w:val="18"/>
                <w:szCs w:val="18"/>
                <w:lang w:val="hy-AM"/>
              </w:rPr>
            </w:pPr>
            <w:r w:rsidRPr="00B57DAB">
              <w:rPr>
                <w:rFonts w:ascii="GHEA Grapalat" w:hAnsi="GHEA Grapalat" w:cs="Calibri"/>
                <w:sz w:val="18"/>
                <w:szCs w:val="18"/>
                <w:lang w:val="hy-AM"/>
              </w:rPr>
              <w:t>ռեզիդենտներին տրամադրված վարկերի օգտագործման տոկոսավճարներ</w:t>
            </w:r>
          </w:p>
        </w:tc>
        <w:tc>
          <w:tcPr>
            <w:tcW w:w="992" w:type="dxa"/>
            <w:tcBorders>
              <w:top w:val="single" w:sz="4" w:space="0" w:color="auto"/>
              <w:left w:val="single" w:sz="4" w:space="0" w:color="auto"/>
              <w:bottom w:val="single" w:sz="4" w:space="0" w:color="auto"/>
              <w:right w:val="single" w:sz="4" w:space="0" w:color="auto"/>
            </w:tcBorders>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2,569.5</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2,111.7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2,145.0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101.6</w:t>
            </w:r>
          </w:p>
        </w:tc>
        <w:tc>
          <w:tcPr>
            <w:tcW w:w="1269" w:type="dxa"/>
            <w:tcBorders>
              <w:top w:val="single" w:sz="4" w:space="0" w:color="auto"/>
              <w:left w:val="single" w:sz="4" w:space="0" w:color="auto"/>
              <w:bottom w:val="single" w:sz="4" w:space="0" w:color="auto"/>
              <w:right w:val="single" w:sz="4" w:space="0" w:color="auto"/>
            </w:tcBorders>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83.5</w:t>
            </w:r>
          </w:p>
        </w:tc>
      </w:tr>
      <w:tr w:rsidR="005A29FB" w:rsidRPr="00B57DAB" w:rsidTr="005A29FB">
        <w:trPr>
          <w:trHeight w:val="288"/>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rsidP="00770F24">
            <w:pPr>
              <w:pStyle w:val="ListParagraph"/>
              <w:numPr>
                <w:ilvl w:val="0"/>
                <w:numId w:val="15"/>
              </w:numPr>
              <w:tabs>
                <w:tab w:val="left" w:pos="459"/>
              </w:tabs>
              <w:ind w:left="34" w:firstLine="236"/>
              <w:rPr>
                <w:rFonts w:ascii="GHEA Grapalat" w:eastAsia="Calibri" w:hAnsi="GHEA Grapalat" w:cs="Calibri"/>
                <w:sz w:val="18"/>
                <w:szCs w:val="18"/>
                <w:lang w:val="hy-AM"/>
              </w:rPr>
            </w:pPr>
            <w:r w:rsidRPr="00B57DAB">
              <w:rPr>
                <w:rFonts w:ascii="GHEA Grapalat" w:hAnsi="GHEA Grapalat" w:cs="Calibri"/>
                <w:sz w:val="18"/>
                <w:szCs w:val="18"/>
                <w:lang w:val="hy-AM"/>
              </w:rPr>
              <w:t>ոչ ռեզիդենտներին տրամադրված վարկերի օգտագործման տոկոսավճարներ</w:t>
            </w:r>
          </w:p>
        </w:tc>
        <w:tc>
          <w:tcPr>
            <w:tcW w:w="992" w:type="dxa"/>
            <w:tcBorders>
              <w:top w:val="single" w:sz="4" w:space="0" w:color="auto"/>
              <w:left w:val="single" w:sz="4" w:space="0" w:color="auto"/>
              <w:bottom w:val="single" w:sz="4" w:space="0" w:color="auto"/>
              <w:right w:val="single" w:sz="4" w:space="0" w:color="auto"/>
            </w:tcBorders>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35.4</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26.6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26.7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100.5</w:t>
            </w:r>
          </w:p>
        </w:tc>
        <w:tc>
          <w:tcPr>
            <w:tcW w:w="1269" w:type="dxa"/>
            <w:tcBorders>
              <w:top w:val="single" w:sz="4" w:space="0" w:color="auto"/>
              <w:left w:val="single" w:sz="4" w:space="0" w:color="auto"/>
              <w:bottom w:val="single" w:sz="4" w:space="0" w:color="auto"/>
              <w:right w:val="single" w:sz="4" w:space="0" w:color="auto"/>
            </w:tcBorders>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75.5</w:t>
            </w:r>
          </w:p>
        </w:tc>
      </w:tr>
      <w:tr w:rsidR="005A29FB" w:rsidRPr="00B57DAB" w:rsidTr="005A29FB">
        <w:trPr>
          <w:trHeight w:val="288"/>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rPr>
                <w:rFonts w:ascii="GHEA Grapalat" w:hAnsi="GHEA Grapalat" w:cs="Calibri"/>
                <w:sz w:val="18"/>
                <w:szCs w:val="18"/>
                <w:lang w:val="hy-AM"/>
              </w:rPr>
            </w:pPr>
            <w:r w:rsidRPr="00B57DAB">
              <w:rPr>
                <w:rFonts w:ascii="GHEA Grapalat" w:hAnsi="GHEA Grapalat" w:cs="Calibri"/>
                <w:sz w:val="18"/>
                <w:szCs w:val="18"/>
                <w:lang w:val="hy-AM"/>
              </w:rPr>
              <w:t>Այլ կատեգորիաներում չդասակարգված տրանսֆերտներ</w:t>
            </w:r>
          </w:p>
        </w:tc>
        <w:tc>
          <w:tcPr>
            <w:tcW w:w="992" w:type="dxa"/>
            <w:tcBorders>
              <w:top w:val="single" w:sz="4" w:space="0" w:color="auto"/>
              <w:left w:val="single" w:sz="4" w:space="0" w:color="auto"/>
              <w:bottom w:val="single" w:sz="4" w:space="0" w:color="auto"/>
              <w:right w:val="single" w:sz="4" w:space="0" w:color="auto"/>
            </w:tcBorders>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68.3</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0.0</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24.4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Calibri"/>
                <w:sz w:val="18"/>
                <w:szCs w:val="18"/>
              </w:rPr>
              <w:t>-</w:t>
            </w:r>
            <w:r w:rsidRPr="00B57DAB">
              <w:rPr>
                <w:rFonts w:ascii="Courier New" w:hAnsi="Courier New" w:cs="Courier New"/>
                <w:sz w:val="18"/>
                <w:szCs w:val="18"/>
              </w:rPr>
              <w:t> </w:t>
            </w:r>
          </w:p>
        </w:tc>
        <w:tc>
          <w:tcPr>
            <w:tcW w:w="1269" w:type="dxa"/>
            <w:tcBorders>
              <w:top w:val="single" w:sz="4" w:space="0" w:color="auto"/>
              <w:left w:val="single" w:sz="4" w:space="0" w:color="auto"/>
              <w:bottom w:val="single" w:sz="4" w:space="0" w:color="auto"/>
              <w:right w:val="single" w:sz="4" w:space="0" w:color="auto"/>
            </w:tcBorders>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35.6</w:t>
            </w:r>
          </w:p>
        </w:tc>
      </w:tr>
      <w:tr w:rsidR="005A29FB" w:rsidRPr="00B57DAB" w:rsidTr="005A29FB">
        <w:trPr>
          <w:trHeight w:val="288"/>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rPr>
                <w:rFonts w:ascii="GHEA Grapalat" w:hAnsi="GHEA Grapalat" w:cs="Calibri"/>
                <w:sz w:val="18"/>
                <w:szCs w:val="18"/>
                <w:lang w:val="hy-AM"/>
              </w:rPr>
            </w:pPr>
            <w:r w:rsidRPr="00B57DAB">
              <w:rPr>
                <w:rFonts w:ascii="GHEA Grapalat" w:hAnsi="GHEA Grapalat" w:cs="Calibri"/>
                <w:sz w:val="18"/>
                <w:szCs w:val="18"/>
                <w:lang w:val="hy-AM"/>
              </w:rPr>
              <w:t>Իրավախախտումների համար գործադիր, դատական մարմինների կողմից կիրառվող պատժամիջոցներից մուտքեր</w:t>
            </w:r>
          </w:p>
        </w:tc>
        <w:tc>
          <w:tcPr>
            <w:tcW w:w="992" w:type="dxa"/>
            <w:tcBorders>
              <w:top w:val="single" w:sz="4" w:space="0" w:color="auto"/>
              <w:left w:val="single" w:sz="4" w:space="0" w:color="auto"/>
              <w:bottom w:val="single" w:sz="4" w:space="0" w:color="auto"/>
              <w:right w:val="single" w:sz="4" w:space="0" w:color="auto"/>
            </w:tcBorders>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3,611.1</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2,495.2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4,070.8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163.1</w:t>
            </w:r>
          </w:p>
        </w:tc>
        <w:tc>
          <w:tcPr>
            <w:tcW w:w="1269" w:type="dxa"/>
            <w:tcBorders>
              <w:top w:val="single" w:sz="4" w:space="0" w:color="auto"/>
              <w:left w:val="single" w:sz="4" w:space="0" w:color="auto"/>
              <w:bottom w:val="single" w:sz="4" w:space="0" w:color="auto"/>
              <w:right w:val="single" w:sz="4" w:space="0" w:color="auto"/>
            </w:tcBorders>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112.7</w:t>
            </w:r>
          </w:p>
        </w:tc>
      </w:tr>
      <w:tr w:rsidR="005A29FB" w:rsidRPr="00B57DAB" w:rsidTr="005A29FB">
        <w:trPr>
          <w:trHeight w:val="288"/>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rPr>
                <w:rFonts w:ascii="GHEA Grapalat" w:hAnsi="GHEA Grapalat" w:cs="Calibri"/>
                <w:sz w:val="18"/>
                <w:szCs w:val="18"/>
                <w:lang w:val="hy-AM"/>
              </w:rPr>
            </w:pPr>
            <w:r w:rsidRPr="00B57DAB">
              <w:rPr>
                <w:rFonts w:ascii="GHEA Grapalat" w:hAnsi="GHEA Grapalat" w:cs="Calibri"/>
                <w:sz w:val="18"/>
                <w:szCs w:val="18"/>
                <w:lang w:val="hy-AM"/>
              </w:rPr>
              <w:t>Ապրանքների մատակարարումից և ծառայությունների մատուցումից եկամուտներ</w:t>
            </w:r>
          </w:p>
        </w:tc>
        <w:tc>
          <w:tcPr>
            <w:tcW w:w="992" w:type="dxa"/>
            <w:tcBorders>
              <w:top w:val="single" w:sz="4" w:space="0" w:color="auto"/>
              <w:left w:val="single" w:sz="4" w:space="0" w:color="auto"/>
              <w:bottom w:val="single" w:sz="4" w:space="0" w:color="auto"/>
              <w:right w:val="single" w:sz="4" w:space="0" w:color="auto"/>
            </w:tcBorders>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4,065.9</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3,156.0</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4,470.9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141.7</w:t>
            </w:r>
          </w:p>
        </w:tc>
        <w:tc>
          <w:tcPr>
            <w:tcW w:w="1269" w:type="dxa"/>
            <w:tcBorders>
              <w:top w:val="single" w:sz="4" w:space="0" w:color="auto"/>
              <w:left w:val="single" w:sz="4" w:space="0" w:color="auto"/>
              <w:bottom w:val="single" w:sz="4" w:space="0" w:color="auto"/>
              <w:right w:val="single" w:sz="4" w:space="0" w:color="auto"/>
            </w:tcBorders>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110.0</w:t>
            </w:r>
          </w:p>
        </w:tc>
      </w:tr>
      <w:tr w:rsidR="005A29FB" w:rsidRPr="00B57DAB" w:rsidTr="005A29FB">
        <w:trPr>
          <w:trHeight w:val="288"/>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rPr>
                <w:rFonts w:ascii="GHEA Grapalat" w:hAnsi="GHEA Grapalat" w:cs="Calibri"/>
                <w:sz w:val="18"/>
                <w:szCs w:val="18"/>
                <w:lang w:val="hy-AM"/>
              </w:rPr>
            </w:pPr>
            <w:r w:rsidRPr="00B57DAB">
              <w:rPr>
                <w:rFonts w:ascii="GHEA Grapalat" w:hAnsi="GHEA Grapalat" w:cs="Calibri"/>
                <w:sz w:val="18"/>
                <w:szCs w:val="18"/>
                <w:lang w:val="hy-AM"/>
              </w:rPr>
              <w:t>Օրենքով և իրավական այլ ակտերով սահմանված՝ պետական բյուջե մուտքագրվող այլ եկամուտներ</w:t>
            </w:r>
          </w:p>
        </w:tc>
        <w:tc>
          <w:tcPr>
            <w:tcW w:w="992" w:type="dxa"/>
            <w:tcBorders>
              <w:top w:val="single" w:sz="4" w:space="0" w:color="auto"/>
              <w:left w:val="single" w:sz="4" w:space="0" w:color="auto"/>
              <w:bottom w:val="single" w:sz="4" w:space="0" w:color="auto"/>
              <w:right w:val="single" w:sz="4" w:space="0" w:color="auto"/>
            </w:tcBorders>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(23.5)</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6,010.4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6,262.5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104.2</w:t>
            </w:r>
          </w:p>
        </w:tc>
        <w:tc>
          <w:tcPr>
            <w:tcW w:w="1269" w:type="dxa"/>
            <w:tcBorders>
              <w:top w:val="single" w:sz="4" w:space="0" w:color="auto"/>
              <w:left w:val="single" w:sz="4" w:space="0" w:color="auto"/>
              <w:bottom w:val="single" w:sz="4" w:space="0" w:color="auto"/>
              <w:right w:val="single" w:sz="4" w:space="0" w:color="auto"/>
            </w:tcBorders>
            <w:vAlign w:val="bottom"/>
            <w:hideMark/>
          </w:tcPr>
          <w:p w:rsidR="005A29FB" w:rsidRPr="00B57DAB" w:rsidRDefault="005A29FB">
            <w:pPr>
              <w:jc w:val="right"/>
              <w:rPr>
                <w:rFonts w:ascii="GHEA Grapalat" w:hAnsi="GHEA Grapalat" w:cs="Arial"/>
                <w:sz w:val="18"/>
                <w:szCs w:val="18"/>
              </w:rPr>
            </w:pPr>
            <w:r w:rsidRPr="00B57DAB">
              <w:rPr>
                <w:rFonts w:ascii="GHEA Grapalat" w:hAnsi="GHEA Grapalat" w:cs="Arial"/>
                <w:sz w:val="18"/>
                <w:szCs w:val="18"/>
              </w:rPr>
              <w:t>(26694.3)</w:t>
            </w:r>
          </w:p>
        </w:tc>
      </w:tr>
    </w:tbl>
    <w:p w:rsidR="005A29FB" w:rsidRPr="00B57DAB" w:rsidRDefault="005A29FB" w:rsidP="005A29FB">
      <w:pPr>
        <w:spacing w:line="360" w:lineRule="auto"/>
        <w:ind w:firstLine="567"/>
        <w:jc w:val="both"/>
        <w:rPr>
          <w:rFonts w:ascii="GHEA Grapalat" w:hAnsi="GHEA Grapalat" w:cs="GHEA Grapalat"/>
          <w:sz w:val="22"/>
          <w:szCs w:val="22"/>
        </w:rPr>
      </w:pPr>
    </w:p>
    <w:p w:rsidR="005A29FB" w:rsidRPr="00B57DAB" w:rsidRDefault="005A29FB" w:rsidP="005A29FB">
      <w:pPr>
        <w:autoSpaceDE w:val="0"/>
        <w:autoSpaceDN w:val="0"/>
        <w:adjustRightInd w:val="0"/>
        <w:spacing w:line="360" w:lineRule="auto"/>
        <w:ind w:firstLine="567"/>
        <w:jc w:val="both"/>
        <w:rPr>
          <w:rFonts w:ascii="GHEA Grapalat" w:hAnsi="GHEA Grapalat" w:cs="Calibri"/>
          <w:sz w:val="22"/>
          <w:szCs w:val="22"/>
        </w:rPr>
      </w:pPr>
      <w:r w:rsidRPr="00B57DAB">
        <w:rPr>
          <w:rFonts w:ascii="GHEA Grapalat" w:hAnsi="GHEA Grapalat" w:cs="Calibri"/>
          <w:sz w:val="22"/>
          <w:szCs w:val="22"/>
        </w:rPr>
        <w:t xml:space="preserve">Հաշվետու ժամանակահատվածում բանկերում և այլ ֆինանսավարկային հաստատություններում բյուջեի ժամանակավոր ազատ միջոցների տեղաբաշխումից և դեպոզիտներից ստացվել են շուրջ 6.5 մլրդ դրամ տոկոսավճարներ, որոնք 84.4%-ով գերազանցել </w:t>
      </w:r>
      <w:r w:rsidRPr="00B57DAB">
        <w:rPr>
          <w:rFonts w:ascii="GHEA Grapalat" w:hAnsi="GHEA Grapalat" w:cs="Calibri"/>
          <w:sz w:val="22"/>
          <w:szCs w:val="22"/>
        </w:rPr>
        <w:lastRenderedPageBreak/>
        <w:t>են եռամսյակային ծրագրային ցուցանիշը և 37%-ով՝ նախորդ տարվա նույն ժամանակահատվածի ցուցանիշը: Ծրագրված ցուցանիշի գերազանցումը պայմանավորված է 2022 թվականի առաջին եռամսյակի ընթացքում պետական բյուջեի մուտքերի գերակատարմամբ և ելքերի եռամսյակային ծրագրային ցուցանիշի համեմատաբար ցածր կատարողականով, որի պայմաններում առաջացել են լրացուցիչ ժամանակավոր ազատ դրամական միջոցներ, որոնք ներդրվել են՝ ապահովելով լրացուցիչ տոկոսային եկամուտներ: Տոկոսագումարների գերակատարմանը, ինչպես նաև նախորդ տարվա նույն ժամանակահատվածի համեմատ աճին նպաստել է նաև ավանդի ներդրման տոկոսադրույքի աճը: Նախորդ տարվա առաջին եռամսյակի համեմատ ավանդի ներդրման տոկոսադրույքն աճել է 2.33 տոկոսային կետով՝ ապահովելով 1.7 մլրդ դրամով ավել մուտքեր: 2022 թվականի առաջին եռամսյակում ներդրված ավանդների միջին կշռված տոկոսադրույքը կազմել է 8.35%` 2021 թվականի առաջին եռամսյակի 6.02%-ի դիմաց:</w:t>
      </w:r>
    </w:p>
    <w:p w:rsidR="005A29FB" w:rsidRPr="00B57DAB" w:rsidRDefault="005A29FB" w:rsidP="005A29FB">
      <w:pPr>
        <w:spacing w:line="360" w:lineRule="auto"/>
        <w:ind w:right="9" w:firstLine="567"/>
        <w:jc w:val="both"/>
        <w:rPr>
          <w:rFonts w:ascii="GHEA Grapalat" w:hAnsi="GHEA Grapalat" w:cs="Calibri"/>
          <w:sz w:val="22"/>
          <w:szCs w:val="22"/>
        </w:rPr>
      </w:pPr>
      <w:r w:rsidRPr="00B57DAB">
        <w:rPr>
          <w:rFonts w:ascii="GHEA Grapalat" w:hAnsi="GHEA Grapalat" w:cs="Calibri"/>
          <w:sz w:val="22"/>
          <w:szCs w:val="22"/>
        </w:rPr>
        <w:t>Հաշվետու ժամանակահատվածում իրավախախտումների համար գործադիր, դատական մարմինների կողմից կիրառվող պատժամիջոցներից ստացված մուտքերի՝ եռամսյակային ծրագրային ցուցանիշի 63.1%</w:t>
      </w:r>
      <w:r w:rsidRPr="00B57DAB">
        <w:rPr>
          <w:rFonts w:ascii="GHEA Grapalat" w:hAnsi="GHEA Grapalat" w:cs="Calibri"/>
          <w:sz w:val="22"/>
          <w:szCs w:val="22"/>
        </w:rPr>
        <w:noBreakHyphen/>
        <w:t>ով գերազանցումը հիմնականում պայմանավորված է ՀՀ ոստիկանության կողմից կիրառված պատժամիջոցների արդյունքում գանձված գումարների ծրագրի գերազանցմամբ, որոնք կազմել են 3.4 մլրդ դրամ և 62.3%</w:t>
      </w:r>
      <w:r w:rsidRPr="00B57DAB">
        <w:rPr>
          <w:rFonts w:ascii="GHEA Grapalat" w:hAnsi="GHEA Grapalat" w:cs="Calibri"/>
          <w:sz w:val="22"/>
          <w:szCs w:val="22"/>
        </w:rPr>
        <w:noBreakHyphen/>
        <w:t>ով գերազանցել ծրագրային ցուցանիշը: Նախորդ տարվա նույն ժամանակահատվածի համեմատ իրավախախտումների համար կիրառվող պատժամիջոցներից ստացված մուտքերի 12.7% (459.7 մլն դրամ) աճը հիմնականում պայմանավորված է ՀՀ ոստիկանության, ՀՀ վարչապետի աշխատակազմի ներքո գործող տեսչական մարմիների, ՀՀ կենտրոնական բանկի կողմից կիրառված պատժամիջոցների արդյունքում գանձված գումարների աճով, ինչպես նաև ՀՀ հանրային ծառայությունները կարգավորող հանձնաժողովի կողմից գանձված՝ էլեկտրական էներգիայի արտադրության լիցենզիաների կառուցման (վերակառուցման) ժամանակահատվածներում նշված լիցենզիաների պայմանները չկատարելու կամ ոչ պատշաճ կատարելու դեպքում ֆինանսական երաշխիքներից մուտքերի աճով:</w:t>
      </w:r>
    </w:p>
    <w:p w:rsidR="005A29FB" w:rsidRPr="00B57DAB" w:rsidRDefault="005A29FB" w:rsidP="005A29FB">
      <w:pPr>
        <w:spacing w:line="360" w:lineRule="auto"/>
        <w:ind w:right="9" w:firstLine="567"/>
        <w:jc w:val="both"/>
        <w:rPr>
          <w:rFonts w:ascii="GHEA Grapalat" w:hAnsi="GHEA Grapalat" w:cs="Calibri"/>
          <w:sz w:val="22"/>
          <w:szCs w:val="22"/>
        </w:rPr>
      </w:pPr>
      <w:r w:rsidRPr="00B57DAB">
        <w:rPr>
          <w:rFonts w:ascii="GHEA Grapalat" w:hAnsi="GHEA Grapalat" w:cs="Calibri"/>
          <w:sz w:val="22"/>
          <w:szCs w:val="22"/>
        </w:rPr>
        <w:t>Հաշվետու ժամանակահատվածում ապրանքների մատակարարումից և ծառայությունների մատուցումից ստացված մուտքերը եռամսյակային ծրագրային ցուցանիշը գերազանցել են 41.7%</w:t>
      </w:r>
      <w:r w:rsidRPr="00B57DAB">
        <w:rPr>
          <w:rFonts w:ascii="GHEA Grapalat" w:hAnsi="GHEA Grapalat" w:cs="Calibri"/>
          <w:sz w:val="22"/>
          <w:szCs w:val="22"/>
        </w:rPr>
        <w:noBreakHyphen/>
        <w:t>ով, որը հիմնականում պայմանավորված է ՀՀ ոստիկանության և ՀՀ արդարադատության նախարարության կողմից ապահովված եկամուտների կատարողականով: Միաժամանակ, նախորդ տարվա նույն ժամանակահատվածի ցուցանիշի նկատմամբ 10% աճը հիմնականում պայմանավորված է ՀՀ ոստիկանության և ՀՀ կադաստրի կոմիտեի կողմից մատուցվող ծառայությունների դիմաց ստացված մուտքերի աճով:</w:t>
      </w:r>
    </w:p>
    <w:p w:rsidR="005A29FB" w:rsidRPr="00B57DAB" w:rsidRDefault="005A29FB" w:rsidP="005A29FB">
      <w:pPr>
        <w:spacing w:line="360" w:lineRule="auto"/>
        <w:ind w:right="9" w:firstLine="567"/>
        <w:jc w:val="both"/>
        <w:rPr>
          <w:rFonts w:ascii="GHEA Grapalat" w:hAnsi="GHEA Grapalat" w:cs="Calibri"/>
          <w:sz w:val="22"/>
          <w:szCs w:val="22"/>
        </w:rPr>
      </w:pPr>
      <w:r w:rsidRPr="00B57DAB">
        <w:rPr>
          <w:rFonts w:ascii="GHEA Grapalat" w:hAnsi="GHEA Grapalat" w:cs="Calibri"/>
          <w:sz w:val="22"/>
          <w:szCs w:val="22"/>
        </w:rPr>
        <w:lastRenderedPageBreak/>
        <w:t>Պետական սեփականություն հանդիսացող գույքի վարձակալության դիմաց պետական բյուջե ստացված մուտքերի` առաջին եռամսյակի համար ծրագրված ցուցանիշի 48.3%-ով գերազանցումը և նախորդ տարվա նույն ժամանակահատվածի համեմատ 29.8%-ով աճը հիմնականում պայմանավորված են ՀՀ տարածքային կառավարման և ենթակառուցվածքների նախարարության պետական գույքի կառավարման կոմիտեի կողմից ապահովված վարձակալական վճարների աճով:</w:t>
      </w:r>
    </w:p>
    <w:p w:rsidR="005A29FB" w:rsidRPr="00B57DAB" w:rsidRDefault="005A29FB" w:rsidP="005A29FB">
      <w:pPr>
        <w:spacing w:line="360" w:lineRule="auto"/>
        <w:ind w:firstLine="567"/>
        <w:jc w:val="both"/>
        <w:rPr>
          <w:rFonts w:ascii="GHEA Grapalat" w:hAnsi="GHEA Grapalat" w:cs="Calibri"/>
          <w:sz w:val="22"/>
          <w:szCs w:val="22"/>
        </w:rPr>
      </w:pPr>
      <w:r w:rsidRPr="00B57DAB">
        <w:rPr>
          <w:rFonts w:ascii="GHEA Grapalat" w:hAnsi="GHEA Grapalat" w:cs="Calibri"/>
          <w:sz w:val="22"/>
          <w:szCs w:val="22"/>
        </w:rPr>
        <w:t>Նախորդ տարվա նույն ժամանակահատվածի համեմատ իրավաբանական անձանց կապիտալում կատարված ներդրումներից ստացված շահութաբաժինների 3.3 անգամ աճը հիմնականում պայմանավորված է ՀՀ պաշտպանության նախարարության ներքո գտնվող ընկերություններում պետական մասնակցության դիմաց 39 մլն դրամ շահութաբաժինների ստացմամբ:</w:t>
      </w:r>
    </w:p>
    <w:p w:rsidR="005A29FB" w:rsidRPr="00B57DAB" w:rsidRDefault="005A29FB" w:rsidP="005A29FB">
      <w:pPr>
        <w:autoSpaceDE w:val="0"/>
        <w:autoSpaceDN w:val="0"/>
        <w:adjustRightInd w:val="0"/>
        <w:spacing w:line="360" w:lineRule="auto"/>
        <w:ind w:firstLine="567"/>
        <w:jc w:val="both"/>
        <w:rPr>
          <w:rFonts w:ascii="GHEA Grapalat" w:hAnsi="GHEA Grapalat" w:cs="Calibri"/>
          <w:sz w:val="22"/>
          <w:szCs w:val="22"/>
        </w:rPr>
      </w:pPr>
      <w:r w:rsidRPr="00B57DAB">
        <w:rPr>
          <w:rFonts w:ascii="GHEA Grapalat" w:hAnsi="GHEA Grapalat" w:cs="Calibri"/>
          <w:sz w:val="22"/>
          <w:szCs w:val="22"/>
        </w:rPr>
        <w:t>Հա</w:t>
      </w:r>
      <w:r w:rsidRPr="00B57DAB">
        <w:rPr>
          <w:rFonts w:ascii="GHEA Grapalat" w:hAnsi="GHEA Grapalat" w:cs="Calibri"/>
          <w:sz w:val="22"/>
          <w:szCs w:val="22"/>
        </w:rPr>
        <w:softHyphen/>
        <w:t>յաստանի Հանրապետության կողմից ոչ ռեզիդենտներին տրամադրված վարկերի գծով բյուջետային մուտ</w:t>
      </w:r>
      <w:r w:rsidRPr="00B57DAB">
        <w:rPr>
          <w:rFonts w:ascii="GHEA Grapalat" w:hAnsi="GHEA Grapalat" w:cs="Calibri"/>
          <w:sz w:val="22"/>
          <w:szCs w:val="22"/>
        </w:rPr>
        <w:softHyphen/>
        <w:t>քե</w:t>
      </w:r>
      <w:r w:rsidRPr="00B57DAB">
        <w:rPr>
          <w:rFonts w:ascii="GHEA Grapalat" w:hAnsi="GHEA Grapalat" w:cs="Calibri"/>
          <w:sz w:val="22"/>
          <w:szCs w:val="22"/>
        </w:rPr>
        <w:softHyphen/>
        <w:t>րը կազմել են 26.6 մլն դրամ, որոնք գոյացել են Հայաստանի Հանրապետության հանդեպ Վրաստանի Հան</w:t>
      </w:r>
      <w:r w:rsidRPr="00B57DAB">
        <w:rPr>
          <w:rFonts w:ascii="GHEA Grapalat" w:hAnsi="GHEA Grapalat" w:cs="Calibri"/>
          <w:sz w:val="22"/>
          <w:szCs w:val="22"/>
        </w:rPr>
        <w:softHyphen/>
        <w:t>րա</w:t>
      </w:r>
      <w:r w:rsidRPr="00B57DAB">
        <w:rPr>
          <w:rFonts w:ascii="GHEA Grapalat" w:hAnsi="GHEA Grapalat" w:cs="Calibri"/>
          <w:sz w:val="22"/>
          <w:szCs w:val="22"/>
        </w:rPr>
        <w:softHyphen/>
        <w:t>պե</w:t>
      </w:r>
      <w:r w:rsidRPr="00B57DAB">
        <w:rPr>
          <w:rFonts w:ascii="GHEA Grapalat" w:hAnsi="GHEA Grapalat" w:cs="Calibri"/>
          <w:sz w:val="22"/>
          <w:szCs w:val="22"/>
        </w:rPr>
        <w:softHyphen/>
        <w:t>տու</w:t>
      </w:r>
      <w:r w:rsidRPr="00B57DAB">
        <w:rPr>
          <w:rFonts w:ascii="GHEA Grapalat" w:hAnsi="GHEA Grapalat" w:cs="Calibri"/>
          <w:sz w:val="22"/>
          <w:szCs w:val="22"/>
        </w:rPr>
        <w:softHyphen/>
        <w:t>թյան պարտքի սպա</w:t>
      </w:r>
      <w:r w:rsidRPr="00B57DAB">
        <w:rPr>
          <w:rFonts w:ascii="GHEA Grapalat" w:hAnsi="GHEA Grapalat" w:cs="Calibri"/>
          <w:sz w:val="22"/>
          <w:szCs w:val="22"/>
        </w:rPr>
        <w:softHyphen/>
      </w:r>
      <w:r w:rsidRPr="00B57DAB">
        <w:rPr>
          <w:rFonts w:ascii="GHEA Grapalat" w:hAnsi="GHEA Grapalat" w:cs="Calibri"/>
          <w:sz w:val="22"/>
          <w:szCs w:val="22"/>
        </w:rPr>
        <w:softHyphen/>
        <w:t>սարկման տոկոսավճար</w:t>
      </w:r>
      <w:r w:rsidRPr="00B57DAB">
        <w:rPr>
          <w:rFonts w:ascii="GHEA Grapalat" w:hAnsi="GHEA Grapalat" w:cs="Calibri"/>
          <w:sz w:val="22"/>
          <w:szCs w:val="22"/>
        </w:rPr>
        <w:softHyphen/>
      </w:r>
      <w:r w:rsidRPr="00B57DAB">
        <w:rPr>
          <w:rFonts w:ascii="GHEA Grapalat" w:hAnsi="GHEA Grapalat" w:cs="Calibri"/>
          <w:sz w:val="22"/>
          <w:szCs w:val="22"/>
        </w:rPr>
        <w:softHyphen/>
        <w:t>նե</w:t>
      </w:r>
      <w:r w:rsidRPr="00B57DAB">
        <w:rPr>
          <w:rFonts w:ascii="GHEA Grapalat" w:hAnsi="GHEA Grapalat" w:cs="Calibri"/>
          <w:sz w:val="22"/>
          <w:szCs w:val="22"/>
        </w:rPr>
        <w:softHyphen/>
        <w:t>րից: Կանխատեսված մուտքերի համեմատ 0.5% գերազանցումը պայմանավորված է ծրագրայինի համեմատ փաստացի փոխարժեքի բարձր մակարդակով:</w:t>
      </w:r>
    </w:p>
    <w:p w:rsidR="005A29FB" w:rsidRPr="00B57DAB" w:rsidRDefault="005A29FB" w:rsidP="005A29FB">
      <w:pPr>
        <w:spacing w:line="360" w:lineRule="auto"/>
        <w:ind w:firstLine="567"/>
        <w:jc w:val="both"/>
        <w:rPr>
          <w:rFonts w:ascii="GHEA Grapalat" w:hAnsi="GHEA Grapalat" w:cs="Calibri"/>
          <w:sz w:val="22"/>
          <w:szCs w:val="22"/>
        </w:rPr>
      </w:pPr>
      <w:r w:rsidRPr="00B57DAB">
        <w:rPr>
          <w:rFonts w:ascii="GHEA Grapalat" w:hAnsi="GHEA Grapalat" w:cs="Calibri"/>
          <w:sz w:val="22"/>
          <w:szCs w:val="22"/>
        </w:rPr>
        <w:t>Ռեզիդենտներին պետության կողմից տրամադրված վարկերի օգտագործման տոկոսավճարները հաշվետու ժամանակահատվածում կազմել են ավելի քան 2.1 մլրդ դրամ՝ 1.6%</w:t>
      </w:r>
      <w:r w:rsidRPr="00B57DAB">
        <w:rPr>
          <w:rFonts w:ascii="GHEA Grapalat" w:hAnsi="GHEA Grapalat" w:cs="Calibri"/>
          <w:sz w:val="22"/>
          <w:szCs w:val="22"/>
        </w:rPr>
        <w:noBreakHyphen/>
        <w:t>ով գերազանցելով ծրագրային ցուցանիշը և 16.5%-ով զիջելով նախորդ տարվա ցուցանիշը: Ծրագրի գերազանցումը պայմանավորված է չնախատեսված գումարների վճարմամբ, իսկ նախորդ տարվա ցուցանիշների նկատմամբ անկումը՝</w:t>
      </w:r>
      <w:r w:rsidR="00AA4898" w:rsidRPr="00B57DAB">
        <w:rPr>
          <w:rFonts w:ascii="GHEA Grapalat" w:hAnsi="GHEA Grapalat" w:cs="Calibri"/>
          <w:sz w:val="22"/>
          <w:szCs w:val="22"/>
        </w:rPr>
        <w:t xml:space="preserve"> հիմնականում</w:t>
      </w:r>
      <w:r w:rsidRPr="00B57DAB">
        <w:rPr>
          <w:rFonts w:ascii="GHEA Grapalat" w:hAnsi="GHEA Grapalat" w:cs="Calibri"/>
          <w:sz w:val="22"/>
          <w:szCs w:val="22"/>
        </w:rPr>
        <w:t xml:space="preserve"> վարկերի փոփոխական տոկոսադրույքների և փոխարժեքների նվազմամբ:</w:t>
      </w:r>
    </w:p>
    <w:p w:rsidR="005A29FB" w:rsidRPr="00B57DAB" w:rsidRDefault="005A29FB" w:rsidP="005A29FB">
      <w:pPr>
        <w:spacing w:line="360" w:lineRule="auto"/>
        <w:ind w:right="9" w:firstLine="567"/>
        <w:jc w:val="both"/>
        <w:rPr>
          <w:rFonts w:ascii="GHEA Grapalat" w:hAnsi="GHEA Grapalat" w:cs="Calibri"/>
          <w:sz w:val="22"/>
          <w:szCs w:val="22"/>
        </w:rPr>
      </w:pPr>
      <w:r w:rsidRPr="00B57DAB">
        <w:rPr>
          <w:rFonts w:ascii="GHEA Grapalat" w:hAnsi="GHEA Grapalat" w:cs="Calibri"/>
          <w:sz w:val="22"/>
          <w:szCs w:val="22"/>
        </w:rPr>
        <w:t>Հաշվետու ժամանակահատվածում պետական բյուջե մուտքագրված այլ կատեգորիաներում չդասակարգված տրանսֆերտները զիջել են նախորդ տարվա նույն ժամանակահատվածի ցուցանիշը 64.4%-ով՝ պայմանավորված 2021 թվականի առաջին եռամսյակի ընթացքում օտարերկրյա պետությունների, ֆիզիկական անձանց, իրավաբանական անձանց կողմից պետությանը, ռազմական դրությամբ պայմանավորված` ենթակառուցվածքների, սոցիալական և առողջապահական ծախսերի ֆինանսավորման նպատակով կատարված նվիրաբերություններով, որոնք կազմել էին 47.9 մլն դրամ:</w:t>
      </w:r>
    </w:p>
    <w:p w:rsidR="00CE187C" w:rsidRPr="00B57DAB" w:rsidRDefault="00CE187C" w:rsidP="00CE187C">
      <w:pPr>
        <w:autoSpaceDE w:val="0"/>
        <w:autoSpaceDN w:val="0"/>
        <w:adjustRightInd w:val="0"/>
        <w:spacing w:line="360" w:lineRule="auto"/>
        <w:ind w:firstLine="567"/>
        <w:jc w:val="both"/>
        <w:rPr>
          <w:rFonts w:ascii="GHEA Grapalat" w:hAnsi="GHEA Grapalat" w:cs="Calibri"/>
          <w:sz w:val="22"/>
          <w:szCs w:val="22"/>
        </w:rPr>
        <w:sectPr w:rsidR="00CE187C" w:rsidRPr="00B57DAB" w:rsidSect="009C41C6">
          <w:pgSz w:w="11907" w:h="16840" w:code="9"/>
          <w:pgMar w:top="1134" w:right="567" w:bottom="567" w:left="1134" w:header="720" w:footer="567" w:gutter="0"/>
          <w:cols w:space="720"/>
        </w:sectPr>
      </w:pPr>
    </w:p>
    <w:p w:rsidR="00E61A03" w:rsidRPr="00B57DAB" w:rsidRDefault="00E61A03" w:rsidP="0045560F">
      <w:pPr>
        <w:pStyle w:val="Heading1"/>
        <w:overflowPunct/>
        <w:autoSpaceDE/>
        <w:autoSpaceDN/>
        <w:adjustRightInd/>
        <w:ind w:firstLine="0"/>
        <w:jc w:val="left"/>
        <w:textAlignment w:val="auto"/>
        <w:rPr>
          <w:rFonts w:ascii="GHEA Grapalat" w:hAnsi="GHEA Grapalat" w:cs="Sylfaen"/>
          <w:noProof/>
          <w:sz w:val="22"/>
          <w:szCs w:val="22"/>
          <w:lang w:val="hy-AM"/>
        </w:rPr>
      </w:pPr>
      <w:bookmarkStart w:id="52" w:name="_Toc71311894"/>
      <w:bookmarkStart w:id="53" w:name="_Toc102759892"/>
      <w:r w:rsidRPr="00B57DAB">
        <w:rPr>
          <w:rFonts w:ascii="GHEA Grapalat" w:hAnsi="GHEA Grapalat" w:cs="Sylfaen"/>
          <w:noProof/>
          <w:sz w:val="22"/>
          <w:szCs w:val="22"/>
          <w:lang w:val="hy-AM"/>
        </w:rPr>
        <w:lastRenderedPageBreak/>
        <w:t>ՀՀ ՊԵՏԱԿԱՆ ԲՅՈՒՋԵԻ ԾԱԽՍԵՐԸ</w:t>
      </w:r>
      <w:bookmarkEnd w:id="51"/>
      <w:r w:rsidR="000B32BA" w:rsidRPr="00B57DAB">
        <w:rPr>
          <w:rFonts w:ascii="GHEA Grapalat" w:hAnsi="GHEA Grapalat" w:cs="Sylfaen"/>
          <w:noProof/>
          <w:sz w:val="22"/>
          <w:szCs w:val="22"/>
          <w:lang w:val="hy-AM"/>
        </w:rPr>
        <w:t xml:space="preserve"> 202</w:t>
      </w:r>
      <w:r w:rsidR="00606AEA" w:rsidRPr="00B57DAB">
        <w:rPr>
          <w:rFonts w:ascii="GHEA Grapalat" w:hAnsi="GHEA Grapalat" w:cs="Sylfaen"/>
          <w:noProof/>
          <w:sz w:val="22"/>
          <w:szCs w:val="22"/>
          <w:lang w:val="hy-AM"/>
        </w:rPr>
        <w:t xml:space="preserve">2 </w:t>
      </w:r>
      <w:r w:rsidR="00D16570" w:rsidRPr="00B57DAB">
        <w:rPr>
          <w:rFonts w:ascii="GHEA Grapalat" w:hAnsi="GHEA Grapalat" w:cs="Sylfaen"/>
          <w:noProof/>
          <w:sz w:val="22"/>
          <w:szCs w:val="22"/>
          <w:lang w:val="hy-AM"/>
        </w:rPr>
        <w:t>ԹՎԱԿԱՆԻ ԱՌԱՋԻՆ ԵՌԱՄՍՅԱԿՈՒՄ</w:t>
      </w:r>
      <w:bookmarkEnd w:id="52"/>
      <w:bookmarkEnd w:id="53"/>
    </w:p>
    <w:p w:rsidR="008B4775" w:rsidRPr="00B57DAB" w:rsidRDefault="0089369D" w:rsidP="008B4775">
      <w:pPr>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2022 թվականի առաջին եռամսյակում ՀՀ պետական բյուջեի</w:t>
      </w:r>
      <w:r w:rsidR="0099764E" w:rsidRPr="00B57DAB">
        <w:rPr>
          <w:rFonts w:ascii="GHEA Grapalat" w:hAnsi="GHEA Grapalat" w:cs="GHEA Grapalat"/>
          <w:sz w:val="22"/>
          <w:szCs w:val="22"/>
        </w:rPr>
        <w:t xml:space="preserve"> փաստացի ծախսերը կազմել են </w:t>
      </w:r>
      <w:r w:rsidR="00AD3A2D" w:rsidRPr="00B57DAB">
        <w:rPr>
          <w:rFonts w:ascii="GHEA Grapalat" w:hAnsi="GHEA Grapalat" w:cs="GHEA Grapalat"/>
          <w:sz w:val="22"/>
          <w:szCs w:val="22"/>
        </w:rPr>
        <w:t>396.8</w:t>
      </w:r>
      <w:r w:rsidR="0099764E" w:rsidRPr="00B57DAB">
        <w:rPr>
          <w:rFonts w:ascii="GHEA Grapalat" w:hAnsi="GHEA Grapalat" w:cs="GHEA Grapalat"/>
          <w:sz w:val="22"/>
          <w:szCs w:val="22"/>
        </w:rPr>
        <w:t xml:space="preserve"> մլրդ դրամ: Պետական բյուջեի ծախսերի </w:t>
      </w:r>
      <w:r w:rsidR="00E5367F" w:rsidRPr="00B57DAB">
        <w:rPr>
          <w:rFonts w:ascii="GHEA Grapalat" w:hAnsi="GHEA Grapalat" w:cs="GHEA Grapalat"/>
          <w:sz w:val="22"/>
          <w:szCs w:val="22"/>
        </w:rPr>
        <w:t>առաջին եռամսյակի</w:t>
      </w:r>
      <w:r w:rsidR="0099764E" w:rsidRPr="00B57DAB">
        <w:rPr>
          <w:rFonts w:ascii="GHEA Grapalat" w:hAnsi="GHEA Grapalat" w:cs="GHEA Grapalat"/>
          <w:sz w:val="22"/>
          <w:szCs w:val="22"/>
        </w:rPr>
        <w:t xml:space="preserve"> ճշտված ծրագիրը կատարվել է </w:t>
      </w:r>
      <w:r w:rsidR="00AD3A2D" w:rsidRPr="00B57DAB">
        <w:rPr>
          <w:rFonts w:ascii="GHEA Grapalat" w:hAnsi="GHEA Grapalat" w:cs="GHEA Grapalat"/>
          <w:sz w:val="22"/>
          <w:szCs w:val="22"/>
        </w:rPr>
        <w:t>81.6</w:t>
      </w:r>
      <w:r w:rsidR="0099764E" w:rsidRPr="00B57DAB">
        <w:rPr>
          <w:rFonts w:ascii="GHEA Grapalat" w:hAnsi="GHEA Grapalat" w:cs="GHEA Grapalat"/>
          <w:sz w:val="22"/>
          <w:szCs w:val="22"/>
        </w:rPr>
        <w:t xml:space="preserve">%-ով, շեղումների ընդհանուր գումարի </w:t>
      </w:r>
      <w:r w:rsidR="00AD3A2D" w:rsidRPr="00B57DAB">
        <w:rPr>
          <w:rFonts w:ascii="GHEA Grapalat" w:hAnsi="GHEA Grapalat" w:cs="GHEA Grapalat"/>
          <w:sz w:val="22"/>
          <w:szCs w:val="22"/>
        </w:rPr>
        <w:t>64.8%-ը բաժին է ընկել ընթացիկ ծախսերին, 35.2%-ը` ոչ ֆինանսական ակտիվների հետ գործառնություններին:</w:t>
      </w:r>
      <w:r w:rsidR="008B4775" w:rsidRPr="00B57DAB">
        <w:rPr>
          <w:rFonts w:ascii="GHEA Grapalat" w:hAnsi="GHEA Grapalat" w:cs="GHEA Grapalat"/>
          <w:sz w:val="22"/>
          <w:szCs w:val="22"/>
        </w:rPr>
        <w:t xml:space="preserve"> Ընթացիկ ծախսերում շեղումների հիմնական մասը բաժին է ընկել սոցիալական նպաստներին և կենսաթոշակներին, ծառայությունների և ապրանքների ձեռքբերման ծախսերին</w:t>
      </w:r>
      <w:r w:rsidR="00AA4898" w:rsidRPr="00B57DAB">
        <w:rPr>
          <w:rFonts w:ascii="GHEA Grapalat" w:hAnsi="GHEA Grapalat" w:cs="GHEA Grapalat"/>
          <w:sz w:val="22"/>
          <w:szCs w:val="22"/>
        </w:rPr>
        <w:t>, դրամաշնորհներին</w:t>
      </w:r>
      <w:r w:rsidR="008B4775" w:rsidRPr="00B57DAB">
        <w:rPr>
          <w:rFonts w:ascii="GHEA Grapalat" w:hAnsi="GHEA Grapalat" w:cs="GHEA Grapalat"/>
          <w:sz w:val="22"/>
          <w:szCs w:val="22"/>
        </w:rPr>
        <w:t xml:space="preserve"> և այլ ծախսերին: </w:t>
      </w:r>
      <w:r w:rsidR="008B4775" w:rsidRPr="00B57DAB">
        <w:rPr>
          <w:rFonts w:ascii="GHEA Grapalat" w:hAnsi="GHEA Grapalat" w:cs="GHEA Grapalat"/>
          <w:sz w:val="22"/>
          <w:szCs w:val="22"/>
          <w:lang w:val="hy-AM"/>
        </w:rPr>
        <w:t>Հարկ է նշել, որ չնայած բյուջետային ծախսերի համեմատաբար ցածր կատարողականին` հաշվետու ժամանակահատվածում ապահովվել է պետական բյուջեի ծախսային ծրագրերի շրջանակներում պետական մարմինների կողմից սահմանված կարգով ստանձն</w:t>
      </w:r>
      <w:r w:rsidR="008B4775" w:rsidRPr="00B57DAB">
        <w:rPr>
          <w:rFonts w:ascii="GHEA Grapalat" w:hAnsi="GHEA Grapalat" w:cs="GHEA Grapalat"/>
          <w:sz w:val="22"/>
          <w:szCs w:val="22"/>
        </w:rPr>
        <w:t>վ</w:t>
      </w:r>
      <w:r w:rsidR="008B4775" w:rsidRPr="00B57DAB">
        <w:rPr>
          <w:rFonts w:ascii="GHEA Grapalat" w:hAnsi="GHEA Grapalat" w:cs="GHEA Grapalat"/>
          <w:sz w:val="22"/>
          <w:szCs w:val="22"/>
          <w:lang w:val="hy-AM"/>
        </w:rPr>
        <w:t>ած պարտավորությունների ամբողջական</w:t>
      </w:r>
      <w:r w:rsidR="008B4775" w:rsidRPr="00B57DAB">
        <w:rPr>
          <w:rFonts w:ascii="GHEA Grapalat" w:hAnsi="GHEA Grapalat"/>
          <w:sz w:val="22"/>
          <w:lang w:val="hy-AM"/>
        </w:rPr>
        <w:t xml:space="preserve"> և </w:t>
      </w:r>
      <w:r w:rsidR="008B4775" w:rsidRPr="00B57DAB">
        <w:rPr>
          <w:rFonts w:ascii="GHEA Grapalat" w:hAnsi="GHEA Grapalat" w:cs="GHEA Grapalat"/>
          <w:sz w:val="22"/>
          <w:szCs w:val="22"/>
          <w:lang w:val="hy-AM"/>
        </w:rPr>
        <w:t>ժամանակին կատարումը:</w:t>
      </w:r>
    </w:p>
    <w:p w:rsidR="00AD3A2D" w:rsidRPr="00B57DAB" w:rsidRDefault="00AD3A2D" w:rsidP="0099764E">
      <w:pPr>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lang w:val="hy-AM"/>
        </w:rPr>
        <w:t>Ըստ ֆինանսավորման աղբյուրների պետական բյուջեի ներքին աղբյուրների հաշվին կատարվել է ծախսերի 9</w:t>
      </w:r>
      <w:r w:rsidRPr="00B57DAB">
        <w:rPr>
          <w:rFonts w:ascii="GHEA Grapalat" w:hAnsi="GHEA Grapalat" w:cs="GHEA Grapalat"/>
          <w:sz w:val="22"/>
          <w:szCs w:val="22"/>
        </w:rPr>
        <w:t>8</w:t>
      </w:r>
      <w:r w:rsidRPr="00B57DAB">
        <w:rPr>
          <w:rFonts w:ascii="GHEA Grapalat" w:hAnsi="GHEA Grapalat" w:cs="GHEA Grapalat"/>
          <w:sz w:val="22"/>
          <w:szCs w:val="22"/>
          <w:lang w:val="hy-AM"/>
        </w:rPr>
        <w:t xml:space="preserve">%-ը կամ </w:t>
      </w:r>
      <w:r w:rsidRPr="00B57DAB">
        <w:rPr>
          <w:rFonts w:ascii="GHEA Grapalat" w:hAnsi="GHEA Grapalat" w:cs="GHEA Grapalat"/>
          <w:sz w:val="22"/>
          <w:szCs w:val="22"/>
        </w:rPr>
        <w:t>388.9</w:t>
      </w:r>
      <w:r w:rsidRPr="00B57DAB">
        <w:rPr>
          <w:rFonts w:ascii="Courier New" w:hAnsi="Courier New" w:cs="Courier New"/>
          <w:sz w:val="22"/>
          <w:szCs w:val="22"/>
        </w:rPr>
        <w:t> </w:t>
      </w:r>
      <w:r w:rsidRPr="00B57DAB">
        <w:rPr>
          <w:rFonts w:ascii="GHEA Grapalat" w:hAnsi="GHEA Grapalat" w:cs="GHEA Grapalat"/>
          <w:sz w:val="22"/>
          <w:szCs w:val="22"/>
          <w:lang w:val="hy-AM"/>
        </w:rPr>
        <w:t xml:space="preserve">մլրդ դրամը, որոնց </w:t>
      </w:r>
      <w:r w:rsidRPr="00B57DAB">
        <w:rPr>
          <w:rFonts w:ascii="GHEA Grapalat" w:hAnsi="GHEA Grapalat" w:cs="GHEA Grapalat"/>
          <w:sz w:val="22"/>
          <w:szCs w:val="22"/>
        </w:rPr>
        <w:t>եռամսյակային</w:t>
      </w:r>
      <w:r w:rsidRPr="00B57DAB">
        <w:rPr>
          <w:rFonts w:ascii="GHEA Grapalat" w:hAnsi="GHEA Grapalat" w:cs="GHEA Grapalat"/>
          <w:sz w:val="22"/>
          <w:szCs w:val="22"/>
          <w:lang w:val="hy-AM"/>
        </w:rPr>
        <w:t xml:space="preserve"> ծրագիրը կատարվել է </w:t>
      </w:r>
      <w:r w:rsidRPr="00B57DAB">
        <w:rPr>
          <w:rFonts w:ascii="GHEA Grapalat" w:hAnsi="GHEA Grapalat" w:cs="GHEA Grapalat"/>
          <w:sz w:val="22"/>
          <w:szCs w:val="22"/>
        </w:rPr>
        <w:t>84.5</w:t>
      </w:r>
      <w:r w:rsidRPr="00B57DAB">
        <w:rPr>
          <w:rFonts w:ascii="GHEA Grapalat" w:hAnsi="GHEA Grapalat" w:cs="GHEA Grapalat"/>
          <w:sz w:val="22"/>
          <w:szCs w:val="22"/>
          <w:lang w:val="hy-AM"/>
        </w:rPr>
        <w:t xml:space="preserve">%-ով: Բյուջեի ծախսերի </w:t>
      </w:r>
      <w:r w:rsidRPr="00B57DAB">
        <w:rPr>
          <w:rFonts w:ascii="GHEA Grapalat" w:hAnsi="GHEA Grapalat" w:cs="GHEA Grapalat"/>
          <w:sz w:val="22"/>
          <w:szCs w:val="22"/>
        </w:rPr>
        <w:t>2</w:t>
      </w:r>
      <w:r w:rsidRPr="00B57DAB">
        <w:rPr>
          <w:rFonts w:ascii="GHEA Grapalat" w:hAnsi="GHEA Grapalat" w:cs="GHEA Grapalat"/>
          <w:sz w:val="22"/>
          <w:szCs w:val="22"/>
          <w:lang w:val="hy-AM"/>
        </w:rPr>
        <w:t xml:space="preserve">%-ը՝ </w:t>
      </w:r>
      <w:r w:rsidRPr="00B57DAB">
        <w:rPr>
          <w:rFonts w:ascii="GHEA Grapalat" w:hAnsi="GHEA Grapalat" w:cs="GHEA Grapalat"/>
          <w:sz w:val="22"/>
          <w:szCs w:val="22"/>
        </w:rPr>
        <w:t>7.9</w:t>
      </w:r>
      <w:r w:rsidRPr="00B57DAB">
        <w:rPr>
          <w:rFonts w:ascii="Courier New" w:hAnsi="Courier New" w:cs="Courier New"/>
          <w:sz w:val="22"/>
          <w:szCs w:val="22"/>
        </w:rPr>
        <w:t> </w:t>
      </w:r>
      <w:r w:rsidRPr="00B57DAB">
        <w:rPr>
          <w:rFonts w:ascii="GHEA Grapalat" w:hAnsi="GHEA Grapalat" w:cs="GHEA Grapalat"/>
          <w:sz w:val="22"/>
          <w:szCs w:val="22"/>
          <w:lang w:val="hy-AM"/>
        </w:rPr>
        <w:t>մլրդ դրամը ֆինանսավորվել է արտաքին աղբյուրներից, որը կազմել է</w:t>
      </w:r>
      <w:r w:rsidRPr="00B57DAB">
        <w:rPr>
          <w:rFonts w:ascii="GHEA Grapalat" w:hAnsi="GHEA Grapalat" w:cs="GHEA Grapalat"/>
          <w:sz w:val="22"/>
          <w:szCs w:val="22"/>
        </w:rPr>
        <w:t xml:space="preserve"> </w:t>
      </w:r>
      <w:r w:rsidR="008B4775" w:rsidRPr="00B57DAB">
        <w:rPr>
          <w:rFonts w:ascii="GHEA Grapalat" w:hAnsi="GHEA Grapalat" w:cs="GHEA Grapalat"/>
          <w:sz w:val="22"/>
          <w:szCs w:val="22"/>
        </w:rPr>
        <w:t>եռամսյակային</w:t>
      </w:r>
      <w:r w:rsidRPr="00B57DAB">
        <w:rPr>
          <w:rFonts w:ascii="GHEA Grapalat" w:hAnsi="GHEA Grapalat" w:cs="GHEA Grapalat"/>
          <w:sz w:val="22"/>
          <w:szCs w:val="22"/>
          <w:lang w:val="hy-AM"/>
        </w:rPr>
        <w:t xml:space="preserve"> ծրագրի </w:t>
      </w:r>
      <w:r w:rsidRPr="00B57DAB">
        <w:rPr>
          <w:rFonts w:ascii="GHEA Grapalat" w:hAnsi="GHEA Grapalat" w:cs="GHEA Grapalat"/>
          <w:sz w:val="22"/>
          <w:szCs w:val="22"/>
        </w:rPr>
        <w:t>30.3</w:t>
      </w:r>
      <w:r w:rsidRPr="00B57DAB">
        <w:rPr>
          <w:rFonts w:ascii="GHEA Grapalat" w:hAnsi="GHEA Grapalat" w:cs="GHEA Grapalat"/>
          <w:sz w:val="22"/>
          <w:szCs w:val="22"/>
          <w:lang w:val="hy-AM"/>
        </w:rPr>
        <w:t>%</w:t>
      </w:r>
      <w:r w:rsidRPr="00B57DAB">
        <w:rPr>
          <w:rFonts w:ascii="GHEA Grapalat" w:hAnsi="GHEA Grapalat" w:cs="GHEA Grapalat"/>
          <w:sz w:val="22"/>
          <w:szCs w:val="22"/>
        </w:rPr>
        <w:noBreakHyphen/>
      </w:r>
      <w:r w:rsidRPr="00B57DAB">
        <w:rPr>
          <w:rFonts w:ascii="GHEA Grapalat" w:hAnsi="GHEA Grapalat" w:cs="GHEA Grapalat"/>
          <w:sz w:val="22"/>
          <w:szCs w:val="22"/>
          <w:lang w:val="hy-AM"/>
        </w:rPr>
        <w:t>ը</w:t>
      </w:r>
      <w:r w:rsidR="00F548E1" w:rsidRPr="00B57DAB">
        <w:rPr>
          <w:rStyle w:val="FootnoteReference"/>
          <w:rFonts w:ascii="GHEA Grapalat" w:hAnsi="GHEA Grapalat" w:cs="GHEA Grapalat"/>
          <w:sz w:val="22"/>
          <w:szCs w:val="22"/>
          <w:lang w:val="hy-AM"/>
        </w:rPr>
        <w:footnoteReference w:id="30"/>
      </w:r>
      <w:r w:rsidRPr="00B57DAB">
        <w:rPr>
          <w:rFonts w:ascii="GHEA Grapalat" w:hAnsi="GHEA Grapalat" w:cs="GHEA Grapalat"/>
          <w:sz w:val="22"/>
          <w:szCs w:val="22"/>
          <w:lang w:val="hy-AM"/>
        </w:rPr>
        <w:t>:</w:t>
      </w:r>
    </w:p>
    <w:p w:rsidR="008B4775" w:rsidRPr="00B57DAB" w:rsidRDefault="008B4775" w:rsidP="00F37FF4">
      <w:pPr>
        <w:ind w:firstLine="567"/>
        <w:jc w:val="both"/>
        <w:rPr>
          <w:rFonts w:ascii="GHEA Grapalat" w:hAnsi="GHEA Grapalat" w:cs="GHEA Grapalat"/>
          <w:sz w:val="22"/>
          <w:szCs w:val="22"/>
        </w:rPr>
      </w:pPr>
    </w:p>
    <w:p w:rsidR="008B4775" w:rsidRPr="00B57DAB" w:rsidRDefault="008B4775" w:rsidP="00770F24">
      <w:pPr>
        <w:pStyle w:val="Caption"/>
        <w:keepNext/>
        <w:numPr>
          <w:ilvl w:val="0"/>
          <w:numId w:val="8"/>
        </w:numPr>
        <w:tabs>
          <w:tab w:val="left" w:pos="1134"/>
        </w:tabs>
        <w:ind w:left="0" w:firstLine="0"/>
        <w:jc w:val="left"/>
        <w:rPr>
          <w:rFonts w:ascii="GHEA Grapalat" w:hAnsi="GHEA Grapalat"/>
          <w:i/>
          <w:sz w:val="18"/>
          <w:szCs w:val="18"/>
          <w:lang w:val="hy-AM"/>
        </w:rPr>
      </w:pPr>
      <w:r w:rsidRPr="00B57DAB">
        <w:rPr>
          <w:rFonts w:ascii="GHEA Grapalat" w:hAnsi="GHEA Grapalat"/>
          <w:i/>
          <w:sz w:val="18"/>
          <w:szCs w:val="18"/>
          <w:lang w:val="hy-AM"/>
        </w:rPr>
        <w:t>ՀՀ պետական բյուջեի ծախսերը (մլրդ դրամ)</w:t>
      </w:r>
      <w:r w:rsidR="00F548E1" w:rsidRPr="00B57DAB">
        <w:rPr>
          <w:rStyle w:val="FootnoteReference"/>
          <w:rFonts w:ascii="GHEA Grapalat" w:hAnsi="GHEA Grapalat"/>
          <w:i/>
          <w:sz w:val="18"/>
          <w:szCs w:val="18"/>
          <w:lang w:val="hy-AM"/>
        </w:rPr>
        <w:footnoteReference w:id="31"/>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841"/>
        <w:gridCol w:w="1986"/>
        <w:gridCol w:w="1984"/>
      </w:tblGrid>
      <w:tr w:rsidR="008B4775" w:rsidRPr="00B57DAB" w:rsidTr="00F37FF4">
        <w:trPr>
          <w:trHeight w:val="800"/>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8B4775" w:rsidRPr="00B57DAB" w:rsidRDefault="008B4775" w:rsidP="00E02F0C">
            <w:pPr>
              <w:rPr>
                <w:rFonts w:ascii="GHEA Grapalat" w:hAnsi="GHEA Grapalat" w:cs="Calibri"/>
                <w:color w:val="000000"/>
                <w:sz w:val="18"/>
                <w:szCs w:val="18"/>
                <w:lang w:val="hy-AM"/>
              </w:rPr>
            </w:pPr>
            <w:r w:rsidRPr="00B57DAB">
              <w:rPr>
                <w:rFonts w:ascii="Courier New" w:hAnsi="Courier New" w:cs="Courier New"/>
                <w:color w:val="000000"/>
                <w:sz w:val="18"/>
                <w:szCs w:val="18"/>
                <w:lang w:val="hy-AM"/>
              </w:rPr>
              <w:t> </w:t>
            </w:r>
          </w:p>
        </w:tc>
        <w:tc>
          <w:tcPr>
            <w:tcW w:w="1841" w:type="dxa"/>
            <w:tcBorders>
              <w:top w:val="single" w:sz="4" w:space="0" w:color="auto"/>
              <w:left w:val="single" w:sz="4" w:space="0" w:color="auto"/>
              <w:bottom w:val="single" w:sz="4" w:space="0" w:color="auto"/>
              <w:right w:val="single" w:sz="4" w:space="0" w:color="auto"/>
            </w:tcBorders>
            <w:hideMark/>
          </w:tcPr>
          <w:p w:rsidR="008B4775" w:rsidRPr="00B57DAB" w:rsidRDefault="008B4775" w:rsidP="00E02F0C">
            <w:pPr>
              <w:jc w:val="center"/>
              <w:rPr>
                <w:rFonts w:ascii="GHEA Grapalat" w:hAnsi="GHEA Grapalat" w:cs="Calibri"/>
                <w:b/>
                <w:bCs/>
                <w:sz w:val="18"/>
                <w:szCs w:val="18"/>
                <w:lang w:val="hy-AM"/>
              </w:rPr>
            </w:pPr>
            <w:r w:rsidRPr="00B57DAB">
              <w:rPr>
                <w:rFonts w:ascii="GHEA Grapalat" w:hAnsi="GHEA Grapalat" w:cs="Calibri"/>
                <w:b/>
                <w:bCs/>
                <w:sz w:val="18"/>
                <w:szCs w:val="18"/>
              </w:rPr>
              <w:t>2021թ. առաջին եռամսյակի փաստ</w:t>
            </w:r>
          </w:p>
        </w:tc>
        <w:tc>
          <w:tcPr>
            <w:tcW w:w="1986" w:type="dxa"/>
            <w:tcBorders>
              <w:top w:val="single" w:sz="4" w:space="0" w:color="auto"/>
              <w:left w:val="single" w:sz="4" w:space="0" w:color="auto"/>
              <w:bottom w:val="single" w:sz="4" w:space="0" w:color="auto"/>
              <w:right w:val="single" w:sz="4" w:space="0" w:color="auto"/>
            </w:tcBorders>
            <w:shd w:val="clear" w:color="auto" w:fill="FFFFFF"/>
            <w:hideMark/>
          </w:tcPr>
          <w:p w:rsidR="008B4775" w:rsidRPr="00B57DAB" w:rsidRDefault="008B4775" w:rsidP="00E02F0C">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 ճշտված պլան</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8B4775" w:rsidRPr="00B57DAB" w:rsidRDefault="008B4775" w:rsidP="00E02F0C">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 փաստ</w:t>
            </w:r>
          </w:p>
        </w:tc>
      </w:tr>
      <w:tr w:rsidR="008B4775" w:rsidRPr="00B57DAB" w:rsidTr="00F37FF4">
        <w:trPr>
          <w:trHeight w:val="288"/>
        </w:trPr>
        <w:tc>
          <w:tcPr>
            <w:tcW w:w="4395" w:type="dxa"/>
            <w:tcBorders>
              <w:top w:val="single" w:sz="4" w:space="0" w:color="auto"/>
              <w:left w:val="single" w:sz="4" w:space="0" w:color="auto"/>
              <w:bottom w:val="single" w:sz="4" w:space="0" w:color="auto"/>
              <w:right w:val="single" w:sz="4" w:space="0" w:color="auto"/>
            </w:tcBorders>
            <w:vAlign w:val="center"/>
            <w:hideMark/>
          </w:tcPr>
          <w:p w:rsidR="008B4775" w:rsidRPr="00B57DAB" w:rsidRDefault="008B4775" w:rsidP="00E02F0C">
            <w:pPr>
              <w:rPr>
                <w:rFonts w:ascii="GHEA Grapalat" w:hAnsi="GHEA Grapalat" w:cs="Calibri"/>
                <w:b/>
                <w:bCs/>
                <w:color w:val="000000"/>
                <w:sz w:val="18"/>
                <w:szCs w:val="18"/>
              </w:rPr>
            </w:pPr>
            <w:r w:rsidRPr="00B57DAB">
              <w:rPr>
                <w:rFonts w:ascii="GHEA Grapalat" w:hAnsi="GHEA Grapalat" w:cs="Calibri"/>
                <w:b/>
                <w:bCs/>
                <w:color w:val="000000"/>
                <w:sz w:val="18"/>
                <w:szCs w:val="18"/>
              </w:rPr>
              <w:t>Ընդամենը ծախսեր</w:t>
            </w:r>
          </w:p>
        </w:tc>
        <w:tc>
          <w:tcPr>
            <w:tcW w:w="1841" w:type="dxa"/>
            <w:tcBorders>
              <w:top w:val="single" w:sz="4" w:space="0" w:color="auto"/>
              <w:left w:val="single" w:sz="4" w:space="0" w:color="auto"/>
              <w:bottom w:val="single" w:sz="4" w:space="0" w:color="auto"/>
              <w:right w:val="single" w:sz="4" w:space="0" w:color="auto"/>
            </w:tcBorders>
            <w:vAlign w:val="bottom"/>
            <w:hideMark/>
          </w:tcPr>
          <w:p w:rsidR="008B4775" w:rsidRPr="00B57DAB" w:rsidRDefault="008B4775" w:rsidP="00E02F0C">
            <w:pPr>
              <w:jc w:val="right"/>
              <w:rPr>
                <w:rFonts w:ascii="GHEA Grapalat" w:hAnsi="GHEA Grapalat" w:cs="Calibri"/>
                <w:b/>
                <w:bCs/>
                <w:color w:val="000000"/>
                <w:sz w:val="18"/>
                <w:szCs w:val="18"/>
              </w:rPr>
            </w:pPr>
            <w:r w:rsidRPr="00B57DAB">
              <w:rPr>
                <w:rFonts w:ascii="GHEA Grapalat" w:hAnsi="GHEA Grapalat" w:cs="Calibri"/>
                <w:b/>
                <w:bCs/>
                <w:color w:val="000000"/>
                <w:sz w:val="18"/>
                <w:szCs w:val="18"/>
              </w:rPr>
              <w:t>404.9</w:t>
            </w:r>
          </w:p>
        </w:tc>
        <w:tc>
          <w:tcPr>
            <w:tcW w:w="1986" w:type="dxa"/>
            <w:tcBorders>
              <w:top w:val="single" w:sz="4" w:space="0" w:color="auto"/>
              <w:left w:val="single" w:sz="4" w:space="0" w:color="auto"/>
              <w:bottom w:val="single" w:sz="4" w:space="0" w:color="auto"/>
              <w:right w:val="single" w:sz="4" w:space="0" w:color="auto"/>
            </w:tcBorders>
            <w:vAlign w:val="bottom"/>
            <w:hideMark/>
          </w:tcPr>
          <w:p w:rsidR="008B4775" w:rsidRPr="00B57DAB" w:rsidRDefault="008B4775" w:rsidP="00E02F0C">
            <w:pPr>
              <w:jc w:val="right"/>
              <w:rPr>
                <w:rFonts w:ascii="GHEA Grapalat" w:hAnsi="GHEA Grapalat" w:cs="Calibri"/>
                <w:b/>
                <w:bCs/>
                <w:color w:val="000000"/>
                <w:sz w:val="18"/>
                <w:szCs w:val="18"/>
              </w:rPr>
            </w:pPr>
            <w:r w:rsidRPr="00B57DAB">
              <w:rPr>
                <w:rFonts w:ascii="GHEA Grapalat" w:hAnsi="GHEA Grapalat" w:cs="Calibri"/>
                <w:b/>
                <w:bCs/>
                <w:color w:val="000000"/>
                <w:sz w:val="18"/>
                <w:szCs w:val="18"/>
              </w:rPr>
              <w:t>486.4</w:t>
            </w:r>
          </w:p>
        </w:tc>
        <w:tc>
          <w:tcPr>
            <w:tcW w:w="1984" w:type="dxa"/>
            <w:tcBorders>
              <w:top w:val="single" w:sz="4" w:space="0" w:color="auto"/>
              <w:left w:val="single" w:sz="4" w:space="0" w:color="auto"/>
              <w:bottom w:val="single" w:sz="4" w:space="0" w:color="auto"/>
              <w:right w:val="single" w:sz="4" w:space="0" w:color="auto"/>
            </w:tcBorders>
            <w:vAlign w:val="bottom"/>
            <w:hideMark/>
          </w:tcPr>
          <w:p w:rsidR="008B4775" w:rsidRPr="00B57DAB" w:rsidRDefault="008B4775" w:rsidP="00E02F0C">
            <w:pPr>
              <w:jc w:val="right"/>
              <w:rPr>
                <w:rFonts w:ascii="GHEA Grapalat" w:hAnsi="GHEA Grapalat" w:cs="Calibri"/>
                <w:b/>
                <w:bCs/>
                <w:color w:val="000000"/>
                <w:sz w:val="18"/>
                <w:szCs w:val="18"/>
              </w:rPr>
            </w:pPr>
            <w:r w:rsidRPr="00B57DAB">
              <w:rPr>
                <w:rFonts w:ascii="GHEA Grapalat" w:hAnsi="GHEA Grapalat" w:cs="Calibri"/>
                <w:b/>
                <w:bCs/>
                <w:color w:val="000000"/>
                <w:sz w:val="18"/>
                <w:szCs w:val="18"/>
              </w:rPr>
              <w:t>396.8</w:t>
            </w:r>
          </w:p>
        </w:tc>
      </w:tr>
      <w:tr w:rsidR="008B4775" w:rsidRPr="00B57DAB" w:rsidTr="00F37FF4">
        <w:trPr>
          <w:trHeight w:val="263"/>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8B4775" w:rsidRPr="00B57DAB" w:rsidRDefault="008B4775" w:rsidP="008B4775">
            <w:pPr>
              <w:ind w:firstLineChars="100" w:firstLine="180"/>
              <w:rPr>
                <w:rFonts w:ascii="GHEA Grapalat" w:hAnsi="GHEA Grapalat" w:cs="Calibri"/>
                <w:color w:val="000000"/>
                <w:sz w:val="18"/>
                <w:szCs w:val="18"/>
              </w:rPr>
            </w:pPr>
            <w:r w:rsidRPr="00B57DAB">
              <w:rPr>
                <w:rFonts w:ascii="GHEA Grapalat" w:hAnsi="GHEA Grapalat" w:cs="Calibri"/>
                <w:color w:val="000000"/>
                <w:sz w:val="18"/>
                <w:szCs w:val="18"/>
              </w:rPr>
              <w:t>Ընթացիկ ծախսեր</w:t>
            </w:r>
          </w:p>
        </w:tc>
        <w:tc>
          <w:tcPr>
            <w:tcW w:w="1841" w:type="dxa"/>
            <w:tcBorders>
              <w:top w:val="single" w:sz="4" w:space="0" w:color="auto"/>
              <w:left w:val="single" w:sz="4" w:space="0" w:color="auto"/>
              <w:bottom w:val="single" w:sz="4" w:space="0" w:color="auto"/>
              <w:right w:val="single" w:sz="4" w:space="0" w:color="auto"/>
            </w:tcBorders>
            <w:vAlign w:val="bottom"/>
            <w:hideMark/>
          </w:tcPr>
          <w:p w:rsidR="008B4775" w:rsidRPr="00B57DAB" w:rsidRDefault="008B4775"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355.8</w:t>
            </w:r>
          </w:p>
        </w:tc>
        <w:tc>
          <w:tcPr>
            <w:tcW w:w="1986" w:type="dxa"/>
            <w:tcBorders>
              <w:top w:val="single" w:sz="4" w:space="0" w:color="auto"/>
              <w:left w:val="single" w:sz="4" w:space="0" w:color="auto"/>
              <w:bottom w:val="single" w:sz="4" w:space="0" w:color="auto"/>
              <w:right w:val="single" w:sz="4" w:space="0" w:color="auto"/>
            </w:tcBorders>
            <w:noWrap/>
            <w:vAlign w:val="bottom"/>
            <w:hideMark/>
          </w:tcPr>
          <w:p w:rsidR="008B4775" w:rsidRPr="00B57DAB" w:rsidRDefault="008B4775"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420.2</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8B4775" w:rsidRPr="00B57DAB" w:rsidRDefault="008B4775"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362.2</w:t>
            </w:r>
          </w:p>
        </w:tc>
      </w:tr>
      <w:tr w:rsidR="008B4775" w:rsidRPr="00B57DAB" w:rsidTr="00E02F0C">
        <w:trPr>
          <w:trHeight w:val="332"/>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8B4775" w:rsidRPr="00B57DAB" w:rsidRDefault="008B4775" w:rsidP="008B4775">
            <w:pPr>
              <w:ind w:firstLineChars="100" w:firstLine="180"/>
              <w:rPr>
                <w:rFonts w:ascii="GHEA Grapalat" w:hAnsi="GHEA Grapalat" w:cs="Calibri"/>
                <w:color w:val="000000"/>
                <w:sz w:val="18"/>
                <w:szCs w:val="18"/>
              </w:rPr>
            </w:pPr>
            <w:r w:rsidRPr="00B57DAB">
              <w:rPr>
                <w:rFonts w:ascii="GHEA Grapalat" w:hAnsi="GHEA Grapalat" w:cs="Calibri"/>
                <w:color w:val="000000"/>
                <w:sz w:val="18"/>
                <w:szCs w:val="18"/>
              </w:rPr>
              <w:t>Ոչ ֆինանսական ակտիվների հետ գործառնություններ</w:t>
            </w:r>
          </w:p>
        </w:tc>
        <w:tc>
          <w:tcPr>
            <w:tcW w:w="1841" w:type="dxa"/>
            <w:tcBorders>
              <w:top w:val="single" w:sz="4" w:space="0" w:color="auto"/>
              <w:left w:val="single" w:sz="4" w:space="0" w:color="auto"/>
              <w:bottom w:val="single" w:sz="4" w:space="0" w:color="auto"/>
              <w:right w:val="single" w:sz="4" w:space="0" w:color="auto"/>
            </w:tcBorders>
            <w:vAlign w:val="bottom"/>
            <w:hideMark/>
          </w:tcPr>
          <w:p w:rsidR="008B4775" w:rsidRPr="00B57DAB" w:rsidRDefault="008B4775"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49.1</w:t>
            </w:r>
          </w:p>
        </w:tc>
        <w:tc>
          <w:tcPr>
            <w:tcW w:w="1986" w:type="dxa"/>
            <w:tcBorders>
              <w:top w:val="single" w:sz="4" w:space="0" w:color="auto"/>
              <w:left w:val="single" w:sz="4" w:space="0" w:color="auto"/>
              <w:bottom w:val="single" w:sz="4" w:space="0" w:color="auto"/>
              <w:right w:val="single" w:sz="4" w:space="0" w:color="auto"/>
            </w:tcBorders>
            <w:noWrap/>
            <w:vAlign w:val="bottom"/>
          </w:tcPr>
          <w:p w:rsidR="008B4775" w:rsidRPr="00B57DAB" w:rsidRDefault="008B4775" w:rsidP="00E02F0C">
            <w:pPr>
              <w:jc w:val="right"/>
              <w:rPr>
                <w:rFonts w:ascii="GHEA Grapalat" w:hAnsi="GHEA Grapalat" w:cs="Calibri"/>
                <w:color w:val="000000"/>
                <w:sz w:val="18"/>
                <w:szCs w:val="18"/>
              </w:rPr>
            </w:pPr>
          </w:p>
          <w:p w:rsidR="008B4775" w:rsidRPr="00B57DAB" w:rsidRDefault="008B4775"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66.2</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8B4775" w:rsidRPr="00B57DAB" w:rsidRDefault="008B4775"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34.6</w:t>
            </w:r>
          </w:p>
        </w:tc>
      </w:tr>
      <w:tr w:rsidR="008B4775" w:rsidRPr="00B57DAB" w:rsidTr="00E02F0C">
        <w:trPr>
          <w:trHeight w:val="20"/>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8B4775" w:rsidRPr="00B57DAB" w:rsidRDefault="008B4775" w:rsidP="008B4775">
            <w:pPr>
              <w:ind w:firstLineChars="100" w:firstLine="180"/>
              <w:jc w:val="right"/>
              <w:rPr>
                <w:rFonts w:ascii="GHEA Grapalat" w:hAnsi="GHEA Grapalat" w:cs="Calibri"/>
                <w:color w:val="000000"/>
                <w:sz w:val="18"/>
                <w:szCs w:val="18"/>
              </w:rPr>
            </w:pPr>
            <w:r w:rsidRPr="00B57DAB">
              <w:rPr>
                <w:rFonts w:ascii="Courier New" w:hAnsi="Courier New" w:cs="Courier New"/>
                <w:color w:val="000000"/>
                <w:sz w:val="18"/>
                <w:szCs w:val="18"/>
              </w:rPr>
              <w:t> </w:t>
            </w:r>
          </w:p>
        </w:tc>
        <w:tc>
          <w:tcPr>
            <w:tcW w:w="1841" w:type="dxa"/>
            <w:tcBorders>
              <w:top w:val="single" w:sz="4" w:space="0" w:color="auto"/>
              <w:left w:val="single" w:sz="4" w:space="0" w:color="auto"/>
              <w:bottom w:val="single" w:sz="4" w:space="0" w:color="auto"/>
              <w:right w:val="single" w:sz="4" w:space="0" w:color="auto"/>
            </w:tcBorders>
            <w:vAlign w:val="bottom"/>
            <w:hideMark/>
          </w:tcPr>
          <w:p w:rsidR="008B4775" w:rsidRPr="00B57DAB" w:rsidRDefault="008B4775" w:rsidP="00E02F0C">
            <w:pPr>
              <w:rPr>
                <w:rFonts w:ascii="Calibri" w:eastAsia="Calibri" w:hAnsi="Calibri"/>
                <w:sz w:val="18"/>
                <w:szCs w:val="18"/>
              </w:rPr>
            </w:pPr>
          </w:p>
        </w:tc>
        <w:tc>
          <w:tcPr>
            <w:tcW w:w="1986" w:type="dxa"/>
            <w:tcBorders>
              <w:top w:val="single" w:sz="4" w:space="0" w:color="auto"/>
              <w:left w:val="single" w:sz="4" w:space="0" w:color="auto"/>
              <w:bottom w:val="single" w:sz="4" w:space="0" w:color="auto"/>
              <w:right w:val="single" w:sz="4" w:space="0" w:color="auto"/>
            </w:tcBorders>
            <w:noWrap/>
            <w:vAlign w:val="bottom"/>
            <w:hideMark/>
          </w:tcPr>
          <w:p w:rsidR="008B4775" w:rsidRPr="00B57DAB" w:rsidRDefault="008B4775" w:rsidP="00E02F0C">
            <w:pPr>
              <w:rPr>
                <w:rFonts w:ascii="Calibri" w:eastAsia="Calibri" w:hAnsi="Calibri"/>
                <w:sz w:val="18"/>
                <w:szCs w:val="18"/>
              </w:rPr>
            </w:pP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8B4775" w:rsidRPr="00B57DAB" w:rsidRDefault="008B4775" w:rsidP="00E02F0C">
            <w:pPr>
              <w:rPr>
                <w:rFonts w:ascii="Calibri" w:eastAsia="Calibri" w:hAnsi="Calibri"/>
                <w:sz w:val="18"/>
                <w:szCs w:val="18"/>
              </w:rPr>
            </w:pPr>
          </w:p>
        </w:tc>
      </w:tr>
      <w:tr w:rsidR="008B4775" w:rsidRPr="00B57DAB" w:rsidTr="00F37FF4">
        <w:trPr>
          <w:trHeight w:val="264"/>
        </w:trPr>
        <w:tc>
          <w:tcPr>
            <w:tcW w:w="4395" w:type="dxa"/>
            <w:tcBorders>
              <w:top w:val="single" w:sz="4" w:space="0" w:color="auto"/>
              <w:left w:val="single" w:sz="4" w:space="0" w:color="auto"/>
              <w:bottom w:val="single" w:sz="4" w:space="0" w:color="auto"/>
              <w:right w:val="single" w:sz="4" w:space="0" w:color="auto"/>
            </w:tcBorders>
            <w:vAlign w:val="center"/>
            <w:hideMark/>
          </w:tcPr>
          <w:p w:rsidR="008B4775" w:rsidRPr="00B57DAB" w:rsidRDefault="008B4775" w:rsidP="00E02F0C">
            <w:pPr>
              <w:rPr>
                <w:rFonts w:ascii="GHEA Grapalat" w:hAnsi="GHEA Grapalat" w:cs="Calibri"/>
                <w:b/>
                <w:bCs/>
                <w:color w:val="000000"/>
                <w:sz w:val="18"/>
                <w:szCs w:val="18"/>
              </w:rPr>
            </w:pPr>
            <w:r w:rsidRPr="00B57DAB">
              <w:rPr>
                <w:rFonts w:ascii="GHEA Grapalat" w:hAnsi="GHEA Grapalat" w:cs="Calibri"/>
                <w:b/>
                <w:bCs/>
                <w:color w:val="000000"/>
                <w:sz w:val="18"/>
                <w:szCs w:val="18"/>
              </w:rPr>
              <w:t>Կշիռն ընդամենը ծախսերի մեջ</w:t>
            </w:r>
          </w:p>
        </w:tc>
        <w:tc>
          <w:tcPr>
            <w:tcW w:w="1841" w:type="dxa"/>
            <w:tcBorders>
              <w:top w:val="single" w:sz="4" w:space="0" w:color="auto"/>
              <w:left w:val="single" w:sz="4" w:space="0" w:color="auto"/>
              <w:bottom w:val="single" w:sz="4" w:space="0" w:color="auto"/>
              <w:right w:val="single" w:sz="4" w:space="0" w:color="auto"/>
            </w:tcBorders>
            <w:vAlign w:val="bottom"/>
            <w:hideMark/>
          </w:tcPr>
          <w:p w:rsidR="008B4775" w:rsidRPr="00B57DAB" w:rsidRDefault="008B4775" w:rsidP="00E02F0C">
            <w:pPr>
              <w:rPr>
                <w:rFonts w:ascii="Calibri" w:eastAsia="Calibri" w:hAnsi="Calibri"/>
                <w:sz w:val="18"/>
                <w:szCs w:val="18"/>
              </w:rPr>
            </w:pPr>
          </w:p>
        </w:tc>
        <w:tc>
          <w:tcPr>
            <w:tcW w:w="1986" w:type="dxa"/>
            <w:tcBorders>
              <w:top w:val="single" w:sz="4" w:space="0" w:color="auto"/>
              <w:left w:val="single" w:sz="4" w:space="0" w:color="auto"/>
              <w:bottom w:val="single" w:sz="4" w:space="0" w:color="auto"/>
              <w:right w:val="single" w:sz="4" w:space="0" w:color="auto"/>
            </w:tcBorders>
            <w:noWrap/>
            <w:vAlign w:val="bottom"/>
            <w:hideMark/>
          </w:tcPr>
          <w:p w:rsidR="008B4775" w:rsidRPr="00B57DAB" w:rsidRDefault="008B4775" w:rsidP="00E02F0C">
            <w:pPr>
              <w:rPr>
                <w:rFonts w:ascii="Calibri" w:eastAsia="Calibri" w:hAnsi="Calibri"/>
                <w:sz w:val="18"/>
                <w:szCs w:val="18"/>
              </w:rPr>
            </w:pP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8B4775" w:rsidRPr="00B57DAB" w:rsidRDefault="008B4775" w:rsidP="00E02F0C">
            <w:pPr>
              <w:rPr>
                <w:rFonts w:ascii="Calibri" w:eastAsia="Calibri" w:hAnsi="Calibri"/>
                <w:sz w:val="18"/>
                <w:szCs w:val="18"/>
              </w:rPr>
            </w:pPr>
          </w:p>
        </w:tc>
      </w:tr>
      <w:tr w:rsidR="008B4775" w:rsidRPr="00B57DAB" w:rsidTr="00F37FF4">
        <w:trPr>
          <w:trHeight w:val="281"/>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8B4775" w:rsidRPr="00B57DAB" w:rsidRDefault="008B4775" w:rsidP="008B4775">
            <w:pPr>
              <w:ind w:firstLineChars="100" w:firstLine="180"/>
              <w:rPr>
                <w:rFonts w:ascii="GHEA Grapalat" w:hAnsi="GHEA Grapalat" w:cs="Calibri"/>
                <w:color w:val="000000"/>
                <w:sz w:val="18"/>
                <w:szCs w:val="18"/>
              </w:rPr>
            </w:pPr>
            <w:r w:rsidRPr="00B57DAB">
              <w:rPr>
                <w:rFonts w:ascii="GHEA Grapalat" w:hAnsi="GHEA Grapalat" w:cs="Calibri"/>
                <w:color w:val="000000"/>
                <w:sz w:val="18"/>
                <w:szCs w:val="18"/>
              </w:rPr>
              <w:t>Ընթացիկ ծախսեր</w:t>
            </w:r>
          </w:p>
        </w:tc>
        <w:tc>
          <w:tcPr>
            <w:tcW w:w="1841" w:type="dxa"/>
            <w:tcBorders>
              <w:top w:val="single" w:sz="4" w:space="0" w:color="auto"/>
              <w:left w:val="single" w:sz="4" w:space="0" w:color="auto"/>
              <w:bottom w:val="single" w:sz="4" w:space="0" w:color="auto"/>
              <w:right w:val="single" w:sz="4" w:space="0" w:color="auto"/>
            </w:tcBorders>
            <w:vAlign w:val="center"/>
            <w:hideMark/>
          </w:tcPr>
          <w:p w:rsidR="008B4775" w:rsidRPr="00B57DAB" w:rsidRDefault="008B4775"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87.9</w:t>
            </w:r>
          </w:p>
        </w:tc>
        <w:tc>
          <w:tcPr>
            <w:tcW w:w="1986" w:type="dxa"/>
            <w:tcBorders>
              <w:top w:val="single" w:sz="4" w:space="0" w:color="auto"/>
              <w:left w:val="single" w:sz="4" w:space="0" w:color="auto"/>
              <w:bottom w:val="single" w:sz="4" w:space="0" w:color="auto"/>
              <w:right w:val="single" w:sz="4" w:space="0" w:color="auto"/>
            </w:tcBorders>
            <w:vAlign w:val="center"/>
            <w:hideMark/>
          </w:tcPr>
          <w:p w:rsidR="008B4775" w:rsidRPr="00B57DAB" w:rsidRDefault="008B4775"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86.4</w:t>
            </w:r>
          </w:p>
        </w:tc>
        <w:tc>
          <w:tcPr>
            <w:tcW w:w="1984" w:type="dxa"/>
            <w:tcBorders>
              <w:top w:val="single" w:sz="4" w:space="0" w:color="auto"/>
              <w:left w:val="single" w:sz="4" w:space="0" w:color="auto"/>
              <w:bottom w:val="single" w:sz="4" w:space="0" w:color="auto"/>
              <w:right w:val="single" w:sz="4" w:space="0" w:color="auto"/>
            </w:tcBorders>
            <w:vAlign w:val="center"/>
            <w:hideMark/>
          </w:tcPr>
          <w:p w:rsidR="008B4775" w:rsidRPr="00B57DAB" w:rsidRDefault="008B4775"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91.3</w:t>
            </w:r>
          </w:p>
        </w:tc>
      </w:tr>
      <w:tr w:rsidR="008B4775" w:rsidRPr="00B57DAB" w:rsidTr="00E02F0C">
        <w:trPr>
          <w:trHeight w:val="332"/>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8B4775" w:rsidRPr="00B57DAB" w:rsidRDefault="008B4775" w:rsidP="008B4775">
            <w:pPr>
              <w:ind w:firstLineChars="100" w:firstLine="180"/>
              <w:rPr>
                <w:rFonts w:ascii="GHEA Grapalat" w:hAnsi="GHEA Grapalat" w:cs="Calibri"/>
                <w:color w:val="000000"/>
                <w:sz w:val="18"/>
                <w:szCs w:val="18"/>
              </w:rPr>
            </w:pPr>
            <w:r w:rsidRPr="00B57DAB">
              <w:rPr>
                <w:rFonts w:ascii="GHEA Grapalat" w:hAnsi="GHEA Grapalat" w:cs="Calibri"/>
                <w:color w:val="000000"/>
                <w:sz w:val="18"/>
                <w:szCs w:val="18"/>
              </w:rPr>
              <w:t>Ոչ ֆինանսական ակտիվների հետ գործառնություններ</w:t>
            </w:r>
          </w:p>
        </w:tc>
        <w:tc>
          <w:tcPr>
            <w:tcW w:w="1841" w:type="dxa"/>
            <w:tcBorders>
              <w:top w:val="single" w:sz="4" w:space="0" w:color="auto"/>
              <w:left w:val="single" w:sz="4" w:space="0" w:color="auto"/>
              <w:bottom w:val="single" w:sz="4" w:space="0" w:color="auto"/>
              <w:right w:val="single" w:sz="4" w:space="0" w:color="auto"/>
            </w:tcBorders>
            <w:vAlign w:val="center"/>
            <w:hideMark/>
          </w:tcPr>
          <w:p w:rsidR="008B4775" w:rsidRPr="00B57DAB" w:rsidRDefault="008B4775"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12.1</w:t>
            </w:r>
          </w:p>
        </w:tc>
        <w:tc>
          <w:tcPr>
            <w:tcW w:w="1986" w:type="dxa"/>
            <w:tcBorders>
              <w:top w:val="single" w:sz="4" w:space="0" w:color="auto"/>
              <w:left w:val="single" w:sz="4" w:space="0" w:color="auto"/>
              <w:bottom w:val="single" w:sz="4" w:space="0" w:color="auto"/>
              <w:right w:val="single" w:sz="4" w:space="0" w:color="auto"/>
            </w:tcBorders>
            <w:vAlign w:val="center"/>
            <w:hideMark/>
          </w:tcPr>
          <w:p w:rsidR="008B4775" w:rsidRPr="00B57DAB" w:rsidRDefault="008B4775"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13.6</w:t>
            </w:r>
          </w:p>
        </w:tc>
        <w:tc>
          <w:tcPr>
            <w:tcW w:w="1984" w:type="dxa"/>
            <w:tcBorders>
              <w:top w:val="single" w:sz="4" w:space="0" w:color="auto"/>
              <w:left w:val="single" w:sz="4" w:space="0" w:color="auto"/>
              <w:bottom w:val="single" w:sz="4" w:space="0" w:color="auto"/>
              <w:right w:val="single" w:sz="4" w:space="0" w:color="auto"/>
            </w:tcBorders>
            <w:vAlign w:val="center"/>
            <w:hideMark/>
          </w:tcPr>
          <w:p w:rsidR="008B4775" w:rsidRPr="00B57DAB" w:rsidRDefault="008B4775"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8.7</w:t>
            </w:r>
          </w:p>
        </w:tc>
      </w:tr>
    </w:tbl>
    <w:p w:rsidR="008B4775" w:rsidRPr="00B57DAB" w:rsidRDefault="008B4775" w:rsidP="008B4775">
      <w:pPr>
        <w:spacing w:line="360" w:lineRule="auto"/>
        <w:ind w:firstLine="567"/>
        <w:jc w:val="both"/>
        <w:rPr>
          <w:rFonts w:ascii="GHEA Grapalat" w:hAnsi="GHEA Grapalat"/>
          <w:sz w:val="22"/>
          <w:lang w:val="hy-AM"/>
        </w:rPr>
      </w:pPr>
    </w:p>
    <w:p w:rsidR="008B4775" w:rsidRPr="00B57DAB" w:rsidRDefault="008B4775" w:rsidP="008B4775">
      <w:pPr>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lang w:val="hy-AM"/>
        </w:rPr>
        <w:t>Նախորդ</w:t>
      </w:r>
      <w:r w:rsidRPr="00B57DAB">
        <w:rPr>
          <w:rFonts w:ascii="GHEA Grapalat" w:hAnsi="GHEA Grapalat"/>
          <w:sz w:val="22"/>
          <w:lang w:val="hy-AM"/>
        </w:rPr>
        <w:t xml:space="preserve"> տարվա նույն ժամանակահատվածի համեմատ </w:t>
      </w:r>
      <w:r w:rsidRPr="00B57DAB">
        <w:rPr>
          <w:rFonts w:ascii="GHEA Grapalat" w:hAnsi="GHEA Grapalat" w:cs="GHEA Grapalat"/>
          <w:sz w:val="22"/>
          <w:szCs w:val="22"/>
          <w:lang w:val="hy-AM"/>
        </w:rPr>
        <w:t>պետական բյուջեի ծախսեր</w:t>
      </w:r>
      <w:r w:rsidRPr="00B57DAB">
        <w:rPr>
          <w:rFonts w:ascii="GHEA Grapalat" w:hAnsi="GHEA Grapalat" w:cs="GHEA Grapalat"/>
          <w:sz w:val="22"/>
          <w:szCs w:val="22"/>
        </w:rPr>
        <w:t xml:space="preserve">ը </w:t>
      </w:r>
      <w:r w:rsidRPr="00B57DAB">
        <w:rPr>
          <w:rFonts w:ascii="GHEA Grapalat" w:hAnsi="GHEA Grapalat"/>
          <w:sz w:val="22"/>
        </w:rPr>
        <w:t>նվազել</w:t>
      </w:r>
      <w:r w:rsidRPr="00B57DAB">
        <w:rPr>
          <w:rFonts w:ascii="GHEA Grapalat" w:hAnsi="GHEA Grapalat"/>
          <w:sz w:val="22"/>
          <w:lang w:val="hy-AM"/>
        </w:rPr>
        <w:t xml:space="preserve"> են </w:t>
      </w:r>
      <w:r w:rsidRPr="00B57DAB">
        <w:rPr>
          <w:rFonts w:ascii="GHEA Grapalat" w:hAnsi="GHEA Grapalat"/>
          <w:sz w:val="22"/>
        </w:rPr>
        <w:t>2</w:t>
      </w:r>
      <w:r w:rsidRPr="00B57DAB">
        <w:rPr>
          <w:rFonts w:ascii="GHEA Grapalat" w:hAnsi="GHEA Grapalat"/>
          <w:sz w:val="22"/>
          <w:lang w:val="hy-AM"/>
        </w:rPr>
        <w:t xml:space="preserve">%-ով կամ </w:t>
      </w:r>
      <w:r w:rsidRPr="00B57DAB">
        <w:rPr>
          <w:rFonts w:ascii="GHEA Grapalat" w:hAnsi="GHEA Grapalat"/>
          <w:sz w:val="22"/>
        </w:rPr>
        <w:t>8.1</w:t>
      </w:r>
      <w:r w:rsidRPr="00B57DAB">
        <w:rPr>
          <w:rFonts w:ascii="Courier New" w:hAnsi="Courier New"/>
          <w:sz w:val="22"/>
          <w:lang w:val="hy-AM"/>
        </w:rPr>
        <w:t> </w:t>
      </w:r>
      <w:r w:rsidRPr="00B57DAB">
        <w:rPr>
          <w:rFonts w:ascii="GHEA Grapalat" w:hAnsi="GHEA Grapalat"/>
          <w:sz w:val="22"/>
          <w:lang w:val="hy-AM"/>
        </w:rPr>
        <w:t>մլրդ դրամով</w:t>
      </w:r>
      <w:r w:rsidRPr="00B57DAB">
        <w:rPr>
          <w:rFonts w:ascii="GHEA Grapalat" w:hAnsi="GHEA Grapalat"/>
          <w:sz w:val="22"/>
        </w:rPr>
        <w:t xml:space="preserve">՝ </w:t>
      </w:r>
      <w:r w:rsidRPr="00B57DAB">
        <w:rPr>
          <w:rFonts w:ascii="GHEA Grapalat" w:hAnsi="GHEA Grapalat"/>
          <w:sz w:val="22"/>
          <w:lang w:val="hy-AM"/>
        </w:rPr>
        <w:t xml:space="preserve">պայմանավորված կապիտալ ծախսերի </w:t>
      </w:r>
      <w:r w:rsidR="00E02F0C" w:rsidRPr="00B57DAB">
        <w:rPr>
          <w:rFonts w:ascii="GHEA Grapalat" w:hAnsi="GHEA Grapalat"/>
          <w:sz w:val="22"/>
        </w:rPr>
        <w:t>նվազ</w:t>
      </w:r>
      <w:r w:rsidRPr="00B57DAB">
        <w:rPr>
          <w:rFonts w:ascii="GHEA Grapalat" w:hAnsi="GHEA Grapalat"/>
          <w:sz w:val="22"/>
          <w:lang w:val="hy-AM"/>
        </w:rPr>
        <w:t>մամբ:</w:t>
      </w:r>
      <w:r w:rsidRPr="00B57DAB">
        <w:rPr>
          <w:rFonts w:ascii="GHEA Grapalat" w:hAnsi="GHEA Grapalat" w:cs="GHEA Grapalat"/>
          <w:sz w:val="22"/>
          <w:szCs w:val="22"/>
        </w:rPr>
        <w:t xml:space="preserve"> Արդյունքում պետական բյուջեի ծախսերում </w:t>
      </w:r>
      <w:r w:rsidR="00E02F0C" w:rsidRPr="00B57DAB">
        <w:rPr>
          <w:rFonts w:ascii="GHEA Grapalat" w:hAnsi="GHEA Grapalat" w:cs="GHEA Grapalat"/>
          <w:sz w:val="22"/>
          <w:szCs w:val="22"/>
        </w:rPr>
        <w:t>3.4</w:t>
      </w:r>
      <w:r w:rsidRPr="00B57DAB">
        <w:rPr>
          <w:rFonts w:ascii="GHEA Grapalat" w:hAnsi="GHEA Grapalat" w:cs="GHEA Grapalat"/>
          <w:sz w:val="22"/>
          <w:szCs w:val="22"/>
        </w:rPr>
        <w:t xml:space="preserve"> տոկոսային կետով ավելացել է ընթացիկ ծախսերի տեսակարար </w:t>
      </w:r>
      <w:r w:rsidRPr="00B57DAB">
        <w:rPr>
          <w:rFonts w:ascii="GHEA Grapalat" w:hAnsi="GHEA Grapalat" w:cs="GHEA Grapalat"/>
          <w:sz w:val="22"/>
          <w:szCs w:val="22"/>
        </w:rPr>
        <w:lastRenderedPageBreak/>
        <w:t>կշիռը և նույնքան նվազել է ոչ ֆինանսական ակտիվների հետ գործառնությունների տեսակարար կշիռը:</w:t>
      </w:r>
    </w:p>
    <w:p w:rsidR="008B4775" w:rsidRPr="00B57DAB" w:rsidRDefault="008B4775" w:rsidP="008B4775">
      <w:pPr>
        <w:spacing w:line="360" w:lineRule="auto"/>
        <w:ind w:firstLine="567"/>
        <w:jc w:val="both"/>
        <w:rPr>
          <w:rFonts w:ascii="GHEA Grapalat" w:hAnsi="GHEA Grapalat" w:cs="GHEA Grapalat"/>
          <w:sz w:val="22"/>
          <w:szCs w:val="22"/>
        </w:rPr>
      </w:pPr>
    </w:p>
    <w:p w:rsidR="008B4775" w:rsidRPr="00B57DAB" w:rsidRDefault="008B4775" w:rsidP="00F533F8">
      <w:pPr>
        <w:pStyle w:val="a8"/>
        <w:numPr>
          <w:ilvl w:val="0"/>
          <w:numId w:val="32"/>
        </w:numPr>
        <w:ind w:left="0" w:firstLine="0"/>
        <w:jc w:val="both"/>
        <w:rPr>
          <w:sz w:val="22"/>
          <w:szCs w:val="22"/>
        </w:rPr>
      </w:pPr>
      <w:r w:rsidRPr="00B57DAB">
        <w:rPr>
          <w:sz w:val="22"/>
          <w:szCs w:val="22"/>
        </w:rPr>
        <w:t>ՀՀ պետական բյուջեի ծախսերի կառուցվածքը 2021-2022թթ. առաջին եռամսյակ</w:t>
      </w:r>
      <w:r w:rsidR="00E02F0C" w:rsidRPr="00B57DAB">
        <w:rPr>
          <w:sz w:val="22"/>
          <w:szCs w:val="22"/>
        </w:rPr>
        <w:t>ներում</w:t>
      </w:r>
    </w:p>
    <w:p w:rsidR="008B4775" w:rsidRPr="00B57DAB" w:rsidRDefault="008B4775" w:rsidP="008B4775">
      <w:pPr>
        <w:pBdr>
          <w:top w:val="single" w:sz="4" w:space="1" w:color="auto"/>
          <w:left w:val="single" w:sz="4" w:space="4" w:color="auto"/>
          <w:bottom w:val="single" w:sz="4" w:space="1" w:color="auto"/>
          <w:right w:val="single" w:sz="4" w:space="4" w:color="auto"/>
        </w:pBdr>
        <w:rPr>
          <w:rFonts w:ascii="GHEA Grapalat" w:hAnsi="GHEA Grapalat"/>
          <w:bCs/>
          <w:i/>
          <w:noProof/>
          <w:sz w:val="22"/>
          <w:szCs w:val="22"/>
          <w:lang w:val="de-AT"/>
        </w:rPr>
      </w:pPr>
      <w:r w:rsidRPr="00B57DAB">
        <w:rPr>
          <w:rFonts w:ascii="GHEA Grapalat" w:hAnsi="GHEA Grapalat" w:cs="Calibri"/>
          <w:noProof/>
          <w:sz w:val="22"/>
          <w:szCs w:val="22"/>
        </w:rPr>
        <w:drawing>
          <wp:inline distT="0" distB="0" distL="0" distR="0" wp14:anchorId="5D6792A3" wp14:editId="6971685B">
            <wp:extent cx="3075709" cy="1787237"/>
            <wp:effectExtent l="0" t="0" r="0" b="3810"/>
            <wp:docPr id="4"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B57DAB">
        <w:rPr>
          <w:rFonts w:ascii="GHEA Grapalat" w:hAnsi="GHEA Grapalat"/>
          <w:lang w:val="hy-AM"/>
        </w:rPr>
        <w:tab/>
        <w:t xml:space="preserve"> </w:t>
      </w:r>
      <w:r w:rsidRPr="00B57DAB">
        <w:rPr>
          <w:rFonts w:ascii="GHEA Grapalat" w:hAnsi="GHEA Grapalat" w:cs="Calibri"/>
          <w:noProof/>
          <w:sz w:val="22"/>
          <w:szCs w:val="22"/>
        </w:rPr>
        <w:drawing>
          <wp:inline distT="0" distB="0" distL="0" distR="0" wp14:anchorId="3EBD4F8A" wp14:editId="7FA12ADC">
            <wp:extent cx="3100647" cy="1787237"/>
            <wp:effectExtent l="0" t="0" r="0" b="0"/>
            <wp:docPr id="5"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B4775" w:rsidRPr="00B57DAB" w:rsidRDefault="008B4775" w:rsidP="008B4775">
      <w:pPr>
        <w:spacing w:line="360" w:lineRule="auto"/>
        <w:ind w:firstLine="567"/>
        <w:jc w:val="both"/>
        <w:rPr>
          <w:rFonts w:ascii="GHEA Grapalat" w:hAnsi="GHEA Grapalat" w:cs="GHEA Grapalat"/>
          <w:sz w:val="22"/>
          <w:szCs w:val="22"/>
        </w:rPr>
      </w:pPr>
    </w:p>
    <w:p w:rsidR="00E02F0C" w:rsidRPr="00B57DAB" w:rsidRDefault="00E02F0C" w:rsidP="00E02F0C">
      <w:pPr>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 xml:space="preserve">Ընթացիկ ծախսերի բաղադրիչների վերաբերյալ տվյալները ներկայացված են Աղյուսակ </w:t>
      </w:r>
      <w:r w:rsidR="00B57DAB" w:rsidRPr="00B57DAB">
        <w:rPr>
          <w:rFonts w:ascii="GHEA Grapalat" w:hAnsi="GHEA Grapalat" w:cs="GHEA Grapalat"/>
          <w:sz w:val="22"/>
          <w:szCs w:val="22"/>
        </w:rPr>
        <w:t>11</w:t>
      </w:r>
      <w:r w:rsidRPr="00B57DAB">
        <w:rPr>
          <w:rFonts w:ascii="GHEA Grapalat" w:hAnsi="GHEA Grapalat" w:cs="GHEA Grapalat"/>
          <w:sz w:val="22"/>
          <w:szCs w:val="22"/>
        </w:rPr>
        <w:t>-ում:</w:t>
      </w:r>
    </w:p>
    <w:p w:rsidR="00E02F0C" w:rsidRPr="00B57DAB" w:rsidRDefault="00E02F0C" w:rsidP="00F70E2E">
      <w:pPr>
        <w:ind w:firstLine="567"/>
        <w:jc w:val="both"/>
        <w:rPr>
          <w:rFonts w:ascii="GHEA Grapalat" w:hAnsi="GHEA Grapalat" w:cs="GHEA Grapalat"/>
          <w:sz w:val="22"/>
          <w:szCs w:val="22"/>
        </w:rPr>
      </w:pPr>
    </w:p>
    <w:p w:rsidR="00E02F0C" w:rsidRPr="00B57DAB" w:rsidRDefault="00E02F0C" w:rsidP="00770F24">
      <w:pPr>
        <w:pStyle w:val="Caption"/>
        <w:keepNext/>
        <w:numPr>
          <w:ilvl w:val="0"/>
          <w:numId w:val="8"/>
        </w:numPr>
        <w:tabs>
          <w:tab w:val="left" w:pos="1134"/>
        </w:tabs>
        <w:ind w:left="0" w:firstLine="0"/>
        <w:jc w:val="left"/>
        <w:rPr>
          <w:rFonts w:ascii="GHEA Grapalat" w:hAnsi="GHEA Grapalat"/>
          <w:i/>
          <w:sz w:val="18"/>
          <w:szCs w:val="18"/>
          <w:lang w:val="hy-AM"/>
        </w:rPr>
      </w:pPr>
      <w:r w:rsidRPr="00B57DAB">
        <w:rPr>
          <w:rFonts w:ascii="GHEA Grapalat" w:hAnsi="GHEA Grapalat"/>
          <w:i/>
          <w:sz w:val="18"/>
          <w:szCs w:val="18"/>
          <w:lang w:val="hy-AM"/>
        </w:rPr>
        <w:t>ՀՀ պետական բյուջեի ընթացիկ ծախսերը (մլրդ դրամ)</w:t>
      </w:r>
    </w:p>
    <w:tbl>
      <w:tblPr>
        <w:tblStyle w:val="TableGrid"/>
        <w:tblW w:w="10314" w:type="dxa"/>
        <w:tblLayout w:type="fixed"/>
        <w:tblLook w:val="04A0" w:firstRow="1" w:lastRow="0" w:firstColumn="1" w:lastColumn="0" w:noHBand="0" w:noVBand="1"/>
      </w:tblPr>
      <w:tblGrid>
        <w:gridCol w:w="4219"/>
        <w:gridCol w:w="1134"/>
        <w:gridCol w:w="1134"/>
        <w:gridCol w:w="1134"/>
        <w:gridCol w:w="1380"/>
        <w:gridCol w:w="1313"/>
      </w:tblGrid>
      <w:tr w:rsidR="00E02F0C" w:rsidRPr="00B57DAB" w:rsidTr="00E02F0C">
        <w:tc>
          <w:tcPr>
            <w:tcW w:w="4219" w:type="dxa"/>
            <w:vAlign w:val="bottom"/>
          </w:tcPr>
          <w:p w:rsidR="00E02F0C" w:rsidRPr="00B57DAB" w:rsidRDefault="00E02F0C" w:rsidP="00E02F0C">
            <w:pPr>
              <w:rPr>
                <w:rFonts w:ascii="GHEA Grapalat" w:hAnsi="GHEA Grapalat" w:cs="Calibri"/>
                <w:sz w:val="18"/>
                <w:szCs w:val="18"/>
                <w:lang w:val="hy-AM"/>
              </w:rPr>
            </w:pPr>
            <w:r w:rsidRPr="00B57DAB">
              <w:rPr>
                <w:rFonts w:ascii="Courier New" w:hAnsi="Courier New" w:cs="Courier New"/>
                <w:sz w:val="18"/>
                <w:szCs w:val="18"/>
                <w:lang w:val="hy-AM"/>
              </w:rPr>
              <w:t> </w:t>
            </w:r>
          </w:p>
        </w:tc>
        <w:tc>
          <w:tcPr>
            <w:tcW w:w="1134" w:type="dxa"/>
          </w:tcPr>
          <w:p w:rsidR="00E02F0C" w:rsidRPr="00B57DAB" w:rsidRDefault="00E02F0C" w:rsidP="00E02F0C">
            <w:pPr>
              <w:jc w:val="center"/>
              <w:rPr>
                <w:rFonts w:ascii="GHEA Grapalat" w:hAnsi="GHEA Grapalat" w:cs="Calibri"/>
                <w:b/>
                <w:bCs/>
                <w:sz w:val="18"/>
                <w:szCs w:val="18"/>
                <w:lang w:val="hy-AM"/>
              </w:rPr>
            </w:pPr>
            <w:r w:rsidRPr="00B57DAB">
              <w:rPr>
                <w:rFonts w:ascii="GHEA Grapalat" w:hAnsi="GHEA Grapalat" w:cs="Calibri"/>
                <w:b/>
                <w:bCs/>
                <w:sz w:val="18"/>
                <w:szCs w:val="18"/>
              </w:rPr>
              <w:t>2021թ. առաջին եռամս-յակի փաստ</w:t>
            </w:r>
          </w:p>
        </w:tc>
        <w:tc>
          <w:tcPr>
            <w:tcW w:w="1134" w:type="dxa"/>
          </w:tcPr>
          <w:p w:rsidR="00E02F0C" w:rsidRPr="00B57DAB" w:rsidRDefault="00E02F0C" w:rsidP="00E02F0C">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 ճշտված պլան</w:t>
            </w:r>
          </w:p>
        </w:tc>
        <w:tc>
          <w:tcPr>
            <w:tcW w:w="1134" w:type="dxa"/>
          </w:tcPr>
          <w:p w:rsidR="00E02F0C" w:rsidRPr="00B57DAB" w:rsidRDefault="00E02F0C" w:rsidP="00E02F0C">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 փաստ</w:t>
            </w:r>
          </w:p>
        </w:tc>
        <w:tc>
          <w:tcPr>
            <w:tcW w:w="1380" w:type="dxa"/>
          </w:tcPr>
          <w:p w:rsidR="00E02F0C" w:rsidRPr="00B57DAB" w:rsidRDefault="00E02F0C" w:rsidP="00E02F0C">
            <w:pPr>
              <w:jc w:val="center"/>
              <w:rPr>
                <w:rFonts w:ascii="GHEA Grapalat" w:hAnsi="GHEA Grapalat" w:cs="Calibri"/>
                <w:b/>
                <w:bCs/>
                <w:sz w:val="18"/>
                <w:szCs w:val="18"/>
              </w:rPr>
            </w:pPr>
            <w:r w:rsidRPr="00B57DAB">
              <w:rPr>
                <w:rFonts w:ascii="GHEA Grapalat" w:hAnsi="GHEA Grapalat" w:cs="Calibri"/>
                <w:b/>
                <w:bCs/>
                <w:sz w:val="18"/>
                <w:szCs w:val="18"/>
                <w:lang w:val="hy-AM"/>
              </w:rPr>
              <w:t>Կատարո-ղական</w:t>
            </w:r>
            <w:r w:rsidRPr="00B57DAB">
              <w:rPr>
                <w:rFonts w:ascii="GHEA Grapalat" w:hAnsi="GHEA Grapalat" w:cs="Calibri"/>
                <w:b/>
                <w:bCs/>
                <w:sz w:val="18"/>
                <w:szCs w:val="18"/>
              </w:rPr>
              <w:t>ն առաջին եռամսյակի</w:t>
            </w:r>
            <w:r w:rsidRPr="00B57DAB">
              <w:rPr>
                <w:rFonts w:ascii="GHEA Grapalat" w:hAnsi="GHEA Grapalat" w:cs="Calibri"/>
                <w:b/>
                <w:bCs/>
                <w:sz w:val="18"/>
                <w:szCs w:val="18"/>
                <w:lang w:val="hy-AM"/>
              </w:rPr>
              <w:t xml:space="preserve"> ճշտված պլանի նկատմամբ</w:t>
            </w:r>
            <w:r w:rsidRPr="00B57DAB">
              <w:rPr>
                <w:rFonts w:ascii="GHEA Grapalat" w:hAnsi="GHEA Grapalat" w:cs="Calibri"/>
                <w:b/>
                <w:bCs/>
                <w:sz w:val="18"/>
                <w:szCs w:val="18"/>
              </w:rPr>
              <w:t xml:space="preserve"> (%)</w:t>
            </w:r>
          </w:p>
        </w:tc>
        <w:tc>
          <w:tcPr>
            <w:tcW w:w="1313" w:type="dxa"/>
          </w:tcPr>
          <w:p w:rsidR="00E02F0C" w:rsidRPr="00B57DAB" w:rsidRDefault="00E02F0C" w:rsidP="00E02F0C">
            <w:pPr>
              <w:jc w:val="center"/>
              <w:rPr>
                <w:rFonts w:ascii="GHEA Grapalat" w:hAnsi="GHEA Grapalat" w:cs="Calibri"/>
                <w:b/>
                <w:bCs/>
                <w:sz w:val="18"/>
                <w:szCs w:val="18"/>
              </w:rPr>
            </w:pPr>
            <w:r w:rsidRPr="00B57DAB">
              <w:rPr>
                <w:rFonts w:ascii="GHEA Grapalat" w:hAnsi="GHEA Grapalat" w:cs="Calibri"/>
                <w:b/>
                <w:bCs/>
                <w:sz w:val="18"/>
                <w:szCs w:val="18"/>
              </w:rPr>
              <w:t xml:space="preserve">2022թ. առաջին եռամսյակը 2021թ. </w:t>
            </w:r>
            <w:proofErr w:type="gramStart"/>
            <w:r w:rsidRPr="00B57DAB">
              <w:rPr>
                <w:rFonts w:ascii="GHEA Grapalat" w:hAnsi="GHEA Grapalat" w:cs="Calibri"/>
                <w:b/>
                <w:bCs/>
                <w:sz w:val="18"/>
                <w:szCs w:val="18"/>
              </w:rPr>
              <w:t>առաջին</w:t>
            </w:r>
            <w:proofErr w:type="gramEnd"/>
            <w:r w:rsidRPr="00B57DAB">
              <w:rPr>
                <w:rFonts w:ascii="GHEA Grapalat" w:hAnsi="GHEA Grapalat" w:cs="Calibri"/>
                <w:b/>
                <w:bCs/>
                <w:sz w:val="18"/>
                <w:szCs w:val="18"/>
              </w:rPr>
              <w:t xml:space="preserve"> եռամսյակի նկատմամբ (%)</w:t>
            </w:r>
          </w:p>
        </w:tc>
      </w:tr>
      <w:tr w:rsidR="00E02F0C" w:rsidRPr="00B57DAB" w:rsidTr="00E02F0C">
        <w:tc>
          <w:tcPr>
            <w:tcW w:w="4219" w:type="dxa"/>
            <w:vAlign w:val="bottom"/>
          </w:tcPr>
          <w:p w:rsidR="00E02F0C" w:rsidRPr="00B57DAB" w:rsidRDefault="00E02F0C" w:rsidP="00E02F0C">
            <w:pPr>
              <w:ind w:firstLineChars="100" w:firstLine="181"/>
              <w:rPr>
                <w:rFonts w:ascii="GHEA Grapalat" w:hAnsi="GHEA Grapalat" w:cs="Calibri"/>
                <w:b/>
                <w:bCs/>
                <w:sz w:val="18"/>
                <w:szCs w:val="18"/>
              </w:rPr>
            </w:pPr>
            <w:r w:rsidRPr="00B57DAB">
              <w:rPr>
                <w:rFonts w:ascii="GHEA Grapalat" w:hAnsi="GHEA Grapalat" w:cs="Calibri"/>
                <w:b/>
                <w:bCs/>
                <w:sz w:val="18"/>
                <w:szCs w:val="18"/>
              </w:rPr>
              <w:t>Ընթացիկ ծախսեր</w:t>
            </w:r>
          </w:p>
        </w:tc>
        <w:tc>
          <w:tcPr>
            <w:tcW w:w="1134" w:type="dxa"/>
            <w:vAlign w:val="bottom"/>
          </w:tcPr>
          <w:p w:rsidR="00E02F0C" w:rsidRPr="00B57DAB" w:rsidRDefault="00E02F0C" w:rsidP="00E02F0C">
            <w:pPr>
              <w:jc w:val="right"/>
              <w:rPr>
                <w:rFonts w:ascii="GHEA Grapalat" w:hAnsi="GHEA Grapalat" w:cs="Calibri"/>
                <w:b/>
                <w:bCs/>
                <w:sz w:val="18"/>
                <w:szCs w:val="18"/>
              </w:rPr>
            </w:pPr>
            <w:r w:rsidRPr="00B57DAB">
              <w:rPr>
                <w:rFonts w:ascii="GHEA Grapalat" w:hAnsi="GHEA Grapalat" w:cs="Calibri"/>
                <w:b/>
                <w:bCs/>
                <w:sz w:val="18"/>
                <w:szCs w:val="18"/>
              </w:rPr>
              <w:t>355.8</w:t>
            </w:r>
          </w:p>
        </w:tc>
        <w:tc>
          <w:tcPr>
            <w:tcW w:w="1134" w:type="dxa"/>
            <w:vAlign w:val="bottom"/>
          </w:tcPr>
          <w:p w:rsidR="00E02F0C" w:rsidRPr="00B57DAB" w:rsidRDefault="00E02F0C" w:rsidP="00E02F0C">
            <w:pPr>
              <w:jc w:val="right"/>
              <w:rPr>
                <w:rFonts w:ascii="GHEA Grapalat" w:hAnsi="GHEA Grapalat" w:cs="Calibri"/>
                <w:b/>
                <w:bCs/>
                <w:sz w:val="18"/>
                <w:szCs w:val="18"/>
              </w:rPr>
            </w:pPr>
            <w:r w:rsidRPr="00B57DAB">
              <w:rPr>
                <w:rFonts w:ascii="GHEA Grapalat" w:hAnsi="GHEA Grapalat" w:cs="Calibri"/>
                <w:b/>
                <w:bCs/>
                <w:sz w:val="18"/>
                <w:szCs w:val="18"/>
              </w:rPr>
              <w:t>420.2</w:t>
            </w:r>
          </w:p>
        </w:tc>
        <w:tc>
          <w:tcPr>
            <w:tcW w:w="1134" w:type="dxa"/>
            <w:vAlign w:val="bottom"/>
          </w:tcPr>
          <w:p w:rsidR="00E02F0C" w:rsidRPr="00B57DAB" w:rsidRDefault="00E02F0C" w:rsidP="00E02F0C">
            <w:pPr>
              <w:jc w:val="right"/>
              <w:rPr>
                <w:rFonts w:ascii="GHEA Grapalat" w:hAnsi="GHEA Grapalat" w:cs="Calibri"/>
                <w:b/>
                <w:bCs/>
                <w:sz w:val="18"/>
                <w:szCs w:val="18"/>
              </w:rPr>
            </w:pPr>
            <w:r w:rsidRPr="00B57DAB">
              <w:rPr>
                <w:rFonts w:ascii="GHEA Grapalat" w:hAnsi="GHEA Grapalat" w:cs="Calibri"/>
                <w:b/>
                <w:bCs/>
                <w:sz w:val="18"/>
                <w:szCs w:val="18"/>
              </w:rPr>
              <w:t>362.2</w:t>
            </w:r>
          </w:p>
        </w:tc>
        <w:tc>
          <w:tcPr>
            <w:tcW w:w="1380" w:type="dxa"/>
            <w:vAlign w:val="bottom"/>
          </w:tcPr>
          <w:p w:rsidR="00E02F0C" w:rsidRPr="00B57DAB" w:rsidRDefault="00E02F0C" w:rsidP="00E02F0C">
            <w:pPr>
              <w:jc w:val="right"/>
              <w:rPr>
                <w:rFonts w:ascii="GHEA Grapalat" w:hAnsi="GHEA Grapalat" w:cs="Calibri"/>
                <w:b/>
                <w:bCs/>
                <w:color w:val="000000"/>
                <w:sz w:val="18"/>
                <w:szCs w:val="18"/>
              </w:rPr>
            </w:pPr>
            <w:r w:rsidRPr="00B57DAB">
              <w:rPr>
                <w:rFonts w:ascii="GHEA Grapalat" w:hAnsi="GHEA Grapalat" w:cs="Calibri"/>
                <w:b/>
                <w:bCs/>
                <w:sz w:val="18"/>
                <w:szCs w:val="18"/>
              </w:rPr>
              <w:t>86.2</w:t>
            </w:r>
          </w:p>
        </w:tc>
        <w:tc>
          <w:tcPr>
            <w:tcW w:w="1313" w:type="dxa"/>
            <w:vAlign w:val="bottom"/>
          </w:tcPr>
          <w:p w:rsidR="00E02F0C" w:rsidRPr="00B57DAB" w:rsidRDefault="00E02F0C" w:rsidP="00E02F0C">
            <w:pPr>
              <w:jc w:val="right"/>
              <w:rPr>
                <w:rFonts w:ascii="GHEA Grapalat" w:hAnsi="GHEA Grapalat" w:cs="Calibri"/>
                <w:b/>
                <w:bCs/>
                <w:color w:val="000000"/>
                <w:sz w:val="18"/>
                <w:szCs w:val="18"/>
              </w:rPr>
            </w:pPr>
            <w:r w:rsidRPr="00B57DAB">
              <w:rPr>
                <w:rFonts w:ascii="GHEA Grapalat" w:hAnsi="GHEA Grapalat" w:cs="Calibri"/>
                <w:b/>
                <w:bCs/>
                <w:color w:val="000000"/>
                <w:sz w:val="18"/>
                <w:szCs w:val="18"/>
              </w:rPr>
              <w:t>101.8</w:t>
            </w:r>
          </w:p>
        </w:tc>
      </w:tr>
      <w:tr w:rsidR="00E02F0C" w:rsidRPr="00B57DAB" w:rsidTr="00E02F0C">
        <w:tc>
          <w:tcPr>
            <w:tcW w:w="4219" w:type="dxa"/>
            <w:vAlign w:val="bottom"/>
          </w:tcPr>
          <w:p w:rsidR="00E02F0C" w:rsidRPr="00B57DAB" w:rsidRDefault="00E02F0C" w:rsidP="00E02F0C">
            <w:pPr>
              <w:rPr>
                <w:rFonts w:ascii="GHEA Grapalat" w:hAnsi="GHEA Grapalat" w:cs="Calibri"/>
                <w:sz w:val="18"/>
                <w:szCs w:val="18"/>
              </w:rPr>
            </w:pPr>
            <w:r w:rsidRPr="00B57DAB">
              <w:rPr>
                <w:rFonts w:ascii="GHEA Grapalat" w:hAnsi="GHEA Grapalat" w:cs="Calibri"/>
                <w:sz w:val="18"/>
                <w:szCs w:val="18"/>
              </w:rPr>
              <w:t>Աշխատավարձ</w:t>
            </w:r>
          </w:p>
        </w:tc>
        <w:tc>
          <w:tcPr>
            <w:tcW w:w="1134" w:type="dxa"/>
            <w:vAlign w:val="bottom"/>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34.0</w:t>
            </w:r>
          </w:p>
        </w:tc>
        <w:tc>
          <w:tcPr>
            <w:tcW w:w="1134" w:type="dxa"/>
            <w:vAlign w:val="bottom"/>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39.2</w:t>
            </w:r>
          </w:p>
        </w:tc>
        <w:tc>
          <w:tcPr>
            <w:tcW w:w="1134" w:type="dxa"/>
            <w:vAlign w:val="bottom"/>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35.3</w:t>
            </w:r>
          </w:p>
        </w:tc>
        <w:tc>
          <w:tcPr>
            <w:tcW w:w="1380" w:type="dxa"/>
            <w:vAlign w:val="bottom"/>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sz w:val="18"/>
                <w:szCs w:val="18"/>
              </w:rPr>
              <w:t>90.0</w:t>
            </w:r>
          </w:p>
        </w:tc>
        <w:tc>
          <w:tcPr>
            <w:tcW w:w="1313" w:type="dxa"/>
            <w:vAlign w:val="bottom"/>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103.8</w:t>
            </w:r>
          </w:p>
        </w:tc>
      </w:tr>
      <w:tr w:rsidR="00E02F0C" w:rsidRPr="00B57DAB" w:rsidTr="00E02F0C">
        <w:tc>
          <w:tcPr>
            <w:tcW w:w="4219" w:type="dxa"/>
            <w:vAlign w:val="bottom"/>
          </w:tcPr>
          <w:p w:rsidR="00E02F0C" w:rsidRPr="00B57DAB" w:rsidRDefault="00E02F0C" w:rsidP="00E02F0C">
            <w:pPr>
              <w:rPr>
                <w:rFonts w:ascii="GHEA Grapalat" w:hAnsi="GHEA Grapalat" w:cs="Calibri"/>
                <w:sz w:val="18"/>
                <w:szCs w:val="18"/>
              </w:rPr>
            </w:pPr>
            <w:r w:rsidRPr="00B57DAB">
              <w:rPr>
                <w:rFonts w:ascii="GHEA Grapalat" w:hAnsi="GHEA Grapalat" w:cs="Calibri"/>
                <w:sz w:val="18"/>
                <w:szCs w:val="18"/>
              </w:rPr>
              <w:t>Ծառայությունների և ապրանքների ձեռքբերում</w:t>
            </w:r>
          </w:p>
        </w:tc>
        <w:tc>
          <w:tcPr>
            <w:tcW w:w="1134" w:type="dxa"/>
            <w:vAlign w:val="bottom"/>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25.4</w:t>
            </w:r>
          </w:p>
        </w:tc>
        <w:tc>
          <w:tcPr>
            <w:tcW w:w="1134" w:type="dxa"/>
            <w:vAlign w:val="bottom"/>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39.0</w:t>
            </w:r>
          </w:p>
        </w:tc>
        <w:tc>
          <w:tcPr>
            <w:tcW w:w="1134" w:type="dxa"/>
            <w:vAlign w:val="bottom"/>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27.4</w:t>
            </w:r>
          </w:p>
        </w:tc>
        <w:tc>
          <w:tcPr>
            <w:tcW w:w="1380" w:type="dxa"/>
            <w:vAlign w:val="bottom"/>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sz w:val="18"/>
                <w:szCs w:val="18"/>
              </w:rPr>
              <w:t>70.2</w:t>
            </w:r>
          </w:p>
        </w:tc>
        <w:tc>
          <w:tcPr>
            <w:tcW w:w="1313" w:type="dxa"/>
            <w:vAlign w:val="bottom"/>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107.7</w:t>
            </w:r>
          </w:p>
        </w:tc>
      </w:tr>
      <w:tr w:rsidR="00E02F0C" w:rsidRPr="00B57DAB" w:rsidTr="00E02F0C">
        <w:tc>
          <w:tcPr>
            <w:tcW w:w="4219" w:type="dxa"/>
            <w:vAlign w:val="bottom"/>
          </w:tcPr>
          <w:p w:rsidR="00E02F0C" w:rsidRPr="00B57DAB" w:rsidRDefault="00E02F0C" w:rsidP="00E02F0C">
            <w:pPr>
              <w:rPr>
                <w:rFonts w:ascii="GHEA Grapalat" w:hAnsi="GHEA Grapalat" w:cs="Calibri"/>
                <w:sz w:val="18"/>
                <w:szCs w:val="18"/>
              </w:rPr>
            </w:pPr>
            <w:r w:rsidRPr="00B57DAB">
              <w:rPr>
                <w:rFonts w:ascii="GHEA Grapalat" w:hAnsi="GHEA Grapalat" w:cs="Calibri"/>
                <w:sz w:val="18"/>
                <w:szCs w:val="18"/>
              </w:rPr>
              <w:t>Տոկոսավճարներ</w:t>
            </w:r>
          </w:p>
        </w:tc>
        <w:tc>
          <w:tcPr>
            <w:tcW w:w="1134" w:type="dxa"/>
            <w:vAlign w:val="bottom"/>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37.3</w:t>
            </w:r>
          </w:p>
        </w:tc>
        <w:tc>
          <w:tcPr>
            <w:tcW w:w="1134" w:type="dxa"/>
            <w:vAlign w:val="bottom"/>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40.5</w:t>
            </w:r>
          </w:p>
        </w:tc>
        <w:tc>
          <w:tcPr>
            <w:tcW w:w="1134" w:type="dxa"/>
            <w:vAlign w:val="bottom"/>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39.2</w:t>
            </w:r>
          </w:p>
        </w:tc>
        <w:tc>
          <w:tcPr>
            <w:tcW w:w="1380" w:type="dxa"/>
            <w:vAlign w:val="bottom"/>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sz w:val="18"/>
                <w:szCs w:val="18"/>
              </w:rPr>
              <w:t>96.8</w:t>
            </w:r>
          </w:p>
        </w:tc>
        <w:tc>
          <w:tcPr>
            <w:tcW w:w="1313" w:type="dxa"/>
            <w:vAlign w:val="bottom"/>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105.0</w:t>
            </w:r>
          </w:p>
        </w:tc>
      </w:tr>
      <w:tr w:rsidR="00E02F0C" w:rsidRPr="00B57DAB" w:rsidTr="00E02F0C">
        <w:tc>
          <w:tcPr>
            <w:tcW w:w="4219" w:type="dxa"/>
            <w:vAlign w:val="bottom"/>
          </w:tcPr>
          <w:p w:rsidR="00E02F0C" w:rsidRPr="00B57DAB" w:rsidRDefault="00E02F0C" w:rsidP="00E02F0C">
            <w:pPr>
              <w:rPr>
                <w:rFonts w:ascii="GHEA Grapalat" w:hAnsi="GHEA Grapalat" w:cs="Calibri"/>
                <w:sz w:val="18"/>
                <w:szCs w:val="18"/>
              </w:rPr>
            </w:pPr>
            <w:r w:rsidRPr="00B57DAB">
              <w:rPr>
                <w:rFonts w:ascii="GHEA Grapalat" w:hAnsi="GHEA Grapalat" w:cs="Calibri"/>
                <w:sz w:val="18"/>
                <w:szCs w:val="18"/>
              </w:rPr>
              <w:t>Սուբսիդիաներ</w:t>
            </w:r>
          </w:p>
        </w:tc>
        <w:tc>
          <w:tcPr>
            <w:tcW w:w="1134" w:type="dxa"/>
            <w:vAlign w:val="bottom"/>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23.5</w:t>
            </w:r>
          </w:p>
        </w:tc>
        <w:tc>
          <w:tcPr>
            <w:tcW w:w="1134" w:type="dxa"/>
            <w:vAlign w:val="bottom"/>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28.9</w:t>
            </w:r>
          </w:p>
        </w:tc>
        <w:tc>
          <w:tcPr>
            <w:tcW w:w="1134" w:type="dxa"/>
            <w:vAlign w:val="bottom"/>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27.2</w:t>
            </w:r>
          </w:p>
        </w:tc>
        <w:tc>
          <w:tcPr>
            <w:tcW w:w="1380" w:type="dxa"/>
            <w:vAlign w:val="bottom"/>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94.3</w:t>
            </w:r>
          </w:p>
        </w:tc>
        <w:tc>
          <w:tcPr>
            <w:tcW w:w="1313" w:type="dxa"/>
            <w:vAlign w:val="bottom"/>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115.9</w:t>
            </w:r>
          </w:p>
        </w:tc>
      </w:tr>
      <w:tr w:rsidR="00E02F0C" w:rsidRPr="00B57DAB" w:rsidTr="00E02F0C">
        <w:tc>
          <w:tcPr>
            <w:tcW w:w="4219" w:type="dxa"/>
            <w:vAlign w:val="bottom"/>
          </w:tcPr>
          <w:p w:rsidR="00E02F0C" w:rsidRPr="00B57DAB" w:rsidRDefault="00E02F0C" w:rsidP="00E02F0C">
            <w:pPr>
              <w:rPr>
                <w:rFonts w:ascii="GHEA Grapalat" w:hAnsi="GHEA Grapalat" w:cs="Calibri"/>
                <w:sz w:val="18"/>
                <w:szCs w:val="18"/>
              </w:rPr>
            </w:pPr>
            <w:r w:rsidRPr="00B57DAB">
              <w:rPr>
                <w:rFonts w:ascii="GHEA Grapalat" w:hAnsi="GHEA Grapalat" w:cs="Calibri"/>
                <w:sz w:val="18"/>
                <w:szCs w:val="18"/>
              </w:rPr>
              <w:t>Դրամաշնորհներ</w:t>
            </w:r>
          </w:p>
        </w:tc>
        <w:tc>
          <w:tcPr>
            <w:tcW w:w="1134" w:type="dxa"/>
            <w:vAlign w:val="bottom"/>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40.0</w:t>
            </w:r>
          </w:p>
        </w:tc>
        <w:tc>
          <w:tcPr>
            <w:tcW w:w="1134" w:type="dxa"/>
            <w:vAlign w:val="bottom"/>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52.6</w:t>
            </w:r>
          </w:p>
        </w:tc>
        <w:tc>
          <w:tcPr>
            <w:tcW w:w="1134" w:type="dxa"/>
            <w:vAlign w:val="bottom"/>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44.8</w:t>
            </w:r>
          </w:p>
        </w:tc>
        <w:tc>
          <w:tcPr>
            <w:tcW w:w="1380" w:type="dxa"/>
            <w:vAlign w:val="bottom"/>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sz w:val="18"/>
                <w:szCs w:val="18"/>
              </w:rPr>
              <w:t>85.2</w:t>
            </w:r>
          </w:p>
        </w:tc>
        <w:tc>
          <w:tcPr>
            <w:tcW w:w="1313" w:type="dxa"/>
            <w:vAlign w:val="bottom"/>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112.2</w:t>
            </w:r>
          </w:p>
        </w:tc>
      </w:tr>
      <w:tr w:rsidR="00E02F0C" w:rsidRPr="00B57DAB" w:rsidTr="00E02F0C">
        <w:tc>
          <w:tcPr>
            <w:tcW w:w="4219" w:type="dxa"/>
            <w:vAlign w:val="bottom"/>
          </w:tcPr>
          <w:p w:rsidR="00E02F0C" w:rsidRPr="00B57DAB" w:rsidRDefault="00E02F0C" w:rsidP="00E02F0C">
            <w:pPr>
              <w:rPr>
                <w:rFonts w:ascii="GHEA Grapalat" w:hAnsi="GHEA Grapalat" w:cs="Calibri"/>
                <w:sz w:val="18"/>
                <w:szCs w:val="18"/>
              </w:rPr>
            </w:pPr>
            <w:r w:rsidRPr="00B57DAB">
              <w:rPr>
                <w:rFonts w:ascii="GHEA Grapalat" w:hAnsi="GHEA Grapalat" w:cs="Calibri"/>
                <w:sz w:val="18"/>
                <w:szCs w:val="18"/>
              </w:rPr>
              <w:t>Սոցիալական նպաստներ և կենսաթոշակներ</w:t>
            </w:r>
          </w:p>
        </w:tc>
        <w:tc>
          <w:tcPr>
            <w:tcW w:w="1134" w:type="dxa"/>
            <w:vAlign w:val="bottom"/>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147.3</w:t>
            </w:r>
          </w:p>
        </w:tc>
        <w:tc>
          <w:tcPr>
            <w:tcW w:w="1134" w:type="dxa"/>
            <w:vAlign w:val="bottom"/>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154.9</w:t>
            </w:r>
          </w:p>
        </w:tc>
        <w:tc>
          <w:tcPr>
            <w:tcW w:w="1134" w:type="dxa"/>
            <w:vAlign w:val="bottom"/>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141.1</w:t>
            </w:r>
          </w:p>
        </w:tc>
        <w:tc>
          <w:tcPr>
            <w:tcW w:w="1380" w:type="dxa"/>
            <w:vAlign w:val="bottom"/>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sz w:val="18"/>
                <w:szCs w:val="18"/>
              </w:rPr>
              <w:t>91.1</w:t>
            </w:r>
          </w:p>
        </w:tc>
        <w:tc>
          <w:tcPr>
            <w:tcW w:w="1313" w:type="dxa"/>
            <w:vAlign w:val="bottom"/>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95.7</w:t>
            </w:r>
          </w:p>
        </w:tc>
      </w:tr>
      <w:tr w:rsidR="00E02F0C" w:rsidRPr="00B57DAB" w:rsidTr="00E02F0C">
        <w:tc>
          <w:tcPr>
            <w:tcW w:w="4219" w:type="dxa"/>
            <w:vAlign w:val="bottom"/>
          </w:tcPr>
          <w:p w:rsidR="00E02F0C" w:rsidRPr="00B57DAB" w:rsidRDefault="00E02F0C" w:rsidP="00E02F0C">
            <w:pPr>
              <w:rPr>
                <w:rFonts w:ascii="GHEA Grapalat" w:hAnsi="GHEA Grapalat" w:cs="Calibri"/>
                <w:sz w:val="18"/>
                <w:szCs w:val="18"/>
              </w:rPr>
            </w:pPr>
            <w:r w:rsidRPr="00B57DAB">
              <w:rPr>
                <w:rFonts w:ascii="GHEA Grapalat" w:hAnsi="GHEA Grapalat" w:cs="Calibri"/>
                <w:sz w:val="18"/>
                <w:szCs w:val="18"/>
              </w:rPr>
              <w:t>Այլ ծախսեր</w:t>
            </w:r>
          </w:p>
        </w:tc>
        <w:tc>
          <w:tcPr>
            <w:tcW w:w="1134" w:type="dxa"/>
            <w:vAlign w:val="bottom"/>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48.3</w:t>
            </w:r>
          </w:p>
        </w:tc>
        <w:tc>
          <w:tcPr>
            <w:tcW w:w="1134" w:type="dxa"/>
            <w:vAlign w:val="bottom"/>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65.2</w:t>
            </w:r>
          </w:p>
        </w:tc>
        <w:tc>
          <w:tcPr>
            <w:tcW w:w="1134" w:type="dxa"/>
            <w:vAlign w:val="bottom"/>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47.3</w:t>
            </w:r>
          </w:p>
        </w:tc>
        <w:tc>
          <w:tcPr>
            <w:tcW w:w="1380" w:type="dxa"/>
            <w:vAlign w:val="bottom"/>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72.5</w:t>
            </w:r>
          </w:p>
        </w:tc>
        <w:tc>
          <w:tcPr>
            <w:tcW w:w="1313" w:type="dxa"/>
            <w:vAlign w:val="bottom"/>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97.8</w:t>
            </w:r>
          </w:p>
        </w:tc>
      </w:tr>
      <w:tr w:rsidR="00E02F0C" w:rsidRPr="00B57DAB" w:rsidTr="00E02F0C">
        <w:tc>
          <w:tcPr>
            <w:tcW w:w="4219" w:type="dxa"/>
            <w:vAlign w:val="bottom"/>
          </w:tcPr>
          <w:p w:rsidR="00E02F0C" w:rsidRPr="00B57DAB" w:rsidRDefault="00E02F0C" w:rsidP="00E02F0C">
            <w:pPr>
              <w:ind w:firstLineChars="100" w:firstLine="181"/>
              <w:rPr>
                <w:rFonts w:ascii="GHEA Grapalat" w:hAnsi="GHEA Grapalat" w:cs="Calibri"/>
                <w:b/>
                <w:bCs/>
                <w:sz w:val="18"/>
                <w:szCs w:val="18"/>
              </w:rPr>
            </w:pPr>
            <w:r w:rsidRPr="00B57DAB">
              <w:rPr>
                <w:rFonts w:ascii="GHEA Grapalat" w:hAnsi="GHEA Grapalat" w:cs="Calibri"/>
                <w:b/>
                <w:bCs/>
                <w:sz w:val="18"/>
                <w:szCs w:val="18"/>
              </w:rPr>
              <w:t>Կշիռն ընթացիկ ծախսերում (%)</w:t>
            </w:r>
          </w:p>
        </w:tc>
        <w:tc>
          <w:tcPr>
            <w:tcW w:w="1134" w:type="dxa"/>
            <w:vAlign w:val="bottom"/>
          </w:tcPr>
          <w:p w:rsidR="00E02F0C" w:rsidRPr="00B57DAB" w:rsidRDefault="00E02F0C" w:rsidP="00E02F0C">
            <w:pPr>
              <w:rPr>
                <w:rFonts w:ascii="GHEA Grapalat" w:eastAsia="Calibri" w:hAnsi="GHEA Grapalat"/>
                <w:sz w:val="18"/>
                <w:szCs w:val="18"/>
              </w:rPr>
            </w:pPr>
          </w:p>
        </w:tc>
        <w:tc>
          <w:tcPr>
            <w:tcW w:w="1134" w:type="dxa"/>
            <w:vAlign w:val="bottom"/>
          </w:tcPr>
          <w:p w:rsidR="00E02F0C" w:rsidRPr="00B57DAB" w:rsidRDefault="00E02F0C" w:rsidP="00E02F0C">
            <w:pPr>
              <w:rPr>
                <w:rFonts w:ascii="GHEA Grapalat" w:eastAsia="Calibri" w:hAnsi="GHEA Grapalat"/>
                <w:sz w:val="18"/>
                <w:szCs w:val="18"/>
              </w:rPr>
            </w:pPr>
          </w:p>
        </w:tc>
        <w:tc>
          <w:tcPr>
            <w:tcW w:w="1134" w:type="dxa"/>
            <w:vAlign w:val="bottom"/>
          </w:tcPr>
          <w:p w:rsidR="00E02F0C" w:rsidRPr="00B57DAB" w:rsidRDefault="00E02F0C" w:rsidP="00E02F0C">
            <w:pPr>
              <w:rPr>
                <w:rFonts w:ascii="GHEA Grapalat" w:eastAsia="Calibri" w:hAnsi="GHEA Grapalat"/>
                <w:sz w:val="18"/>
                <w:szCs w:val="18"/>
              </w:rPr>
            </w:pPr>
          </w:p>
        </w:tc>
        <w:tc>
          <w:tcPr>
            <w:tcW w:w="1380" w:type="dxa"/>
            <w:vAlign w:val="bottom"/>
          </w:tcPr>
          <w:p w:rsidR="00E02F0C" w:rsidRPr="00B57DAB" w:rsidRDefault="00E02F0C" w:rsidP="00E02F0C">
            <w:pPr>
              <w:jc w:val="right"/>
              <w:rPr>
                <w:rFonts w:ascii="GHEA Grapalat" w:hAnsi="GHEA Grapalat" w:cs="Calibri"/>
                <w:color w:val="000000"/>
                <w:sz w:val="18"/>
                <w:szCs w:val="18"/>
              </w:rPr>
            </w:pPr>
          </w:p>
        </w:tc>
        <w:tc>
          <w:tcPr>
            <w:tcW w:w="1313" w:type="dxa"/>
            <w:vAlign w:val="bottom"/>
          </w:tcPr>
          <w:p w:rsidR="00E02F0C" w:rsidRPr="00B57DAB" w:rsidRDefault="00E02F0C" w:rsidP="00E02F0C">
            <w:pPr>
              <w:rPr>
                <w:rFonts w:ascii="GHEA Grapalat" w:eastAsia="Calibri" w:hAnsi="GHEA Grapalat"/>
                <w:sz w:val="18"/>
                <w:szCs w:val="18"/>
              </w:rPr>
            </w:pPr>
          </w:p>
        </w:tc>
      </w:tr>
      <w:tr w:rsidR="00E02F0C" w:rsidRPr="00B57DAB" w:rsidTr="00E02F0C">
        <w:tc>
          <w:tcPr>
            <w:tcW w:w="4219" w:type="dxa"/>
            <w:vAlign w:val="bottom"/>
          </w:tcPr>
          <w:p w:rsidR="00E02F0C" w:rsidRPr="00B57DAB" w:rsidRDefault="00E02F0C" w:rsidP="00E02F0C">
            <w:pPr>
              <w:rPr>
                <w:rFonts w:ascii="GHEA Grapalat" w:hAnsi="GHEA Grapalat" w:cs="Calibri"/>
                <w:sz w:val="18"/>
                <w:szCs w:val="18"/>
              </w:rPr>
            </w:pPr>
            <w:r w:rsidRPr="00B57DAB">
              <w:rPr>
                <w:rFonts w:ascii="GHEA Grapalat" w:hAnsi="GHEA Grapalat" w:cs="Calibri"/>
                <w:sz w:val="18"/>
                <w:szCs w:val="18"/>
              </w:rPr>
              <w:t>Աշխատավարձ</w:t>
            </w:r>
          </w:p>
        </w:tc>
        <w:tc>
          <w:tcPr>
            <w:tcW w:w="1134" w:type="dxa"/>
            <w:vAlign w:val="bottom"/>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9.6</w:t>
            </w:r>
          </w:p>
        </w:tc>
        <w:tc>
          <w:tcPr>
            <w:tcW w:w="1134" w:type="dxa"/>
            <w:vAlign w:val="bottom"/>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9.3</w:t>
            </w:r>
          </w:p>
        </w:tc>
        <w:tc>
          <w:tcPr>
            <w:tcW w:w="1134" w:type="dxa"/>
            <w:vAlign w:val="bottom"/>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9.7</w:t>
            </w:r>
          </w:p>
        </w:tc>
        <w:tc>
          <w:tcPr>
            <w:tcW w:w="1380" w:type="dxa"/>
            <w:vAlign w:val="bottom"/>
          </w:tcPr>
          <w:p w:rsidR="00E02F0C" w:rsidRPr="00B57DAB" w:rsidRDefault="00E02F0C" w:rsidP="00E02F0C">
            <w:pPr>
              <w:jc w:val="right"/>
              <w:rPr>
                <w:rFonts w:ascii="GHEA Grapalat" w:hAnsi="GHEA Grapalat" w:cs="Calibri"/>
                <w:sz w:val="18"/>
                <w:szCs w:val="18"/>
              </w:rPr>
            </w:pPr>
          </w:p>
        </w:tc>
        <w:tc>
          <w:tcPr>
            <w:tcW w:w="1313" w:type="dxa"/>
            <w:vAlign w:val="bottom"/>
          </w:tcPr>
          <w:p w:rsidR="00E02F0C" w:rsidRPr="00B57DAB" w:rsidRDefault="00E02F0C" w:rsidP="00E02F0C">
            <w:pPr>
              <w:jc w:val="right"/>
              <w:rPr>
                <w:rFonts w:ascii="GHEA Grapalat" w:hAnsi="GHEA Grapalat" w:cs="Calibri"/>
                <w:sz w:val="18"/>
                <w:szCs w:val="18"/>
              </w:rPr>
            </w:pPr>
          </w:p>
        </w:tc>
      </w:tr>
      <w:tr w:rsidR="00E02F0C" w:rsidRPr="00B57DAB" w:rsidTr="00E02F0C">
        <w:tc>
          <w:tcPr>
            <w:tcW w:w="4219" w:type="dxa"/>
            <w:vAlign w:val="bottom"/>
          </w:tcPr>
          <w:p w:rsidR="00E02F0C" w:rsidRPr="00B57DAB" w:rsidRDefault="00E02F0C" w:rsidP="00E02F0C">
            <w:pPr>
              <w:rPr>
                <w:rFonts w:ascii="GHEA Grapalat" w:hAnsi="GHEA Grapalat" w:cs="Calibri"/>
                <w:sz w:val="18"/>
                <w:szCs w:val="18"/>
              </w:rPr>
            </w:pPr>
            <w:r w:rsidRPr="00B57DAB">
              <w:rPr>
                <w:rFonts w:ascii="GHEA Grapalat" w:hAnsi="GHEA Grapalat" w:cs="Calibri"/>
                <w:sz w:val="18"/>
                <w:szCs w:val="18"/>
              </w:rPr>
              <w:t>Ծառայությունների և ապրանքների ձեռք բերում</w:t>
            </w:r>
          </w:p>
        </w:tc>
        <w:tc>
          <w:tcPr>
            <w:tcW w:w="1134" w:type="dxa"/>
            <w:vAlign w:val="bottom"/>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7.1</w:t>
            </w:r>
          </w:p>
        </w:tc>
        <w:tc>
          <w:tcPr>
            <w:tcW w:w="1134" w:type="dxa"/>
            <w:vAlign w:val="bottom"/>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9.3</w:t>
            </w:r>
          </w:p>
        </w:tc>
        <w:tc>
          <w:tcPr>
            <w:tcW w:w="1134" w:type="dxa"/>
            <w:vAlign w:val="bottom"/>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7.6</w:t>
            </w:r>
          </w:p>
        </w:tc>
        <w:tc>
          <w:tcPr>
            <w:tcW w:w="1380" w:type="dxa"/>
            <w:vAlign w:val="bottom"/>
          </w:tcPr>
          <w:p w:rsidR="00E02F0C" w:rsidRPr="00B57DAB" w:rsidRDefault="00E02F0C" w:rsidP="00E02F0C">
            <w:pPr>
              <w:jc w:val="right"/>
              <w:rPr>
                <w:rFonts w:ascii="GHEA Grapalat" w:hAnsi="GHEA Grapalat" w:cs="Calibri"/>
                <w:sz w:val="18"/>
                <w:szCs w:val="18"/>
              </w:rPr>
            </w:pPr>
          </w:p>
        </w:tc>
        <w:tc>
          <w:tcPr>
            <w:tcW w:w="1313" w:type="dxa"/>
            <w:vAlign w:val="bottom"/>
          </w:tcPr>
          <w:p w:rsidR="00E02F0C" w:rsidRPr="00B57DAB" w:rsidRDefault="00E02F0C" w:rsidP="00E02F0C">
            <w:pPr>
              <w:jc w:val="right"/>
              <w:rPr>
                <w:rFonts w:ascii="GHEA Grapalat" w:hAnsi="GHEA Grapalat" w:cs="Calibri"/>
                <w:sz w:val="18"/>
                <w:szCs w:val="18"/>
              </w:rPr>
            </w:pPr>
          </w:p>
        </w:tc>
      </w:tr>
      <w:tr w:rsidR="00E02F0C" w:rsidRPr="00B57DAB" w:rsidTr="00E02F0C">
        <w:tc>
          <w:tcPr>
            <w:tcW w:w="4219" w:type="dxa"/>
            <w:vAlign w:val="bottom"/>
          </w:tcPr>
          <w:p w:rsidR="00E02F0C" w:rsidRPr="00B57DAB" w:rsidRDefault="00E02F0C" w:rsidP="00E02F0C">
            <w:pPr>
              <w:rPr>
                <w:rFonts w:ascii="GHEA Grapalat" w:hAnsi="GHEA Grapalat" w:cs="Calibri"/>
                <w:sz w:val="18"/>
                <w:szCs w:val="18"/>
              </w:rPr>
            </w:pPr>
            <w:r w:rsidRPr="00B57DAB">
              <w:rPr>
                <w:rFonts w:ascii="GHEA Grapalat" w:hAnsi="GHEA Grapalat" w:cs="Calibri"/>
                <w:sz w:val="18"/>
                <w:szCs w:val="18"/>
              </w:rPr>
              <w:t>Տոկոսավճարներ</w:t>
            </w:r>
          </w:p>
        </w:tc>
        <w:tc>
          <w:tcPr>
            <w:tcW w:w="1134" w:type="dxa"/>
            <w:vAlign w:val="bottom"/>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10.5</w:t>
            </w:r>
          </w:p>
        </w:tc>
        <w:tc>
          <w:tcPr>
            <w:tcW w:w="1134" w:type="dxa"/>
            <w:vAlign w:val="bottom"/>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9.6</w:t>
            </w:r>
          </w:p>
        </w:tc>
        <w:tc>
          <w:tcPr>
            <w:tcW w:w="1134" w:type="dxa"/>
            <w:vAlign w:val="bottom"/>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10.8</w:t>
            </w:r>
          </w:p>
        </w:tc>
        <w:tc>
          <w:tcPr>
            <w:tcW w:w="1380" w:type="dxa"/>
            <w:vAlign w:val="bottom"/>
          </w:tcPr>
          <w:p w:rsidR="00E02F0C" w:rsidRPr="00B57DAB" w:rsidRDefault="00E02F0C" w:rsidP="00E02F0C">
            <w:pPr>
              <w:jc w:val="right"/>
              <w:rPr>
                <w:rFonts w:ascii="GHEA Grapalat" w:hAnsi="GHEA Grapalat" w:cs="Calibri"/>
                <w:sz w:val="18"/>
                <w:szCs w:val="18"/>
              </w:rPr>
            </w:pPr>
          </w:p>
        </w:tc>
        <w:tc>
          <w:tcPr>
            <w:tcW w:w="1313" w:type="dxa"/>
            <w:vAlign w:val="bottom"/>
          </w:tcPr>
          <w:p w:rsidR="00E02F0C" w:rsidRPr="00B57DAB" w:rsidRDefault="00E02F0C" w:rsidP="00E02F0C">
            <w:pPr>
              <w:jc w:val="right"/>
              <w:rPr>
                <w:rFonts w:ascii="GHEA Grapalat" w:hAnsi="GHEA Grapalat" w:cs="Calibri"/>
                <w:sz w:val="18"/>
                <w:szCs w:val="18"/>
              </w:rPr>
            </w:pPr>
          </w:p>
        </w:tc>
      </w:tr>
      <w:tr w:rsidR="00E02F0C" w:rsidRPr="00B57DAB" w:rsidTr="00E02F0C">
        <w:tc>
          <w:tcPr>
            <w:tcW w:w="4219" w:type="dxa"/>
            <w:vAlign w:val="bottom"/>
          </w:tcPr>
          <w:p w:rsidR="00E02F0C" w:rsidRPr="00B57DAB" w:rsidRDefault="00E02F0C" w:rsidP="00E02F0C">
            <w:pPr>
              <w:rPr>
                <w:rFonts w:ascii="GHEA Grapalat" w:hAnsi="GHEA Grapalat" w:cs="Calibri"/>
                <w:sz w:val="18"/>
                <w:szCs w:val="18"/>
              </w:rPr>
            </w:pPr>
            <w:r w:rsidRPr="00B57DAB">
              <w:rPr>
                <w:rFonts w:ascii="GHEA Grapalat" w:hAnsi="GHEA Grapalat" w:cs="Calibri"/>
                <w:sz w:val="18"/>
                <w:szCs w:val="18"/>
              </w:rPr>
              <w:t>Սուբսիդիաներ</w:t>
            </w:r>
          </w:p>
        </w:tc>
        <w:tc>
          <w:tcPr>
            <w:tcW w:w="1134" w:type="dxa"/>
            <w:vAlign w:val="bottom"/>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6.6</w:t>
            </w:r>
          </w:p>
        </w:tc>
        <w:tc>
          <w:tcPr>
            <w:tcW w:w="1134" w:type="dxa"/>
            <w:vAlign w:val="bottom"/>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6.9</w:t>
            </w:r>
          </w:p>
        </w:tc>
        <w:tc>
          <w:tcPr>
            <w:tcW w:w="1134" w:type="dxa"/>
            <w:vAlign w:val="bottom"/>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7.5</w:t>
            </w:r>
          </w:p>
        </w:tc>
        <w:tc>
          <w:tcPr>
            <w:tcW w:w="1380" w:type="dxa"/>
            <w:vAlign w:val="bottom"/>
          </w:tcPr>
          <w:p w:rsidR="00E02F0C" w:rsidRPr="00B57DAB" w:rsidRDefault="00E02F0C" w:rsidP="00E02F0C">
            <w:pPr>
              <w:jc w:val="right"/>
              <w:rPr>
                <w:rFonts w:ascii="GHEA Grapalat" w:hAnsi="GHEA Grapalat" w:cs="Calibri"/>
                <w:sz w:val="18"/>
                <w:szCs w:val="18"/>
              </w:rPr>
            </w:pPr>
          </w:p>
        </w:tc>
        <w:tc>
          <w:tcPr>
            <w:tcW w:w="1313" w:type="dxa"/>
            <w:vAlign w:val="bottom"/>
          </w:tcPr>
          <w:p w:rsidR="00E02F0C" w:rsidRPr="00B57DAB" w:rsidRDefault="00E02F0C" w:rsidP="00E02F0C">
            <w:pPr>
              <w:jc w:val="right"/>
              <w:rPr>
                <w:rFonts w:ascii="GHEA Grapalat" w:hAnsi="GHEA Grapalat" w:cs="Calibri"/>
                <w:sz w:val="18"/>
                <w:szCs w:val="18"/>
              </w:rPr>
            </w:pPr>
          </w:p>
        </w:tc>
      </w:tr>
      <w:tr w:rsidR="00E02F0C" w:rsidRPr="00B57DAB" w:rsidTr="00E02F0C">
        <w:tc>
          <w:tcPr>
            <w:tcW w:w="4219" w:type="dxa"/>
            <w:vAlign w:val="bottom"/>
          </w:tcPr>
          <w:p w:rsidR="00E02F0C" w:rsidRPr="00B57DAB" w:rsidRDefault="00E02F0C" w:rsidP="00E02F0C">
            <w:pPr>
              <w:rPr>
                <w:rFonts w:ascii="GHEA Grapalat" w:hAnsi="GHEA Grapalat" w:cs="Calibri"/>
                <w:sz w:val="18"/>
                <w:szCs w:val="18"/>
              </w:rPr>
            </w:pPr>
            <w:r w:rsidRPr="00B57DAB">
              <w:rPr>
                <w:rFonts w:ascii="GHEA Grapalat" w:hAnsi="GHEA Grapalat" w:cs="Calibri"/>
                <w:sz w:val="18"/>
                <w:szCs w:val="18"/>
              </w:rPr>
              <w:t>Դրամաշնորհներ</w:t>
            </w:r>
          </w:p>
        </w:tc>
        <w:tc>
          <w:tcPr>
            <w:tcW w:w="1134" w:type="dxa"/>
            <w:vAlign w:val="bottom"/>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11.2</w:t>
            </w:r>
          </w:p>
        </w:tc>
        <w:tc>
          <w:tcPr>
            <w:tcW w:w="1134" w:type="dxa"/>
            <w:vAlign w:val="bottom"/>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12.5</w:t>
            </w:r>
          </w:p>
        </w:tc>
        <w:tc>
          <w:tcPr>
            <w:tcW w:w="1134" w:type="dxa"/>
            <w:vAlign w:val="bottom"/>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12.4</w:t>
            </w:r>
          </w:p>
        </w:tc>
        <w:tc>
          <w:tcPr>
            <w:tcW w:w="1380" w:type="dxa"/>
            <w:vAlign w:val="bottom"/>
          </w:tcPr>
          <w:p w:rsidR="00E02F0C" w:rsidRPr="00B57DAB" w:rsidRDefault="00E02F0C" w:rsidP="00E02F0C">
            <w:pPr>
              <w:jc w:val="right"/>
              <w:rPr>
                <w:rFonts w:ascii="GHEA Grapalat" w:hAnsi="GHEA Grapalat" w:cs="Calibri"/>
                <w:sz w:val="18"/>
                <w:szCs w:val="18"/>
              </w:rPr>
            </w:pPr>
          </w:p>
        </w:tc>
        <w:tc>
          <w:tcPr>
            <w:tcW w:w="1313" w:type="dxa"/>
            <w:vAlign w:val="bottom"/>
          </w:tcPr>
          <w:p w:rsidR="00E02F0C" w:rsidRPr="00B57DAB" w:rsidRDefault="00E02F0C" w:rsidP="00E02F0C">
            <w:pPr>
              <w:jc w:val="right"/>
              <w:rPr>
                <w:rFonts w:ascii="GHEA Grapalat" w:hAnsi="GHEA Grapalat" w:cs="Calibri"/>
                <w:sz w:val="18"/>
                <w:szCs w:val="18"/>
              </w:rPr>
            </w:pPr>
          </w:p>
        </w:tc>
      </w:tr>
      <w:tr w:rsidR="00E02F0C" w:rsidRPr="00B57DAB" w:rsidTr="00E02F0C">
        <w:tc>
          <w:tcPr>
            <w:tcW w:w="4219" w:type="dxa"/>
            <w:vAlign w:val="bottom"/>
          </w:tcPr>
          <w:p w:rsidR="00E02F0C" w:rsidRPr="00B57DAB" w:rsidRDefault="00E02F0C" w:rsidP="00E02F0C">
            <w:pPr>
              <w:rPr>
                <w:rFonts w:ascii="GHEA Grapalat" w:hAnsi="GHEA Grapalat" w:cs="Calibri"/>
                <w:sz w:val="18"/>
                <w:szCs w:val="18"/>
              </w:rPr>
            </w:pPr>
            <w:r w:rsidRPr="00B57DAB">
              <w:rPr>
                <w:rFonts w:ascii="GHEA Grapalat" w:hAnsi="GHEA Grapalat" w:cs="Calibri"/>
                <w:sz w:val="18"/>
                <w:szCs w:val="18"/>
              </w:rPr>
              <w:t>Սոցիալական նպաստներ և կենսաթոշակներ</w:t>
            </w:r>
          </w:p>
        </w:tc>
        <w:tc>
          <w:tcPr>
            <w:tcW w:w="1134" w:type="dxa"/>
            <w:vAlign w:val="bottom"/>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41.4</w:t>
            </w:r>
          </w:p>
        </w:tc>
        <w:tc>
          <w:tcPr>
            <w:tcW w:w="1134" w:type="dxa"/>
            <w:vAlign w:val="bottom"/>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36.9</w:t>
            </w:r>
          </w:p>
        </w:tc>
        <w:tc>
          <w:tcPr>
            <w:tcW w:w="1134" w:type="dxa"/>
            <w:vAlign w:val="bottom"/>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39.0</w:t>
            </w:r>
          </w:p>
        </w:tc>
        <w:tc>
          <w:tcPr>
            <w:tcW w:w="1380" w:type="dxa"/>
            <w:vAlign w:val="bottom"/>
          </w:tcPr>
          <w:p w:rsidR="00E02F0C" w:rsidRPr="00B57DAB" w:rsidRDefault="00E02F0C" w:rsidP="00E02F0C">
            <w:pPr>
              <w:jc w:val="right"/>
              <w:rPr>
                <w:rFonts w:ascii="GHEA Grapalat" w:hAnsi="GHEA Grapalat" w:cs="Calibri"/>
                <w:sz w:val="18"/>
                <w:szCs w:val="18"/>
              </w:rPr>
            </w:pPr>
          </w:p>
        </w:tc>
        <w:tc>
          <w:tcPr>
            <w:tcW w:w="1313" w:type="dxa"/>
            <w:vAlign w:val="bottom"/>
          </w:tcPr>
          <w:p w:rsidR="00E02F0C" w:rsidRPr="00B57DAB" w:rsidRDefault="00E02F0C" w:rsidP="00E02F0C">
            <w:pPr>
              <w:jc w:val="right"/>
              <w:rPr>
                <w:rFonts w:ascii="GHEA Grapalat" w:hAnsi="GHEA Grapalat" w:cs="Calibri"/>
                <w:sz w:val="18"/>
                <w:szCs w:val="18"/>
              </w:rPr>
            </w:pPr>
          </w:p>
        </w:tc>
      </w:tr>
      <w:tr w:rsidR="00E02F0C" w:rsidRPr="00B57DAB" w:rsidTr="00E02F0C">
        <w:tc>
          <w:tcPr>
            <w:tcW w:w="4219" w:type="dxa"/>
            <w:vAlign w:val="bottom"/>
          </w:tcPr>
          <w:p w:rsidR="00E02F0C" w:rsidRPr="00B57DAB" w:rsidRDefault="00E02F0C" w:rsidP="00E02F0C">
            <w:pPr>
              <w:rPr>
                <w:rFonts w:ascii="GHEA Grapalat" w:hAnsi="GHEA Grapalat" w:cs="Calibri"/>
                <w:sz w:val="18"/>
                <w:szCs w:val="18"/>
              </w:rPr>
            </w:pPr>
            <w:r w:rsidRPr="00B57DAB">
              <w:rPr>
                <w:rFonts w:ascii="GHEA Grapalat" w:hAnsi="GHEA Grapalat" w:cs="Calibri"/>
                <w:sz w:val="18"/>
                <w:szCs w:val="18"/>
              </w:rPr>
              <w:t>Այլ ծախսեր</w:t>
            </w:r>
          </w:p>
        </w:tc>
        <w:tc>
          <w:tcPr>
            <w:tcW w:w="1134" w:type="dxa"/>
            <w:vAlign w:val="bottom"/>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13.6</w:t>
            </w:r>
          </w:p>
        </w:tc>
        <w:tc>
          <w:tcPr>
            <w:tcW w:w="1134" w:type="dxa"/>
            <w:vAlign w:val="bottom"/>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15.5</w:t>
            </w:r>
          </w:p>
        </w:tc>
        <w:tc>
          <w:tcPr>
            <w:tcW w:w="1134" w:type="dxa"/>
            <w:vAlign w:val="bottom"/>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13.1</w:t>
            </w:r>
          </w:p>
        </w:tc>
        <w:tc>
          <w:tcPr>
            <w:tcW w:w="1380" w:type="dxa"/>
            <w:vAlign w:val="bottom"/>
          </w:tcPr>
          <w:p w:rsidR="00E02F0C" w:rsidRPr="00B57DAB" w:rsidRDefault="00E02F0C" w:rsidP="00E02F0C">
            <w:pPr>
              <w:jc w:val="right"/>
              <w:rPr>
                <w:rFonts w:ascii="GHEA Grapalat" w:hAnsi="GHEA Grapalat" w:cs="Calibri"/>
                <w:sz w:val="18"/>
                <w:szCs w:val="18"/>
              </w:rPr>
            </w:pPr>
          </w:p>
        </w:tc>
        <w:tc>
          <w:tcPr>
            <w:tcW w:w="1313" w:type="dxa"/>
            <w:vAlign w:val="bottom"/>
          </w:tcPr>
          <w:p w:rsidR="00E02F0C" w:rsidRPr="00B57DAB" w:rsidRDefault="00E02F0C" w:rsidP="00E02F0C">
            <w:pPr>
              <w:jc w:val="right"/>
              <w:rPr>
                <w:rFonts w:ascii="GHEA Grapalat" w:hAnsi="GHEA Grapalat" w:cs="Calibri"/>
                <w:sz w:val="18"/>
                <w:szCs w:val="18"/>
              </w:rPr>
            </w:pPr>
          </w:p>
        </w:tc>
      </w:tr>
    </w:tbl>
    <w:p w:rsidR="00E02F0C" w:rsidRPr="00B57DAB" w:rsidRDefault="00E02F0C" w:rsidP="00E02F0C">
      <w:pPr>
        <w:spacing w:line="360" w:lineRule="auto"/>
        <w:ind w:firstLine="567"/>
        <w:jc w:val="both"/>
        <w:rPr>
          <w:rFonts w:ascii="GHEA Grapalat" w:hAnsi="GHEA Grapalat" w:cs="GHEA Grapalat"/>
          <w:sz w:val="22"/>
          <w:szCs w:val="22"/>
        </w:rPr>
      </w:pPr>
    </w:p>
    <w:p w:rsidR="00E02F0C" w:rsidRPr="00B57DAB" w:rsidRDefault="00E02F0C" w:rsidP="00E02F0C">
      <w:pPr>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Հաշվետու ժամանակահատվածում պետական բյուջեից տրամադրված սուբսիդիաների ծրագրային ցուցանիշից շեղումն արձանագրվել է հիմնականում Հանրակրթության ծրագրում: Նախորդ տարվա առաջին եռամսյակի համեմատ սուբսիդիաներն աճել են 15.9%</w:t>
      </w:r>
      <w:r w:rsidRPr="00B57DAB">
        <w:rPr>
          <w:rFonts w:ascii="GHEA Grapalat" w:hAnsi="GHEA Grapalat" w:cs="GHEA Grapalat"/>
          <w:sz w:val="22"/>
          <w:szCs w:val="22"/>
        </w:rPr>
        <w:noBreakHyphen/>
        <w:t xml:space="preserve">ով (3.7 մլրդ </w:t>
      </w:r>
      <w:r w:rsidRPr="00B57DAB">
        <w:rPr>
          <w:rFonts w:ascii="GHEA Grapalat" w:hAnsi="GHEA Grapalat" w:cs="GHEA Grapalat"/>
          <w:sz w:val="22"/>
          <w:szCs w:val="22"/>
        </w:rPr>
        <w:lastRenderedPageBreak/>
        <w:t>դրամով), որը հիմնականում պայմանավորված է Գյուղատնտեսության խթանման, Գյուղատնտեսության արդիականացման և Համաշխարհային բանկի աջակցությամբ իրականացվող առևտրի և ենթակառուցվածքների զարգացման ծրագրերի շրջանակներում տրամադրված սուբսիդիաների աճով:</w:t>
      </w:r>
    </w:p>
    <w:p w:rsidR="00F70E2E" w:rsidRPr="00B57DAB" w:rsidRDefault="00E02F0C" w:rsidP="00F70E2E">
      <w:pPr>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 xml:space="preserve">Պարտքի սպասարկման ծախսերի գծով հաշվետու ժամանակահատվածում արձանագրվել է ավելի քան 1.3 մլրդ դրամի խնայողություն: Պետական գանձապետական պարտատոմսերի սպասարկման գծով 835 մլն դրամի շեղումը պայմանավորված է կանխատեսածի համեմատ փաստացի եկամտաբերության տարբերությամբ: Արտաքին տոկոսավճարների գծով 479.6 մլն դրամի շեղումը պայմանավորված է 6-ամսյա ԱՄՆ դոլարի LIBOR, 6-ամսյա EURIBOR կանխատեսումային ու 2022թ. առաջին եռամսյակի վճարումների համար կիրառված փաստացի դրույքաչափերի տարբերությամբ, 2021 թվականին ու 2022 թվականի առաջին եռամսյակի ընթացքում մի շարք վարկերի գծով մասհանումների պլանային ցուցանիշի էական թերակատարմամբ, SDR-ի՝ ԱՄՆ դոլարի նկատմամբ կանխատեսումային և փաստացի ձևավորված փոխարժեքների տարբերությամբ, ինչպես նաև արտարժույթների նկատմամբ ՀՀ դրամի կանխատեսումային և փաստացի ձևավորված փոխարժեքների տարբերությամբ: </w:t>
      </w:r>
      <w:r w:rsidR="00F70E2E" w:rsidRPr="00B57DAB">
        <w:rPr>
          <w:rFonts w:ascii="GHEA Grapalat" w:hAnsi="GHEA Grapalat" w:cs="GHEA Grapalat"/>
          <w:sz w:val="22"/>
          <w:szCs w:val="22"/>
        </w:rPr>
        <w:t>2022 թվականի առաջին եռամսյակի ընթացքում կիրառված ԱՄՆ դոլար / ՀՀ դրամ միջին կշռված փաստացի փոխարժեքը կազմել է 486.98, մինչդեռ պետական բյուջեի ծրագրավորման ընթացքում արտարժութային մուտքերի և ելքերի փոխարկման համար կիրառվել է 477.45 փոխարժեքը (01.11.2021թ. դրությամբ ՀՀ կենտրոնական բանկի կողմից հրապարակված միջին փոխարժեք):</w:t>
      </w:r>
    </w:p>
    <w:p w:rsidR="00E02F0C" w:rsidRPr="00B57DAB" w:rsidRDefault="00E02F0C" w:rsidP="00E02F0C">
      <w:pPr>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2021 թվականի նույն ժամանակահատվածի համեմատ պարտքի սպասարկման ծախսերի աճ է գրանցվել արտաքին տոկոսավճարների գծով՝ 17.3% կամ 3.9 մլրդ դրամ, որը մեծ մասամբ պայմանավորված է շրջանառության մեջ գտնվող արտարժութային պարտատոմսերի ծավալների աճով: Արտաքին տոկոսավճարների աճին նպաստել է նաև պարտքի միջին կշռված անվանական տոկոսադրույքի աճը:</w:t>
      </w:r>
      <w:r w:rsidR="004B7FB8" w:rsidRPr="00B57DAB">
        <w:rPr>
          <w:rFonts w:ascii="GHEA Grapalat" w:hAnsi="GHEA Grapalat" w:cs="GHEA Grapalat"/>
          <w:sz w:val="22"/>
          <w:szCs w:val="22"/>
        </w:rPr>
        <w:t xml:space="preserve"> </w:t>
      </w:r>
      <w:r w:rsidRPr="00B57DAB">
        <w:rPr>
          <w:rFonts w:ascii="GHEA Grapalat" w:hAnsi="GHEA Grapalat" w:cs="GHEA Grapalat"/>
          <w:sz w:val="22"/>
          <w:szCs w:val="22"/>
        </w:rPr>
        <w:t>Արտաքին վարկերի գծով տվյալ ցուցանիշն աճել է 0.03 տոկոսային կետով: Հարկ է նշել, որ լողացող տոկոսադրույքով տրամադրվող վարկերի սպասարկման ծախսերի հաշվարկման հիմքում ընկած 6-ամսյա ԱՄՆ դոլարի LIBOR դրույքաչափի 2021 թվականի առաջին եռամսյակի միջին ցուցանիշը կազմել էր 0.22%, իսկ 2022 թվականի առաջին եռամսյակինը՝ 0.78% (ընդ որում, հիշյալ տոկոսադրույքի հիման վրա է իրականացվում արտաքին վարկերի շուրջ 20%</w:t>
      </w:r>
      <w:r w:rsidRPr="00B57DAB">
        <w:rPr>
          <w:rFonts w:ascii="GHEA Grapalat" w:hAnsi="GHEA Grapalat" w:cs="GHEA Grapalat"/>
          <w:sz w:val="22"/>
          <w:szCs w:val="22"/>
        </w:rPr>
        <w:noBreakHyphen/>
        <w:t xml:space="preserve">ի սպասարկումը): </w:t>
      </w:r>
    </w:p>
    <w:p w:rsidR="00E02F0C" w:rsidRPr="00B57DAB" w:rsidRDefault="00E02F0C" w:rsidP="00E02F0C">
      <w:pPr>
        <w:spacing w:line="360" w:lineRule="auto"/>
        <w:ind w:firstLine="567"/>
        <w:jc w:val="both"/>
        <w:rPr>
          <w:rFonts w:ascii="GHEA Grapalat" w:hAnsi="GHEA Grapalat" w:cs="GHEA Grapalat"/>
          <w:sz w:val="22"/>
          <w:szCs w:val="22"/>
        </w:rPr>
      </w:pPr>
    </w:p>
    <w:p w:rsidR="00E02F0C" w:rsidRPr="00B57DAB" w:rsidRDefault="00E02F0C" w:rsidP="00770F24">
      <w:pPr>
        <w:pStyle w:val="Caption"/>
        <w:keepNext/>
        <w:numPr>
          <w:ilvl w:val="0"/>
          <w:numId w:val="8"/>
        </w:numPr>
        <w:tabs>
          <w:tab w:val="left" w:pos="1134"/>
        </w:tabs>
        <w:ind w:left="0" w:firstLine="0"/>
        <w:jc w:val="left"/>
        <w:rPr>
          <w:rFonts w:ascii="GHEA Grapalat" w:hAnsi="GHEA Grapalat"/>
          <w:i/>
          <w:sz w:val="18"/>
          <w:szCs w:val="18"/>
          <w:lang w:val="hy-AM"/>
        </w:rPr>
      </w:pPr>
      <w:r w:rsidRPr="00B57DAB">
        <w:rPr>
          <w:rFonts w:ascii="GHEA Grapalat" w:hAnsi="GHEA Grapalat"/>
          <w:i/>
          <w:sz w:val="18"/>
          <w:szCs w:val="18"/>
          <w:lang w:val="hy-AM"/>
        </w:rPr>
        <w:lastRenderedPageBreak/>
        <w:t>Կառավարության պարտքի սպասարկման ծախսերը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276"/>
        <w:gridCol w:w="1417"/>
        <w:gridCol w:w="1276"/>
        <w:gridCol w:w="1701"/>
        <w:gridCol w:w="1559"/>
      </w:tblGrid>
      <w:tr w:rsidR="00E02F0C" w:rsidRPr="00B57DAB" w:rsidTr="00E02F0C">
        <w:trPr>
          <w:trHeight w:val="1425"/>
        </w:trPr>
        <w:tc>
          <w:tcPr>
            <w:tcW w:w="2977"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rPr>
                <w:rFonts w:ascii="GHEA Grapalat" w:hAnsi="GHEA Grapalat" w:cs="Calibri"/>
                <w:sz w:val="18"/>
                <w:szCs w:val="18"/>
                <w:lang w:val="hy-AM"/>
              </w:rPr>
            </w:pPr>
            <w:r w:rsidRPr="00B57DAB">
              <w:rPr>
                <w:rFonts w:ascii="Courier New" w:hAnsi="Courier New" w:cs="Courier New"/>
                <w:sz w:val="18"/>
                <w:szCs w:val="18"/>
                <w:lang w:val="hy-AM"/>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E02F0C" w:rsidRPr="00B57DAB" w:rsidRDefault="00E02F0C" w:rsidP="00E02F0C">
            <w:pPr>
              <w:jc w:val="center"/>
              <w:rPr>
                <w:rFonts w:ascii="GHEA Grapalat" w:hAnsi="GHEA Grapalat" w:cs="Calibri"/>
                <w:b/>
                <w:bCs/>
                <w:sz w:val="18"/>
                <w:szCs w:val="18"/>
                <w:lang w:val="hy-AM"/>
              </w:rPr>
            </w:pPr>
            <w:r w:rsidRPr="00B57DAB">
              <w:rPr>
                <w:rFonts w:ascii="GHEA Grapalat" w:hAnsi="GHEA Grapalat" w:cs="Calibri"/>
                <w:b/>
                <w:bCs/>
                <w:sz w:val="18"/>
                <w:szCs w:val="18"/>
              </w:rPr>
              <w:t>2021թ. առաջին եռամսյակի փաստ</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E02F0C" w:rsidRPr="00B57DAB" w:rsidRDefault="00E02F0C" w:rsidP="00E02F0C">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 ճշտված պլան</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E02F0C" w:rsidRPr="00B57DAB" w:rsidRDefault="00E02F0C" w:rsidP="00E02F0C">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 փաստ</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E02F0C" w:rsidRPr="00B57DAB" w:rsidRDefault="00E02F0C" w:rsidP="00E02F0C">
            <w:pPr>
              <w:jc w:val="center"/>
              <w:rPr>
                <w:rFonts w:ascii="GHEA Grapalat" w:hAnsi="GHEA Grapalat" w:cs="Calibri"/>
                <w:b/>
                <w:bCs/>
                <w:sz w:val="18"/>
                <w:szCs w:val="18"/>
              </w:rPr>
            </w:pPr>
            <w:r w:rsidRPr="00B57DAB">
              <w:rPr>
                <w:rFonts w:ascii="GHEA Grapalat" w:hAnsi="GHEA Grapalat" w:cs="Calibri"/>
                <w:b/>
                <w:bCs/>
                <w:sz w:val="18"/>
                <w:szCs w:val="18"/>
                <w:lang w:val="hy-AM"/>
              </w:rPr>
              <w:t>Կատարողա</w:t>
            </w:r>
            <w:r w:rsidRPr="00B57DAB">
              <w:rPr>
                <w:rFonts w:ascii="GHEA Grapalat" w:hAnsi="GHEA Grapalat" w:cs="Calibri"/>
                <w:b/>
                <w:bCs/>
                <w:sz w:val="18"/>
                <w:szCs w:val="18"/>
              </w:rPr>
              <w:t>-</w:t>
            </w:r>
            <w:r w:rsidRPr="00B57DAB">
              <w:rPr>
                <w:rFonts w:ascii="GHEA Grapalat" w:hAnsi="GHEA Grapalat" w:cs="Calibri"/>
                <w:b/>
                <w:bCs/>
                <w:sz w:val="18"/>
                <w:szCs w:val="18"/>
                <w:lang w:val="hy-AM"/>
              </w:rPr>
              <w:t>կան</w:t>
            </w:r>
            <w:r w:rsidRPr="00B57DAB">
              <w:rPr>
                <w:rFonts w:ascii="GHEA Grapalat" w:hAnsi="GHEA Grapalat" w:cs="Calibri"/>
                <w:b/>
                <w:bCs/>
                <w:sz w:val="18"/>
                <w:szCs w:val="18"/>
              </w:rPr>
              <w:t>ն առաջին եռամսյակի</w:t>
            </w:r>
            <w:r w:rsidRPr="00B57DAB">
              <w:rPr>
                <w:rFonts w:ascii="GHEA Grapalat" w:hAnsi="GHEA Grapalat" w:cs="Calibri"/>
                <w:b/>
                <w:bCs/>
                <w:sz w:val="18"/>
                <w:szCs w:val="18"/>
                <w:lang w:val="hy-AM"/>
              </w:rPr>
              <w:t xml:space="preserve"> ճշտված պլանի նկատմամբ</w:t>
            </w:r>
            <w:r w:rsidRPr="00B57DAB">
              <w:rPr>
                <w:rFonts w:ascii="GHEA Grapalat" w:hAnsi="GHEA Grapalat" w:cs="Calibri"/>
                <w:b/>
                <w:bCs/>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E02F0C" w:rsidRPr="00B57DAB" w:rsidRDefault="00E02F0C" w:rsidP="00E02F0C">
            <w:pPr>
              <w:jc w:val="center"/>
              <w:rPr>
                <w:rFonts w:ascii="GHEA Grapalat" w:hAnsi="GHEA Grapalat" w:cs="Calibri"/>
                <w:b/>
                <w:bCs/>
                <w:sz w:val="18"/>
                <w:szCs w:val="18"/>
              </w:rPr>
            </w:pPr>
            <w:r w:rsidRPr="00B57DAB">
              <w:rPr>
                <w:rFonts w:ascii="GHEA Grapalat" w:hAnsi="GHEA Grapalat" w:cs="Calibri"/>
                <w:b/>
                <w:bCs/>
                <w:sz w:val="18"/>
                <w:szCs w:val="18"/>
              </w:rPr>
              <w:t xml:space="preserve">2022թ. առաջին եռամսյակը 2021թ. </w:t>
            </w:r>
            <w:proofErr w:type="gramStart"/>
            <w:r w:rsidRPr="00B57DAB">
              <w:rPr>
                <w:rFonts w:ascii="GHEA Grapalat" w:hAnsi="GHEA Grapalat" w:cs="Calibri"/>
                <w:b/>
                <w:bCs/>
                <w:sz w:val="18"/>
                <w:szCs w:val="18"/>
              </w:rPr>
              <w:t>առաջին</w:t>
            </w:r>
            <w:proofErr w:type="gramEnd"/>
            <w:r w:rsidRPr="00B57DAB">
              <w:rPr>
                <w:rFonts w:ascii="GHEA Grapalat" w:hAnsi="GHEA Grapalat" w:cs="Calibri"/>
                <w:b/>
                <w:bCs/>
                <w:sz w:val="18"/>
                <w:szCs w:val="18"/>
              </w:rPr>
              <w:t xml:space="preserve"> եռամսյակի նկատմամբ (%)</w:t>
            </w:r>
          </w:p>
        </w:tc>
      </w:tr>
      <w:tr w:rsidR="00E02F0C" w:rsidRPr="00B57DAB" w:rsidTr="00E02F0C">
        <w:trPr>
          <w:trHeight w:val="315"/>
        </w:trPr>
        <w:tc>
          <w:tcPr>
            <w:tcW w:w="2977"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rPr>
                <w:rFonts w:ascii="GHEA Grapalat" w:hAnsi="GHEA Grapalat" w:cs="Calibri"/>
                <w:b/>
                <w:bCs/>
                <w:sz w:val="18"/>
                <w:szCs w:val="18"/>
              </w:rPr>
            </w:pPr>
            <w:r w:rsidRPr="00B57DAB">
              <w:rPr>
                <w:rFonts w:ascii="GHEA Grapalat" w:hAnsi="GHEA Grapalat"/>
                <w:b/>
                <w:sz w:val="18"/>
                <w:szCs w:val="18"/>
              </w:rPr>
              <w:t>Տոկոսավճարներ</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jc w:val="right"/>
              <w:rPr>
                <w:rFonts w:ascii="GHEA Grapalat" w:hAnsi="GHEA Grapalat" w:cs="Calibri"/>
                <w:b/>
                <w:bCs/>
                <w:sz w:val="18"/>
                <w:szCs w:val="18"/>
              </w:rPr>
            </w:pPr>
            <w:r w:rsidRPr="00B57DAB">
              <w:rPr>
                <w:rFonts w:ascii="GHEA Grapalat" w:hAnsi="GHEA Grapalat" w:cs="Calibri"/>
                <w:b/>
                <w:bCs/>
                <w:sz w:val="18"/>
                <w:szCs w:val="18"/>
              </w:rPr>
              <w:t>37.3</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jc w:val="right"/>
              <w:rPr>
                <w:rFonts w:ascii="GHEA Grapalat" w:hAnsi="GHEA Grapalat" w:cs="Calibri"/>
                <w:b/>
                <w:bCs/>
                <w:sz w:val="18"/>
                <w:szCs w:val="18"/>
              </w:rPr>
            </w:pPr>
            <w:r w:rsidRPr="00B57DAB">
              <w:rPr>
                <w:rFonts w:ascii="GHEA Grapalat" w:hAnsi="GHEA Grapalat" w:cs="Calibri"/>
                <w:b/>
                <w:bCs/>
                <w:sz w:val="18"/>
                <w:szCs w:val="18"/>
              </w:rPr>
              <w:t>40.5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jc w:val="right"/>
              <w:rPr>
                <w:rFonts w:ascii="GHEA Grapalat" w:hAnsi="GHEA Grapalat" w:cs="Calibri"/>
                <w:b/>
                <w:bCs/>
                <w:sz w:val="18"/>
                <w:szCs w:val="18"/>
              </w:rPr>
            </w:pPr>
            <w:r w:rsidRPr="00B57DAB">
              <w:rPr>
                <w:rFonts w:ascii="GHEA Grapalat" w:hAnsi="GHEA Grapalat" w:cs="Calibri"/>
                <w:b/>
                <w:bCs/>
                <w:sz w:val="18"/>
                <w:szCs w:val="18"/>
              </w:rPr>
              <w:t>39.2</w:t>
            </w:r>
          </w:p>
        </w:tc>
        <w:tc>
          <w:tcPr>
            <w:tcW w:w="1701" w:type="dxa"/>
            <w:tcBorders>
              <w:top w:val="single" w:sz="4" w:space="0" w:color="auto"/>
              <w:left w:val="single" w:sz="4" w:space="0" w:color="auto"/>
              <w:bottom w:val="single" w:sz="4" w:space="0" w:color="auto"/>
              <w:right w:val="single" w:sz="4" w:space="0" w:color="auto"/>
            </w:tcBorders>
            <w:vAlign w:val="bottom"/>
            <w:hideMark/>
          </w:tcPr>
          <w:p w:rsidR="00E02F0C" w:rsidRPr="00B57DAB" w:rsidRDefault="00E02F0C" w:rsidP="00E02F0C">
            <w:pPr>
              <w:jc w:val="right"/>
              <w:rPr>
                <w:rFonts w:ascii="GHEA Grapalat" w:hAnsi="GHEA Grapalat" w:cs="Calibri"/>
                <w:b/>
                <w:bCs/>
                <w:color w:val="000000"/>
                <w:sz w:val="18"/>
                <w:szCs w:val="18"/>
              </w:rPr>
            </w:pPr>
            <w:r w:rsidRPr="00B57DAB">
              <w:rPr>
                <w:rFonts w:ascii="GHEA Grapalat" w:hAnsi="GHEA Grapalat" w:cs="Calibri"/>
                <w:b/>
                <w:bCs/>
                <w:color w:val="000000"/>
                <w:sz w:val="18"/>
                <w:szCs w:val="18"/>
              </w:rPr>
              <w:t>96.8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jc w:val="right"/>
              <w:rPr>
                <w:rFonts w:ascii="GHEA Grapalat" w:hAnsi="GHEA Grapalat" w:cs="Calibri"/>
                <w:b/>
                <w:bCs/>
                <w:color w:val="000000"/>
                <w:sz w:val="18"/>
                <w:szCs w:val="18"/>
              </w:rPr>
            </w:pPr>
            <w:r w:rsidRPr="00B57DAB">
              <w:rPr>
                <w:rFonts w:ascii="GHEA Grapalat" w:hAnsi="GHEA Grapalat" w:cs="Calibri"/>
                <w:b/>
                <w:bCs/>
                <w:color w:val="000000"/>
                <w:sz w:val="18"/>
                <w:szCs w:val="18"/>
              </w:rPr>
              <w:t>105.0</w:t>
            </w:r>
          </w:p>
        </w:tc>
      </w:tr>
      <w:tr w:rsidR="00E02F0C" w:rsidRPr="00B57DAB" w:rsidTr="00E02F0C">
        <w:trPr>
          <w:trHeight w:val="301"/>
        </w:trPr>
        <w:tc>
          <w:tcPr>
            <w:tcW w:w="2977" w:type="dxa"/>
            <w:tcBorders>
              <w:top w:val="single" w:sz="4" w:space="0" w:color="auto"/>
              <w:left w:val="single" w:sz="4" w:space="0" w:color="auto"/>
              <w:bottom w:val="single" w:sz="4" w:space="0" w:color="auto"/>
              <w:right w:val="single" w:sz="4" w:space="0" w:color="auto"/>
            </w:tcBorders>
            <w:vAlign w:val="bottom"/>
            <w:hideMark/>
          </w:tcPr>
          <w:p w:rsidR="00E02F0C" w:rsidRPr="00B57DAB" w:rsidRDefault="00E02F0C" w:rsidP="00E02F0C">
            <w:pPr>
              <w:rPr>
                <w:rFonts w:ascii="GHEA Grapalat" w:hAnsi="GHEA Grapalat" w:cs="Calibri"/>
                <w:sz w:val="18"/>
                <w:szCs w:val="18"/>
              </w:rPr>
            </w:pPr>
            <w:r w:rsidRPr="00B57DAB">
              <w:rPr>
                <w:rFonts w:ascii="GHEA Grapalat" w:hAnsi="GHEA Grapalat"/>
                <w:sz w:val="18"/>
                <w:szCs w:val="18"/>
              </w:rPr>
              <w:t xml:space="preserve"> Ներքին տոկոսավճարներ</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14.5</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13.2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12.4</w:t>
            </w:r>
          </w:p>
        </w:tc>
        <w:tc>
          <w:tcPr>
            <w:tcW w:w="1701" w:type="dxa"/>
            <w:tcBorders>
              <w:top w:val="single" w:sz="4" w:space="0" w:color="auto"/>
              <w:left w:val="single" w:sz="4" w:space="0" w:color="auto"/>
              <w:bottom w:val="single" w:sz="4" w:space="0" w:color="auto"/>
              <w:right w:val="single" w:sz="4" w:space="0" w:color="auto"/>
            </w:tcBorders>
            <w:vAlign w:val="bottom"/>
            <w:hideMark/>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93.7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85.6</w:t>
            </w:r>
          </w:p>
        </w:tc>
      </w:tr>
      <w:tr w:rsidR="00E02F0C" w:rsidRPr="00B57DAB" w:rsidTr="00E02F0C">
        <w:trPr>
          <w:trHeight w:val="250"/>
        </w:trPr>
        <w:tc>
          <w:tcPr>
            <w:tcW w:w="2977" w:type="dxa"/>
            <w:tcBorders>
              <w:top w:val="single" w:sz="4" w:space="0" w:color="auto"/>
              <w:left w:val="single" w:sz="4" w:space="0" w:color="auto"/>
              <w:bottom w:val="single" w:sz="4" w:space="0" w:color="auto"/>
              <w:right w:val="single" w:sz="4" w:space="0" w:color="auto"/>
            </w:tcBorders>
            <w:vAlign w:val="bottom"/>
            <w:hideMark/>
          </w:tcPr>
          <w:p w:rsidR="00E02F0C" w:rsidRPr="00B57DAB" w:rsidRDefault="00E02F0C" w:rsidP="00E02F0C">
            <w:pPr>
              <w:rPr>
                <w:rFonts w:ascii="GHEA Grapalat" w:hAnsi="GHEA Grapalat" w:cs="Calibri"/>
                <w:sz w:val="18"/>
                <w:szCs w:val="18"/>
              </w:rPr>
            </w:pPr>
            <w:r w:rsidRPr="00B57DAB">
              <w:rPr>
                <w:rFonts w:ascii="GHEA Grapalat" w:hAnsi="GHEA Grapalat"/>
                <w:sz w:val="18"/>
                <w:szCs w:val="18"/>
              </w:rPr>
              <w:t xml:space="preserve"> Արտաքին տոկոսավճարներ</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22.8</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4B7FB8" w:rsidP="00E02F0C">
            <w:pPr>
              <w:jc w:val="right"/>
              <w:rPr>
                <w:rFonts w:ascii="GHEA Grapalat" w:hAnsi="GHEA Grapalat" w:cs="Calibri"/>
                <w:sz w:val="18"/>
                <w:szCs w:val="18"/>
              </w:rPr>
            </w:pPr>
            <w:r w:rsidRPr="00B57DAB">
              <w:rPr>
                <w:rFonts w:ascii="GHEA Grapalat" w:hAnsi="GHEA Grapalat" w:cs="Calibri"/>
                <w:sz w:val="18"/>
                <w:szCs w:val="18"/>
              </w:rPr>
              <w:t xml:space="preserve"> </w:t>
            </w:r>
            <w:r w:rsidR="00E02F0C" w:rsidRPr="00B57DAB">
              <w:rPr>
                <w:rFonts w:ascii="GHEA Grapalat" w:hAnsi="GHEA Grapalat" w:cs="Calibri"/>
                <w:sz w:val="18"/>
                <w:szCs w:val="18"/>
              </w:rPr>
              <w:t>27.2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26.8</w:t>
            </w:r>
          </w:p>
        </w:tc>
        <w:tc>
          <w:tcPr>
            <w:tcW w:w="1701" w:type="dxa"/>
            <w:tcBorders>
              <w:top w:val="single" w:sz="4" w:space="0" w:color="auto"/>
              <w:left w:val="single" w:sz="4" w:space="0" w:color="auto"/>
              <w:bottom w:val="single" w:sz="4" w:space="0" w:color="auto"/>
              <w:right w:val="single" w:sz="4" w:space="0" w:color="auto"/>
            </w:tcBorders>
            <w:vAlign w:val="bottom"/>
            <w:hideMark/>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sz w:val="18"/>
                <w:szCs w:val="18"/>
              </w:rPr>
              <w:t>98.2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117.3</w:t>
            </w:r>
          </w:p>
        </w:tc>
      </w:tr>
    </w:tbl>
    <w:p w:rsidR="00E02F0C" w:rsidRPr="00B57DAB" w:rsidRDefault="00E02F0C" w:rsidP="00E02F0C">
      <w:pPr>
        <w:spacing w:line="360" w:lineRule="auto"/>
        <w:ind w:firstLine="567"/>
        <w:jc w:val="both"/>
        <w:rPr>
          <w:rFonts w:ascii="GHEA Grapalat" w:hAnsi="GHEA Grapalat" w:cs="GHEA Grapalat"/>
          <w:sz w:val="22"/>
          <w:szCs w:val="22"/>
        </w:rPr>
      </w:pPr>
    </w:p>
    <w:p w:rsidR="00E02F0C" w:rsidRPr="00B57DAB" w:rsidRDefault="00E02F0C" w:rsidP="00E02F0C">
      <w:pPr>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Դրամաշնորհների կատարողականը հիմնականում պայմանավորված է ենթակառուցվածքների զարգացման նպատակով ՀՀ մարզերին տրամադրվող սուբվենցիաների, ինչպես նաև որոշ ոլորտներում իրականացվող միջոցառումներին տրամադրվող ընթացիկ դրամաշնորհների կատարողականով:</w:t>
      </w:r>
    </w:p>
    <w:p w:rsidR="00E02F0C" w:rsidRPr="00B57DAB" w:rsidRDefault="00E02F0C" w:rsidP="00E02F0C">
      <w:pPr>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Նախորդ տարվա առաջին եռամսյակի համեմատ պետական բյուջեից տրամադրված դրամաշնորհների աճը հիմնականում պայմանավորված է Հայաստանի Հանրապետության պաշտպանության ժամանակ զինծառայողների կյանքին կամ առողջությանը պատճառված վնասների հատուցման ծախսերի աճով, որոնք կազմել են 8.6 մլրդ դրամ և 1.7 անգամ (3.5 մլրդ դրամով) գերազանցել նախորդ տարվա նույն ժամանակահատվածի ցուցանիշը, ինչպես նաև ենթակառուցվածքների զարգացման նպատակով ՀՀ մարզերին 1.2 մլրդ դրամ սուբվենցիաների տրամադրմամբ:</w:t>
      </w:r>
    </w:p>
    <w:p w:rsidR="00E02F0C" w:rsidRPr="00B57DAB" w:rsidRDefault="00E02F0C" w:rsidP="00E02F0C">
      <w:pPr>
        <w:spacing w:line="360" w:lineRule="auto"/>
        <w:ind w:firstLine="567"/>
        <w:jc w:val="both"/>
        <w:rPr>
          <w:rFonts w:ascii="GHEA Grapalat" w:hAnsi="GHEA Grapalat" w:cs="GHEA Grapalat"/>
          <w:sz w:val="22"/>
          <w:szCs w:val="22"/>
        </w:rPr>
      </w:pPr>
    </w:p>
    <w:p w:rsidR="00E02F0C" w:rsidRPr="00B57DAB" w:rsidRDefault="00E02F0C" w:rsidP="00770F24">
      <w:pPr>
        <w:pStyle w:val="Caption"/>
        <w:keepNext/>
        <w:numPr>
          <w:ilvl w:val="0"/>
          <w:numId w:val="8"/>
        </w:numPr>
        <w:tabs>
          <w:tab w:val="left" w:pos="1134"/>
        </w:tabs>
        <w:ind w:left="0" w:firstLine="0"/>
        <w:jc w:val="left"/>
        <w:rPr>
          <w:rFonts w:ascii="GHEA Grapalat" w:hAnsi="GHEA Grapalat"/>
          <w:i/>
          <w:sz w:val="18"/>
          <w:szCs w:val="18"/>
          <w:lang w:val="hy-AM"/>
        </w:rPr>
      </w:pPr>
      <w:r w:rsidRPr="00B57DAB">
        <w:rPr>
          <w:rFonts w:ascii="GHEA Grapalat" w:hAnsi="GHEA Grapalat"/>
          <w:i/>
          <w:sz w:val="18"/>
          <w:szCs w:val="18"/>
          <w:lang w:val="hy-AM"/>
        </w:rPr>
        <w:t>ՀՀ պետական բյուջեից տրամադրված դրամաշնորհները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134"/>
        <w:gridCol w:w="1134"/>
        <w:gridCol w:w="1134"/>
        <w:gridCol w:w="1418"/>
        <w:gridCol w:w="1417"/>
      </w:tblGrid>
      <w:tr w:rsidR="00E02F0C" w:rsidRPr="00B57DAB" w:rsidTr="00E02F0C">
        <w:trPr>
          <w:trHeight w:val="142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rPr>
                <w:rFonts w:ascii="Courier New" w:hAnsi="Courier New" w:cs="Courier New"/>
                <w:sz w:val="18"/>
                <w:szCs w:val="18"/>
                <w:lang w:val="hy-AM"/>
              </w:rPr>
            </w:pPr>
            <w:r w:rsidRPr="00B57DAB">
              <w:rPr>
                <w:rFonts w:ascii="Courier New" w:hAnsi="Courier New" w:cs="Courier New"/>
                <w:sz w:val="18"/>
                <w:szCs w:val="18"/>
                <w:lang w:val="hy-AM"/>
              </w:rPr>
              <w:t> </w:t>
            </w:r>
          </w:p>
          <w:p w:rsidR="00E02F0C" w:rsidRPr="00B57DAB" w:rsidRDefault="00E02F0C" w:rsidP="00E02F0C">
            <w:pPr>
              <w:rPr>
                <w:rFonts w:ascii="GHEA Grapalat" w:hAnsi="GHEA Grapalat" w:cs="Calibri"/>
                <w:sz w:val="18"/>
                <w:szCs w:val="18"/>
                <w:lang w:val="hy-AM"/>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E02F0C" w:rsidRPr="00B57DAB" w:rsidRDefault="00E02F0C" w:rsidP="00E02F0C">
            <w:pPr>
              <w:jc w:val="center"/>
              <w:rPr>
                <w:rFonts w:ascii="GHEA Grapalat" w:hAnsi="GHEA Grapalat" w:cs="Calibri"/>
                <w:b/>
                <w:bCs/>
                <w:sz w:val="18"/>
                <w:szCs w:val="18"/>
                <w:lang w:val="hy-AM"/>
              </w:rPr>
            </w:pPr>
            <w:r w:rsidRPr="00B57DAB">
              <w:rPr>
                <w:rFonts w:ascii="GHEA Grapalat" w:hAnsi="GHEA Grapalat" w:cs="Calibri"/>
                <w:b/>
                <w:bCs/>
                <w:sz w:val="18"/>
                <w:szCs w:val="18"/>
              </w:rPr>
              <w:t>2021թ. առաջին եռամս-յակի փաստ</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E02F0C" w:rsidRPr="00B57DAB" w:rsidRDefault="00E02F0C" w:rsidP="00E02F0C">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 ճշտված պլան</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E02F0C" w:rsidRPr="00B57DAB" w:rsidRDefault="00E02F0C" w:rsidP="00E02F0C">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 փաստ</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E02F0C" w:rsidRPr="00B57DAB" w:rsidRDefault="00E02F0C" w:rsidP="00E02F0C">
            <w:pPr>
              <w:jc w:val="center"/>
              <w:rPr>
                <w:rFonts w:ascii="GHEA Grapalat" w:hAnsi="GHEA Grapalat" w:cs="Calibri"/>
                <w:b/>
                <w:bCs/>
                <w:sz w:val="18"/>
                <w:szCs w:val="18"/>
              </w:rPr>
            </w:pPr>
            <w:r w:rsidRPr="00B57DAB">
              <w:rPr>
                <w:rFonts w:ascii="GHEA Grapalat" w:hAnsi="GHEA Grapalat" w:cs="Calibri"/>
                <w:b/>
                <w:bCs/>
                <w:sz w:val="18"/>
                <w:szCs w:val="18"/>
                <w:lang w:val="hy-AM"/>
              </w:rPr>
              <w:t>Կատարո</w:t>
            </w:r>
            <w:r w:rsidRPr="00B57DAB">
              <w:rPr>
                <w:rFonts w:ascii="GHEA Grapalat" w:hAnsi="GHEA Grapalat" w:cs="Calibri"/>
                <w:b/>
                <w:bCs/>
                <w:sz w:val="18"/>
                <w:szCs w:val="18"/>
              </w:rPr>
              <w:t>-</w:t>
            </w:r>
            <w:r w:rsidRPr="00B57DAB">
              <w:rPr>
                <w:rFonts w:ascii="GHEA Grapalat" w:hAnsi="GHEA Grapalat" w:cs="Calibri"/>
                <w:b/>
                <w:bCs/>
                <w:sz w:val="18"/>
                <w:szCs w:val="18"/>
                <w:lang w:val="hy-AM"/>
              </w:rPr>
              <w:t>ղական</w:t>
            </w:r>
            <w:r w:rsidRPr="00B57DAB">
              <w:rPr>
                <w:rFonts w:ascii="GHEA Grapalat" w:hAnsi="GHEA Grapalat" w:cs="Calibri"/>
                <w:b/>
                <w:bCs/>
                <w:sz w:val="18"/>
                <w:szCs w:val="18"/>
              </w:rPr>
              <w:t>ն առաջին եռամսյակի</w:t>
            </w:r>
            <w:r w:rsidRPr="00B57DAB">
              <w:rPr>
                <w:rFonts w:ascii="GHEA Grapalat" w:hAnsi="GHEA Grapalat" w:cs="Calibri"/>
                <w:b/>
                <w:bCs/>
                <w:sz w:val="18"/>
                <w:szCs w:val="18"/>
                <w:lang w:val="hy-AM"/>
              </w:rPr>
              <w:t xml:space="preserve"> ճշտված պլանի նկատմամբ</w:t>
            </w:r>
            <w:r w:rsidRPr="00B57DAB">
              <w:rPr>
                <w:rFonts w:ascii="GHEA Grapalat" w:hAnsi="GHEA Grapalat" w:cs="Calibri"/>
                <w:b/>
                <w:bCs/>
                <w:sz w:val="18"/>
                <w:szCs w:val="18"/>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E02F0C" w:rsidRPr="00B57DAB" w:rsidRDefault="00E02F0C" w:rsidP="00E02F0C">
            <w:pPr>
              <w:jc w:val="center"/>
              <w:rPr>
                <w:rFonts w:ascii="GHEA Grapalat" w:hAnsi="GHEA Grapalat" w:cs="Calibri"/>
                <w:b/>
                <w:bCs/>
                <w:sz w:val="18"/>
                <w:szCs w:val="18"/>
              </w:rPr>
            </w:pPr>
            <w:r w:rsidRPr="00B57DAB">
              <w:rPr>
                <w:rFonts w:ascii="GHEA Grapalat" w:hAnsi="GHEA Grapalat" w:cs="Calibri"/>
                <w:b/>
                <w:bCs/>
                <w:sz w:val="18"/>
                <w:szCs w:val="18"/>
              </w:rPr>
              <w:t xml:space="preserve">2022թ. առաջին եռամսյակը 2021թ. </w:t>
            </w:r>
            <w:proofErr w:type="gramStart"/>
            <w:r w:rsidRPr="00B57DAB">
              <w:rPr>
                <w:rFonts w:ascii="GHEA Grapalat" w:hAnsi="GHEA Grapalat" w:cs="Calibri"/>
                <w:b/>
                <w:bCs/>
                <w:sz w:val="18"/>
                <w:szCs w:val="18"/>
              </w:rPr>
              <w:t>առաջին</w:t>
            </w:r>
            <w:proofErr w:type="gramEnd"/>
            <w:r w:rsidRPr="00B57DAB">
              <w:rPr>
                <w:rFonts w:ascii="GHEA Grapalat" w:hAnsi="GHEA Grapalat" w:cs="Calibri"/>
                <w:b/>
                <w:bCs/>
                <w:sz w:val="18"/>
                <w:szCs w:val="18"/>
              </w:rPr>
              <w:t xml:space="preserve"> եռամսյակի նկատմամբ (%)</w:t>
            </w:r>
          </w:p>
        </w:tc>
      </w:tr>
      <w:tr w:rsidR="00E02F0C" w:rsidRPr="00B57DAB" w:rsidTr="00E02F0C">
        <w:trPr>
          <w:trHeight w:val="31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rPr>
                <w:rFonts w:ascii="GHEA Grapalat" w:hAnsi="GHEA Grapalat" w:cs="Calibri"/>
                <w:b/>
                <w:bCs/>
                <w:sz w:val="18"/>
                <w:szCs w:val="18"/>
              </w:rPr>
            </w:pPr>
            <w:r w:rsidRPr="00B57DAB">
              <w:rPr>
                <w:rFonts w:ascii="GHEA Grapalat" w:hAnsi="GHEA Grapalat"/>
                <w:b/>
                <w:sz w:val="18"/>
                <w:szCs w:val="18"/>
              </w:rPr>
              <w:t>Դրամաշնորհներ</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jc w:val="right"/>
              <w:rPr>
                <w:rFonts w:ascii="GHEA Grapalat" w:hAnsi="GHEA Grapalat" w:cs="Calibri"/>
                <w:b/>
                <w:bCs/>
                <w:sz w:val="18"/>
                <w:szCs w:val="18"/>
              </w:rPr>
            </w:pPr>
            <w:r w:rsidRPr="00B57DAB">
              <w:rPr>
                <w:rFonts w:ascii="GHEA Grapalat" w:hAnsi="GHEA Grapalat" w:cs="Calibri"/>
                <w:b/>
                <w:bCs/>
                <w:sz w:val="18"/>
                <w:szCs w:val="18"/>
              </w:rPr>
              <w:t>40.0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jc w:val="right"/>
              <w:rPr>
                <w:rFonts w:ascii="GHEA Grapalat" w:hAnsi="GHEA Grapalat" w:cs="Calibri"/>
                <w:b/>
                <w:bCs/>
                <w:sz w:val="18"/>
                <w:szCs w:val="18"/>
              </w:rPr>
            </w:pPr>
            <w:r w:rsidRPr="00B57DAB">
              <w:rPr>
                <w:rFonts w:ascii="GHEA Grapalat" w:hAnsi="GHEA Grapalat" w:cs="Calibri"/>
                <w:b/>
                <w:bCs/>
                <w:sz w:val="18"/>
                <w:szCs w:val="18"/>
              </w:rPr>
              <w:t>52.6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jc w:val="right"/>
              <w:rPr>
                <w:rFonts w:ascii="GHEA Grapalat" w:hAnsi="GHEA Grapalat" w:cs="Calibri"/>
                <w:b/>
                <w:bCs/>
                <w:sz w:val="18"/>
                <w:szCs w:val="18"/>
              </w:rPr>
            </w:pPr>
            <w:r w:rsidRPr="00B57DAB">
              <w:rPr>
                <w:rFonts w:ascii="GHEA Grapalat" w:hAnsi="GHEA Grapalat" w:cs="Calibri"/>
                <w:b/>
                <w:bCs/>
                <w:sz w:val="18"/>
                <w:szCs w:val="18"/>
              </w:rPr>
              <w:t>44.8</w:t>
            </w:r>
          </w:p>
        </w:tc>
        <w:tc>
          <w:tcPr>
            <w:tcW w:w="1418" w:type="dxa"/>
            <w:tcBorders>
              <w:top w:val="single" w:sz="4" w:space="0" w:color="auto"/>
              <w:left w:val="single" w:sz="4" w:space="0" w:color="auto"/>
              <w:bottom w:val="single" w:sz="4" w:space="0" w:color="auto"/>
              <w:right w:val="single" w:sz="4" w:space="0" w:color="auto"/>
            </w:tcBorders>
            <w:vAlign w:val="bottom"/>
            <w:hideMark/>
          </w:tcPr>
          <w:p w:rsidR="00E02F0C" w:rsidRPr="00B57DAB" w:rsidRDefault="00E02F0C" w:rsidP="00E02F0C">
            <w:pPr>
              <w:jc w:val="right"/>
              <w:rPr>
                <w:rFonts w:ascii="GHEA Grapalat" w:hAnsi="GHEA Grapalat" w:cs="Calibri"/>
                <w:b/>
                <w:bCs/>
                <w:color w:val="000000"/>
                <w:sz w:val="18"/>
                <w:szCs w:val="18"/>
              </w:rPr>
            </w:pPr>
            <w:r w:rsidRPr="00B57DAB">
              <w:rPr>
                <w:rFonts w:ascii="GHEA Grapalat" w:hAnsi="GHEA Grapalat" w:cs="Calibri"/>
                <w:b/>
                <w:bCs/>
                <w:sz w:val="18"/>
                <w:szCs w:val="18"/>
              </w:rPr>
              <w:t>85.2</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jc w:val="right"/>
              <w:rPr>
                <w:rFonts w:ascii="GHEA Grapalat" w:hAnsi="GHEA Grapalat" w:cs="Calibri"/>
                <w:b/>
                <w:bCs/>
                <w:color w:val="000000"/>
                <w:sz w:val="18"/>
                <w:szCs w:val="18"/>
              </w:rPr>
            </w:pPr>
            <w:r w:rsidRPr="00B57DAB">
              <w:rPr>
                <w:rFonts w:ascii="GHEA Grapalat" w:hAnsi="GHEA Grapalat" w:cs="Calibri"/>
                <w:b/>
                <w:bCs/>
                <w:color w:val="000000"/>
                <w:sz w:val="18"/>
                <w:szCs w:val="18"/>
              </w:rPr>
              <w:t>112.2</w:t>
            </w:r>
          </w:p>
        </w:tc>
      </w:tr>
      <w:tr w:rsidR="00E02F0C" w:rsidRPr="00B57DAB" w:rsidTr="00E02F0C">
        <w:trPr>
          <w:trHeight w:val="315"/>
        </w:trPr>
        <w:tc>
          <w:tcPr>
            <w:tcW w:w="3969" w:type="dxa"/>
            <w:tcBorders>
              <w:top w:val="single" w:sz="4" w:space="0" w:color="auto"/>
              <w:left w:val="single" w:sz="4" w:space="0" w:color="auto"/>
              <w:bottom w:val="single" w:sz="4" w:space="0" w:color="auto"/>
              <w:right w:val="single" w:sz="4" w:space="0" w:color="auto"/>
            </w:tcBorders>
            <w:vAlign w:val="bottom"/>
            <w:hideMark/>
          </w:tcPr>
          <w:p w:rsidR="00E02F0C" w:rsidRPr="00B57DAB" w:rsidRDefault="00E02F0C" w:rsidP="00E02F0C">
            <w:pPr>
              <w:rPr>
                <w:rFonts w:ascii="GHEA Grapalat" w:hAnsi="GHEA Grapalat" w:cs="Calibri"/>
                <w:sz w:val="18"/>
                <w:szCs w:val="18"/>
              </w:rPr>
            </w:pPr>
            <w:r w:rsidRPr="00B57DAB">
              <w:rPr>
                <w:rFonts w:ascii="GHEA Grapalat" w:hAnsi="GHEA Grapalat"/>
                <w:sz w:val="18"/>
                <w:szCs w:val="18"/>
              </w:rPr>
              <w:t xml:space="preserve"> Միջազգային կազմակերպություններին</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4B7FB8" w:rsidP="00E02F0C">
            <w:pPr>
              <w:jc w:val="right"/>
              <w:rPr>
                <w:rFonts w:ascii="GHEA Grapalat" w:hAnsi="GHEA Grapalat" w:cs="Calibri"/>
                <w:sz w:val="18"/>
                <w:szCs w:val="18"/>
              </w:rPr>
            </w:pPr>
            <w:r w:rsidRPr="00B57DAB">
              <w:rPr>
                <w:rFonts w:ascii="GHEA Grapalat" w:hAnsi="GHEA Grapalat" w:cs="Calibri"/>
                <w:sz w:val="18"/>
                <w:szCs w:val="18"/>
              </w:rPr>
              <w:t xml:space="preserve"> </w:t>
            </w:r>
            <w:r w:rsidR="00E02F0C" w:rsidRPr="00B57DAB">
              <w:rPr>
                <w:rFonts w:ascii="GHEA Grapalat" w:hAnsi="GHEA Grapalat" w:cs="Calibri"/>
                <w:sz w:val="18"/>
                <w:szCs w:val="18"/>
              </w:rPr>
              <w:t>0.8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1.4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1.2</w:t>
            </w:r>
          </w:p>
        </w:tc>
        <w:tc>
          <w:tcPr>
            <w:tcW w:w="1418" w:type="dxa"/>
            <w:tcBorders>
              <w:top w:val="single" w:sz="4" w:space="0" w:color="auto"/>
              <w:left w:val="single" w:sz="4" w:space="0" w:color="auto"/>
              <w:bottom w:val="single" w:sz="4" w:space="0" w:color="auto"/>
              <w:right w:val="single" w:sz="4" w:space="0" w:color="auto"/>
            </w:tcBorders>
            <w:vAlign w:val="bottom"/>
            <w:hideMark/>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86.4</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145.7</w:t>
            </w:r>
          </w:p>
        </w:tc>
      </w:tr>
      <w:tr w:rsidR="00E02F0C" w:rsidRPr="00B57DAB" w:rsidTr="00E02F0C">
        <w:trPr>
          <w:trHeight w:val="315"/>
        </w:trPr>
        <w:tc>
          <w:tcPr>
            <w:tcW w:w="3969" w:type="dxa"/>
            <w:tcBorders>
              <w:top w:val="single" w:sz="4" w:space="0" w:color="auto"/>
              <w:left w:val="single" w:sz="4" w:space="0" w:color="auto"/>
              <w:bottom w:val="single" w:sz="4" w:space="0" w:color="auto"/>
              <w:right w:val="single" w:sz="4" w:space="0" w:color="auto"/>
            </w:tcBorders>
            <w:vAlign w:val="bottom"/>
            <w:hideMark/>
          </w:tcPr>
          <w:p w:rsidR="00E02F0C" w:rsidRPr="00B57DAB" w:rsidRDefault="00E02F0C" w:rsidP="00E02F0C">
            <w:pPr>
              <w:rPr>
                <w:rFonts w:ascii="GHEA Grapalat" w:hAnsi="GHEA Grapalat"/>
                <w:sz w:val="18"/>
                <w:szCs w:val="18"/>
              </w:rPr>
            </w:pPr>
            <w:r w:rsidRPr="00B57DAB">
              <w:rPr>
                <w:rFonts w:ascii="GHEA Grapalat" w:hAnsi="GHEA Grapalat"/>
                <w:sz w:val="18"/>
                <w:szCs w:val="18"/>
              </w:rPr>
              <w:t xml:space="preserve"> Պետական հատվածի այլ մակարդակներին (ընթացիկ),</w:t>
            </w:r>
          </w:p>
          <w:p w:rsidR="00E02F0C" w:rsidRPr="00B57DAB" w:rsidRDefault="00E02F0C" w:rsidP="00E02F0C">
            <w:pPr>
              <w:rPr>
                <w:rFonts w:ascii="GHEA Grapalat" w:hAnsi="GHEA Grapalat" w:cs="Calibri"/>
                <w:sz w:val="18"/>
                <w:szCs w:val="18"/>
              </w:rPr>
            </w:pPr>
            <w:r w:rsidRPr="00B57DAB">
              <w:rPr>
                <w:rFonts w:ascii="GHEA Grapalat" w:hAnsi="GHEA Grapalat"/>
                <w:sz w:val="18"/>
                <w:szCs w:val="18"/>
              </w:rPr>
              <w:t>այդ թվում`</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39.0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46.3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41.8</w:t>
            </w:r>
          </w:p>
        </w:tc>
        <w:tc>
          <w:tcPr>
            <w:tcW w:w="1418" w:type="dxa"/>
            <w:tcBorders>
              <w:top w:val="single" w:sz="4" w:space="0" w:color="auto"/>
              <w:left w:val="single" w:sz="4" w:space="0" w:color="auto"/>
              <w:bottom w:val="single" w:sz="4" w:space="0" w:color="auto"/>
              <w:right w:val="single" w:sz="4" w:space="0" w:color="auto"/>
            </w:tcBorders>
            <w:vAlign w:val="bottom"/>
            <w:hideMark/>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sz w:val="18"/>
                <w:szCs w:val="18"/>
              </w:rPr>
              <w:t>90.3</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107.1</w:t>
            </w:r>
          </w:p>
        </w:tc>
      </w:tr>
      <w:tr w:rsidR="00E02F0C" w:rsidRPr="00B57DAB" w:rsidTr="00E02F0C">
        <w:trPr>
          <w:trHeight w:val="315"/>
        </w:trPr>
        <w:tc>
          <w:tcPr>
            <w:tcW w:w="3969" w:type="dxa"/>
            <w:tcBorders>
              <w:top w:val="single" w:sz="4" w:space="0" w:color="auto"/>
              <w:left w:val="single" w:sz="4" w:space="0" w:color="auto"/>
              <w:bottom w:val="single" w:sz="4" w:space="0" w:color="auto"/>
              <w:right w:val="single" w:sz="4" w:space="0" w:color="auto"/>
            </w:tcBorders>
            <w:vAlign w:val="bottom"/>
            <w:hideMark/>
          </w:tcPr>
          <w:p w:rsidR="00E02F0C" w:rsidRPr="00B57DAB" w:rsidRDefault="004B7FB8" w:rsidP="00E02F0C">
            <w:pPr>
              <w:pStyle w:val="ListParagraph"/>
              <w:tabs>
                <w:tab w:val="left" w:pos="459"/>
              </w:tabs>
              <w:ind w:left="34"/>
              <w:rPr>
                <w:rFonts w:ascii="GHEA Grapalat" w:hAnsi="GHEA Grapalat" w:cs="Calibri"/>
                <w:sz w:val="18"/>
                <w:szCs w:val="18"/>
                <w:lang w:val="hy-AM"/>
              </w:rPr>
            </w:pPr>
            <w:r w:rsidRPr="00B57DAB">
              <w:rPr>
                <w:rFonts w:ascii="GHEA Grapalat" w:hAnsi="GHEA Grapalat" w:cs="Calibri"/>
                <w:sz w:val="18"/>
                <w:szCs w:val="18"/>
              </w:rPr>
              <w:t xml:space="preserve"> </w:t>
            </w:r>
            <w:r w:rsidR="00E02F0C" w:rsidRPr="00B57DAB">
              <w:rPr>
                <w:rFonts w:ascii="GHEA Grapalat" w:hAnsi="GHEA Grapalat" w:cs="Calibri"/>
                <w:sz w:val="18"/>
                <w:szCs w:val="18"/>
              </w:rPr>
              <w:t xml:space="preserve">- </w:t>
            </w:r>
            <w:r w:rsidR="00E02F0C" w:rsidRPr="00B57DAB">
              <w:rPr>
                <w:rFonts w:ascii="GHEA Grapalat" w:hAnsi="GHEA Grapalat" w:cs="Calibri"/>
                <w:sz w:val="18"/>
                <w:szCs w:val="18"/>
                <w:lang w:val="hy-AM"/>
              </w:rPr>
              <w:t>Համայնքների բյուջեներին համահարթեցման սկզբունքով տրվող դոտացիաներ</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16.1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16.1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16.1</w:t>
            </w:r>
          </w:p>
        </w:tc>
        <w:tc>
          <w:tcPr>
            <w:tcW w:w="1418" w:type="dxa"/>
            <w:tcBorders>
              <w:top w:val="single" w:sz="4" w:space="0" w:color="auto"/>
              <w:left w:val="single" w:sz="4" w:space="0" w:color="auto"/>
              <w:bottom w:val="single" w:sz="4" w:space="0" w:color="auto"/>
              <w:right w:val="single" w:sz="4" w:space="0" w:color="auto"/>
            </w:tcBorders>
            <w:vAlign w:val="bottom"/>
            <w:hideMark/>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100.0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99.6</w:t>
            </w:r>
          </w:p>
        </w:tc>
      </w:tr>
      <w:tr w:rsidR="00E02F0C" w:rsidRPr="00B57DAB" w:rsidTr="00E02F0C">
        <w:trPr>
          <w:trHeight w:val="613"/>
        </w:trPr>
        <w:tc>
          <w:tcPr>
            <w:tcW w:w="3969" w:type="dxa"/>
            <w:tcBorders>
              <w:top w:val="single" w:sz="4" w:space="0" w:color="auto"/>
              <w:left w:val="single" w:sz="4" w:space="0" w:color="auto"/>
              <w:bottom w:val="single" w:sz="4" w:space="0" w:color="auto"/>
              <w:right w:val="single" w:sz="4" w:space="0" w:color="auto"/>
            </w:tcBorders>
            <w:vAlign w:val="bottom"/>
            <w:hideMark/>
          </w:tcPr>
          <w:p w:rsidR="00E02F0C" w:rsidRPr="00B57DAB" w:rsidRDefault="00E02F0C" w:rsidP="00E02F0C">
            <w:pPr>
              <w:rPr>
                <w:rFonts w:ascii="GHEA Grapalat" w:hAnsi="GHEA Grapalat"/>
                <w:sz w:val="18"/>
                <w:szCs w:val="18"/>
              </w:rPr>
            </w:pPr>
            <w:r w:rsidRPr="00B57DAB">
              <w:rPr>
                <w:rFonts w:ascii="GHEA Grapalat" w:hAnsi="GHEA Grapalat"/>
                <w:sz w:val="18"/>
                <w:szCs w:val="18"/>
              </w:rPr>
              <w:t>Պետական հատվածի այլ մակարդակներին (կապիտալ) դրամաշնորհներ</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0.1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4.9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1.8</w:t>
            </w:r>
          </w:p>
        </w:tc>
        <w:tc>
          <w:tcPr>
            <w:tcW w:w="1418" w:type="dxa"/>
            <w:tcBorders>
              <w:top w:val="single" w:sz="4" w:space="0" w:color="auto"/>
              <w:left w:val="single" w:sz="4" w:space="0" w:color="auto"/>
              <w:bottom w:val="single" w:sz="4" w:space="0" w:color="auto"/>
              <w:right w:val="single" w:sz="4" w:space="0" w:color="auto"/>
            </w:tcBorders>
            <w:vAlign w:val="bottom"/>
            <w:hideMark/>
          </w:tcPr>
          <w:p w:rsidR="00E02F0C" w:rsidRPr="00B57DAB" w:rsidRDefault="00E02F0C" w:rsidP="00E02F0C">
            <w:pPr>
              <w:jc w:val="right"/>
              <w:rPr>
                <w:rFonts w:ascii="GHEA Grapalat" w:hAnsi="GHEA Grapalat" w:cs="Calibri"/>
                <w:sz w:val="18"/>
                <w:szCs w:val="18"/>
              </w:rPr>
            </w:pPr>
            <w:r w:rsidRPr="00B57DAB">
              <w:rPr>
                <w:rFonts w:ascii="GHEA Grapalat" w:hAnsi="GHEA Grapalat" w:cs="Calibri"/>
                <w:sz w:val="18"/>
                <w:szCs w:val="18"/>
              </w:rPr>
              <w:t>37.2</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jc w:val="right"/>
              <w:rPr>
                <w:rFonts w:ascii="GHEA Grapalat" w:hAnsi="GHEA Grapalat" w:cs="Calibri"/>
                <w:color w:val="000000"/>
                <w:sz w:val="18"/>
                <w:szCs w:val="18"/>
              </w:rPr>
            </w:pPr>
            <w:r w:rsidRPr="00B57DAB">
              <w:rPr>
                <w:rFonts w:ascii="GHEA Grapalat" w:hAnsi="GHEA Grapalat" w:cs="Calibri"/>
                <w:color w:val="000000"/>
                <w:sz w:val="18"/>
                <w:szCs w:val="18"/>
              </w:rPr>
              <w:t>1560.5</w:t>
            </w:r>
          </w:p>
        </w:tc>
      </w:tr>
    </w:tbl>
    <w:p w:rsidR="00E02F0C" w:rsidRPr="00B57DAB" w:rsidRDefault="00E02F0C" w:rsidP="00E02F0C">
      <w:pPr>
        <w:spacing w:line="360" w:lineRule="auto"/>
        <w:ind w:firstLine="567"/>
        <w:jc w:val="both"/>
        <w:rPr>
          <w:rFonts w:ascii="GHEA Grapalat" w:hAnsi="GHEA Grapalat" w:cs="GHEA Grapalat"/>
          <w:sz w:val="22"/>
          <w:szCs w:val="22"/>
        </w:rPr>
      </w:pPr>
    </w:p>
    <w:p w:rsidR="00E02F0C" w:rsidRPr="00B57DAB" w:rsidRDefault="00E02F0C" w:rsidP="00E02F0C">
      <w:pPr>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lastRenderedPageBreak/>
        <w:t>Նախորդ տարվա նույն ժամանակահատվածի համեմատ սոցիալական նպաստների գծով ծախսերի նվազումը հիմնականում պայմանավորված է ռազմական դրությամբ պայմանավորված՝ Ադրբեջանի Հանրապետության վերահսկողության տակ անցած տարածքներում հաշվառված քաղաքացիներին 2021 թվականին դրամական աջակցության տրամադրմամբ:</w:t>
      </w:r>
    </w:p>
    <w:p w:rsidR="00E02F0C" w:rsidRPr="00B57DAB" w:rsidRDefault="00E02F0C" w:rsidP="00E02F0C">
      <w:pPr>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Կենսաթոշակների գծով ծախսերի աճը հիմնականում պայմանավորված է կուտակային կենսաթոշակային հատկացումների աճով, որոնք կազմել են 29.3 մլրդ դրամ՝ 30.9%-ով կամ 6.9 մլրդ դրամով գերազանցելով 2021 թվականի նույն ցուցանիշը:</w:t>
      </w:r>
    </w:p>
    <w:p w:rsidR="00E02F0C" w:rsidRPr="00B57DAB" w:rsidRDefault="00E02F0C" w:rsidP="00E02F0C">
      <w:pPr>
        <w:spacing w:line="360" w:lineRule="auto"/>
        <w:ind w:firstLine="567"/>
        <w:jc w:val="both"/>
        <w:rPr>
          <w:rFonts w:ascii="GHEA Grapalat" w:hAnsi="GHEA Grapalat" w:cs="GHEA Grapalat"/>
          <w:sz w:val="22"/>
          <w:szCs w:val="22"/>
        </w:rPr>
      </w:pPr>
    </w:p>
    <w:p w:rsidR="00E02F0C" w:rsidRPr="00B57DAB" w:rsidRDefault="00E02F0C" w:rsidP="00770F24">
      <w:pPr>
        <w:pStyle w:val="Caption"/>
        <w:keepNext/>
        <w:numPr>
          <w:ilvl w:val="0"/>
          <w:numId w:val="8"/>
        </w:numPr>
        <w:tabs>
          <w:tab w:val="left" w:pos="1134"/>
        </w:tabs>
        <w:ind w:left="0" w:firstLine="0"/>
        <w:jc w:val="left"/>
        <w:rPr>
          <w:rFonts w:ascii="GHEA Grapalat" w:hAnsi="GHEA Grapalat"/>
          <w:i/>
          <w:sz w:val="18"/>
          <w:szCs w:val="18"/>
          <w:lang w:val="hy-AM"/>
        </w:rPr>
      </w:pPr>
      <w:r w:rsidRPr="00B57DAB">
        <w:rPr>
          <w:rFonts w:ascii="GHEA Grapalat" w:hAnsi="GHEA Grapalat"/>
          <w:i/>
          <w:sz w:val="18"/>
          <w:szCs w:val="18"/>
          <w:lang w:val="hy-AM"/>
        </w:rPr>
        <w:t>ՀՀ պետական բյուջեից տրամադրված նպաստները և կենսաթոշակները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417"/>
        <w:gridCol w:w="1418"/>
        <w:gridCol w:w="1275"/>
        <w:gridCol w:w="1418"/>
        <w:gridCol w:w="1417"/>
      </w:tblGrid>
      <w:tr w:rsidR="00E02F0C" w:rsidRPr="00B57DAB" w:rsidTr="00E02F0C">
        <w:trPr>
          <w:trHeight w:val="1902"/>
        </w:trPr>
        <w:tc>
          <w:tcPr>
            <w:tcW w:w="3261"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rPr>
                <w:rFonts w:ascii="GHEA Grapalat" w:hAnsi="GHEA Grapalat" w:cs="Calibri"/>
                <w:sz w:val="18"/>
                <w:szCs w:val="18"/>
              </w:rPr>
            </w:pPr>
            <w:r w:rsidRPr="00B57DAB">
              <w:rPr>
                <w:rFonts w:ascii="Courier New" w:hAnsi="Courier New" w:cs="Courier New"/>
                <w:sz w:val="18"/>
                <w:szCs w:val="18"/>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E02F0C" w:rsidRPr="00B57DAB" w:rsidRDefault="00E02F0C" w:rsidP="00E02F0C">
            <w:pPr>
              <w:jc w:val="center"/>
              <w:rPr>
                <w:rFonts w:ascii="GHEA Grapalat" w:hAnsi="GHEA Grapalat" w:cs="Calibri"/>
                <w:b/>
                <w:bCs/>
                <w:sz w:val="18"/>
                <w:szCs w:val="18"/>
                <w:lang w:val="hy-AM"/>
              </w:rPr>
            </w:pPr>
            <w:r w:rsidRPr="00B57DAB">
              <w:rPr>
                <w:rFonts w:ascii="GHEA Grapalat" w:hAnsi="GHEA Grapalat" w:cs="Calibri"/>
                <w:b/>
                <w:bCs/>
                <w:color w:val="000000"/>
                <w:sz w:val="18"/>
                <w:szCs w:val="18"/>
              </w:rPr>
              <w:t>2021թ. հունվար-</w:t>
            </w:r>
            <w:r w:rsidR="004B7FB8" w:rsidRPr="00B57DAB">
              <w:rPr>
                <w:rFonts w:ascii="GHEA Grapalat" w:hAnsi="GHEA Grapalat" w:cs="Calibri"/>
                <w:b/>
                <w:bCs/>
                <w:color w:val="000000"/>
                <w:sz w:val="18"/>
                <w:szCs w:val="18"/>
              </w:rPr>
              <w:t xml:space="preserve"> </w:t>
            </w:r>
            <w:r w:rsidRPr="00B57DAB">
              <w:rPr>
                <w:rFonts w:ascii="GHEA Grapalat" w:hAnsi="GHEA Grapalat" w:cs="Calibri"/>
                <w:b/>
                <w:bCs/>
                <w:color w:val="000000"/>
                <w:sz w:val="18"/>
                <w:szCs w:val="18"/>
              </w:rPr>
              <w:t>մարտ ամիսների փաստ</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E02F0C" w:rsidRPr="00B57DAB" w:rsidRDefault="00E02F0C" w:rsidP="00E02F0C">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w:t>
            </w:r>
          </w:p>
          <w:p w:rsidR="00E02F0C" w:rsidRPr="00B57DAB" w:rsidRDefault="00E02F0C" w:rsidP="00E02F0C">
            <w:pPr>
              <w:jc w:val="center"/>
              <w:rPr>
                <w:rFonts w:ascii="GHEA Grapalat" w:hAnsi="GHEA Grapalat" w:cs="Calibri"/>
                <w:b/>
                <w:bCs/>
                <w:sz w:val="18"/>
                <w:szCs w:val="18"/>
                <w:lang w:val="hy-AM"/>
              </w:rPr>
            </w:pPr>
            <w:r w:rsidRPr="00B57DAB">
              <w:rPr>
                <w:rFonts w:ascii="GHEA Grapalat" w:hAnsi="GHEA Grapalat" w:cs="Calibri"/>
                <w:b/>
                <w:bCs/>
                <w:sz w:val="18"/>
                <w:szCs w:val="18"/>
              </w:rPr>
              <w:t>ճշտված պլան</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E02F0C" w:rsidRPr="00B57DAB" w:rsidRDefault="00E02F0C" w:rsidP="00E02F0C">
            <w:pPr>
              <w:jc w:val="center"/>
              <w:rPr>
                <w:rFonts w:ascii="GHEA Grapalat" w:hAnsi="GHEA Grapalat" w:cs="Calibri"/>
                <w:b/>
                <w:bCs/>
                <w:sz w:val="18"/>
                <w:szCs w:val="18"/>
                <w:lang w:val="hy-AM"/>
              </w:rPr>
            </w:pPr>
            <w:r w:rsidRPr="00B57DAB">
              <w:rPr>
                <w:rFonts w:ascii="GHEA Grapalat" w:hAnsi="GHEA Grapalat" w:cs="Calibri"/>
                <w:b/>
                <w:bCs/>
                <w:color w:val="000000"/>
                <w:sz w:val="18"/>
                <w:szCs w:val="18"/>
              </w:rPr>
              <w:t>2022թ. հունվար- մարտ ամիսների փաստ</w:t>
            </w:r>
            <w:r w:rsidRPr="00B57DAB">
              <w:rPr>
                <w:rFonts w:ascii="GHEA Grapalat" w:hAnsi="GHEA Grapalat" w:cs="Calibri"/>
                <w:b/>
                <w:bCs/>
                <w:sz w:val="18"/>
                <w:szCs w:val="18"/>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E02F0C" w:rsidRPr="00B57DAB" w:rsidRDefault="00E02F0C" w:rsidP="00E02F0C">
            <w:pPr>
              <w:jc w:val="center"/>
              <w:rPr>
                <w:rFonts w:ascii="GHEA Grapalat" w:hAnsi="GHEA Grapalat" w:cs="Calibri"/>
                <w:b/>
                <w:bCs/>
                <w:sz w:val="18"/>
                <w:szCs w:val="18"/>
              </w:rPr>
            </w:pPr>
            <w:r w:rsidRPr="00B57DAB">
              <w:rPr>
                <w:rFonts w:ascii="GHEA Grapalat" w:hAnsi="GHEA Grapalat" w:cs="Calibri"/>
                <w:b/>
                <w:bCs/>
                <w:sz w:val="18"/>
                <w:szCs w:val="18"/>
              </w:rPr>
              <w:t>Կատարո-ղականն առաջին եռամսյակի ճշտված պլանի նկատմամբ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E02F0C" w:rsidRPr="00B57DAB" w:rsidRDefault="00E02F0C" w:rsidP="00E02F0C">
            <w:pPr>
              <w:jc w:val="center"/>
              <w:rPr>
                <w:rFonts w:ascii="GHEA Grapalat" w:hAnsi="GHEA Grapalat" w:cs="Calibri"/>
                <w:b/>
                <w:bCs/>
                <w:sz w:val="18"/>
                <w:szCs w:val="18"/>
              </w:rPr>
            </w:pPr>
            <w:r w:rsidRPr="00B57DAB">
              <w:rPr>
                <w:rFonts w:ascii="GHEA Grapalat" w:hAnsi="GHEA Grapalat" w:cs="Calibri"/>
                <w:b/>
                <w:bCs/>
                <w:sz w:val="18"/>
                <w:szCs w:val="18"/>
              </w:rPr>
              <w:t>2022թ.</w:t>
            </w:r>
            <w:r w:rsidRPr="00B57DAB">
              <w:rPr>
                <w:rFonts w:ascii="GHEA Grapalat" w:hAnsi="GHEA Grapalat" w:cs="Calibri"/>
                <w:b/>
                <w:bCs/>
                <w:color w:val="000000"/>
                <w:sz w:val="18"/>
                <w:szCs w:val="18"/>
              </w:rPr>
              <w:t xml:space="preserve"> hունվար-</w:t>
            </w:r>
            <w:r w:rsidR="004B7FB8" w:rsidRPr="00B57DAB">
              <w:rPr>
                <w:rFonts w:ascii="GHEA Grapalat" w:hAnsi="GHEA Grapalat" w:cs="Calibri"/>
                <w:b/>
                <w:bCs/>
                <w:color w:val="000000"/>
                <w:sz w:val="18"/>
                <w:szCs w:val="18"/>
              </w:rPr>
              <w:t xml:space="preserve"> </w:t>
            </w:r>
            <w:r w:rsidRPr="00B57DAB">
              <w:rPr>
                <w:rFonts w:ascii="GHEA Grapalat" w:hAnsi="GHEA Grapalat" w:cs="Calibri"/>
                <w:b/>
                <w:bCs/>
                <w:color w:val="000000"/>
                <w:sz w:val="18"/>
                <w:szCs w:val="18"/>
              </w:rPr>
              <w:t xml:space="preserve">մարտը </w:t>
            </w:r>
            <w:r w:rsidRPr="00B57DAB">
              <w:rPr>
                <w:rFonts w:ascii="GHEA Grapalat" w:hAnsi="GHEA Grapalat" w:cs="Calibri"/>
                <w:b/>
                <w:bCs/>
                <w:sz w:val="18"/>
                <w:szCs w:val="18"/>
              </w:rPr>
              <w:t xml:space="preserve">2021թ. </w:t>
            </w:r>
            <w:proofErr w:type="gramStart"/>
            <w:r w:rsidRPr="00B57DAB">
              <w:rPr>
                <w:rFonts w:ascii="GHEA Grapalat" w:hAnsi="GHEA Grapalat" w:cs="Calibri"/>
                <w:b/>
                <w:bCs/>
                <w:sz w:val="18"/>
                <w:szCs w:val="18"/>
              </w:rPr>
              <w:t>հ</w:t>
            </w:r>
            <w:r w:rsidRPr="00B57DAB">
              <w:rPr>
                <w:rFonts w:ascii="GHEA Grapalat" w:hAnsi="GHEA Grapalat" w:cs="Calibri"/>
                <w:b/>
                <w:bCs/>
                <w:color w:val="000000"/>
                <w:sz w:val="18"/>
                <w:szCs w:val="18"/>
              </w:rPr>
              <w:t>ունվար-</w:t>
            </w:r>
            <w:proofErr w:type="gramEnd"/>
            <w:r w:rsidR="004B7FB8" w:rsidRPr="00B57DAB">
              <w:rPr>
                <w:rFonts w:ascii="GHEA Grapalat" w:hAnsi="GHEA Grapalat" w:cs="Calibri"/>
                <w:b/>
                <w:bCs/>
                <w:sz w:val="18"/>
                <w:szCs w:val="18"/>
              </w:rPr>
              <w:t xml:space="preserve"> </w:t>
            </w:r>
            <w:r w:rsidRPr="00B57DAB">
              <w:rPr>
                <w:rFonts w:ascii="GHEA Grapalat" w:hAnsi="GHEA Grapalat" w:cs="Calibri"/>
                <w:b/>
                <w:bCs/>
                <w:color w:val="000000"/>
                <w:sz w:val="18"/>
                <w:szCs w:val="18"/>
              </w:rPr>
              <w:t>մարտի</w:t>
            </w:r>
            <w:r w:rsidRPr="00B57DAB">
              <w:rPr>
                <w:rFonts w:ascii="GHEA Grapalat" w:hAnsi="GHEA Grapalat" w:cs="Calibri"/>
                <w:b/>
                <w:bCs/>
                <w:sz w:val="18"/>
                <w:szCs w:val="18"/>
              </w:rPr>
              <w:t xml:space="preserve"> նկատմամբ (%)</w:t>
            </w:r>
          </w:p>
        </w:tc>
      </w:tr>
      <w:tr w:rsidR="00E02F0C" w:rsidRPr="00B57DAB" w:rsidTr="00E02F0C">
        <w:trPr>
          <w:trHeight w:val="396"/>
        </w:trPr>
        <w:tc>
          <w:tcPr>
            <w:tcW w:w="3261"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rPr>
                <w:rFonts w:ascii="Courier New" w:hAnsi="Courier New" w:cs="Courier New"/>
                <w:sz w:val="18"/>
                <w:szCs w:val="18"/>
              </w:rPr>
            </w:pPr>
            <w:r w:rsidRPr="00B57DAB">
              <w:rPr>
                <w:rFonts w:ascii="GHEA Grapalat" w:hAnsi="GHEA Grapalat" w:cs="Calibri"/>
                <w:b/>
                <w:sz w:val="18"/>
                <w:szCs w:val="18"/>
              </w:rPr>
              <w:t>Սոցիալական նպաստներ և կենսաթոշակներ</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02F0C" w:rsidRPr="00B57DAB" w:rsidRDefault="00E02F0C" w:rsidP="00E02F0C">
            <w:pPr>
              <w:jc w:val="right"/>
              <w:rPr>
                <w:rFonts w:ascii="GHEA Grapalat" w:hAnsi="GHEA Grapalat" w:cs="Calibri"/>
                <w:b/>
                <w:bCs/>
                <w:sz w:val="18"/>
                <w:szCs w:val="18"/>
              </w:rPr>
            </w:pPr>
            <w:r w:rsidRPr="00B57DAB">
              <w:rPr>
                <w:rFonts w:ascii="GHEA Grapalat" w:hAnsi="GHEA Grapalat" w:cs="Calibri"/>
                <w:b/>
                <w:sz w:val="18"/>
                <w:szCs w:val="18"/>
              </w:rPr>
              <w:t xml:space="preserve">147.3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02F0C" w:rsidRPr="00B57DAB" w:rsidRDefault="00E02F0C" w:rsidP="00E02F0C">
            <w:pPr>
              <w:jc w:val="right"/>
              <w:rPr>
                <w:rFonts w:ascii="GHEA Grapalat" w:hAnsi="GHEA Grapalat" w:cs="Calibri"/>
                <w:b/>
                <w:bCs/>
                <w:sz w:val="18"/>
                <w:szCs w:val="18"/>
              </w:rPr>
            </w:pPr>
            <w:r w:rsidRPr="00B57DAB">
              <w:rPr>
                <w:rFonts w:ascii="GHEA Grapalat" w:hAnsi="GHEA Grapalat" w:cs="Calibri"/>
                <w:b/>
                <w:sz w:val="18"/>
                <w:szCs w:val="18"/>
              </w:rPr>
              <w:t xml:space="preserve">154.9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02F0C" w:rsidRPr="00B57DAB" w:rsidRDefault="00E02F0C" w:rsidP="00E02F0C">
            <w:pPr>
              <w:jc w:val="right"/>
              <w:rPr>
                <w:rFonts w:ascii="GHEA Grapalat" w:hAnsi="GHEA Grapalat" w:cs="Calibri"/>
                <w:b/>
                <w:bCs/>
                <w:sz w:val="18"/>
                <w:szCs w:val="18"/>
              </w:rPr>
            </w:pPr>
            <w:r w:rsidRPr="00B57DAB">
              <w:rPr>
                <w:rFonts w:ascii="GHEA Grapalat" w:hAnsi="GHEA Grapalat" w:cs="Calibri"/>
                <w:b/>
                <w:bCs/>
                <w:sz w:val="18"/>
                <w:szCs w:val="18"/>
              </w:rPr>
              <w:t>141.1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02F0C" w:rsidRPr="00B57DAB" w:rsidRDefault="00E02F0C" w:rsidP="00E02F0C">
            <w:pPr>
              <w:jc w:val="right"/>
              <w:rPr>
                <w:rFonts w:ascii="GHEA Grapalat" w:hAnsi="GHEA Grapalat" w:cs="Calibri"/>
                <w:b/>
                <w:bCs/>
                <w:sz w:val="18"/>
                <w:szCs w:val="18"/>
              </w:rPr>
            </w:pPr>
            <w:r w:rsidRPr="00B57DAB">
              <w:rPr>
                <w:rFonts w:ascii="GHEA Grapalat" w:hAnsi="GHEA Grapalat" w:cs="Calibri"/>
                <w:b/>
                <w:bCs/>
                <w:sz w:val="18"/>
                <w:szCs w:val="18"/>
              </w:rPr>
              <w:t>91.1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02F0C" w:rsidRPr="00B57DAB" w:rsidRDefault="00E02F0C" w:rsidP="00E02F0C">
            <w:pPr>
              <w:jc w:val="right"/>
              <w:rPr>
                <w:rFonts w:ascii="GHEA Grapalat" w:hAnsi="GHEA Grapalat" w:cs="Calibri"/>
                <w:b/>
                <w:bCs/>
                <w:sz w:val="18"/>
                <w:szCs w:val="18"/>
              </w:rPr>
            </w:pPr>
            <w:r w:rsidRPr="00B57DAB">
              <w:rPr>
                <w:rFonts w:ascii="GHEA Grapalat" w:hAnsi="GHEA Grapalat" w:cs="Calibri"/>
                <w:b/>
                <w:bCs/>
                <w:sz w:val="18"/>
                <w:szCs w:val="18"/>
              </w:rPr>
              <w:t>95.7</w:t>
            </w:r>
          </w:p>
        </w:tc>
      </w:tr>
      <w:tr w:rsidR="00E02F0C" w:rsidRPr="00B57DAB" w:rsidTr="00E02F0C">
        <w:trPr>
          <w:trHeight w:val="261"/>
        </w:trPr>
        <w:tc>
          <w:tcPr>
            <w:tcW w:w="3261"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rPr>
                <w:rFonts w:ascii="Courier New" w:hAnsi="Courier New" w:cs="Courier New"/>
                <w:sz w:val="18"/>
                <w:szCs w:val="18"/>
              </w:rPr>
            </w:pPr>
            <w:r w:rsidRPr="00B57DAB">
              <w:rPr>
                <w:rFonts w:ascii="GHEA Grapalat" w:hAnsi="GHEA Grapalat" w:cs="Calibri"/>
                <w:sz w:val="18"/>
                <w:szCs w:val="18"/>
              </w:rPr>
              <w:t>Նպաստներ</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02F0C" w:rsidRPr="00B57DAB" w:rsidRDefault="00E02F0C" w:rsidP="00E02F0C">
            <w:pPr>
              <w:jc w:val="right"/>
              <w:rPr>
                <w:rFonts w:ascii="GHEA Grapalat" w:hAnsi="GHEA Grapalat" w:cs="Calibri"/>
                <w:b/>
                <w:bCs/>
                <w:sz w:val="18"/>
                <w:szCs w:val="18"/>
              </w:rPr>
            </w:pPr>
            <w:r w:rsidRPr="00B57DAB">
              <w:rPr>
                <w:rFonts w:ascii="GHEA Grapalat" w:hAnsi="GHEA Grapalat" w:cs="Calibri"/>
                <w:sz w:val="18"/>
                <w:szCs w:val="18"/>
              </w:rPr>
              <w:t xml:space="preserve">58.1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02F0C" w:rsidRPr="00B57DAB" w:rsidRDefault="00E02F0C" w:rsidP="00E02F0C">
            <w:pPr>
              <w:jc w:val="right"/>
              <w:rPr>
                <w:rFonts w:ascii="GHEA Grapalat" w:hAnsi="GHEA Grapalat" w:cs="Calibri"/>
                <w:bCs/>
                <w:sz w:val="18"/>
                <w:szCs w:val="18"/>
              </w:rPr>
            </w:pPr>
            <w:r w:rsidRPr="00B57DAB">
              <w:rPr>
                <w:rFonts w:ascii="GHEA Grapalat" w:hAnsi="GHEA Grapalat" w:cs="Calibri"/>
                <w:bCs/>
                <w:sz w:val="18"/>
                <w:szCs w:val="18"/>
              </w:rPr>
              <w:t>47.1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02F0C" w:rsidRPr="00B57DAB" w:rsidRDefault="00E02F0C" w:rsidP="00E02F0C">
            <w:pPr>
              <w:jc w:val="right"/>
              <w:rPr>
                <w:rFonts w:ascii="GHEA Grapalat" w:hAnsi="GHEA Grapalat" w:cs="Calibri"/>
                <w:bCs/>
                <w:sz w:val="18"/>
                <w:szCs w:val="18"/>
              </w:rPr>
            </w:pPr>
            <w:r w:rsidRPr="00B57DAB">
              <w:rPr>
                <w:rFonts w:ascii="GHEA Grapalat" w:hAnsi="GHEA Grapalat" w:cs="Calibri"/>
                <w:bCs/>
                <w:sz w:val="18"/>
                <w:szCs w:val="18"/>
              </w:rPr>
              <w:t>43.6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02F0C" w:rsidRPr="00B57DAB" w:rsidRDefault="00E02F0C" w:rsidP="00E02F0C">
            <w:pPr>
              <w:jc w:val="right"/>
              <w:rPr>
                <w:rFonts w:ascii="GHEA Grapalat" w:hAnsi="GHEA Grapalat" w:cs="Calibri"/>
                <w:b/>
                <w:bCs/>
                <w:sz w:val="18"/>
                <w:szCs w:val="18"/>
              </w:rPr>
            </w:pPr>
            <w:r w:rsidRPr="00B57DAB">
              <w:rPr>
                <w:rFonts w:ascii="GHEA Grapalat" w:hAnsi="GHEA Grapalat" w:cs="Calibri"/>
                <w:sz w:val="18"/>
                <w:szCs w:val="18"/>
              </w:rPr>
              <w:t>92.5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02F0C" w:rsidRPr="00B57DAB" w:rsidRDefault="00E02F0C" w:rsidP="00E02F0C">
            <w:pPr>
              <w:jc w:val="right"/>
              <w:rPr>
                <w:rFonts w:ascii="GHEA Grapalat" w:hAnsi="GHEA Grapalat" w:cs="Calibri"/>
                <w:b/>
                <w:bCs/>
                <w:sz w:val="18"/>
                <w:szCs w:val="18"/>
              </w:rPr>
            </w:pPr>
            <w:r w:rsidRPr="00B57DAB">
              <w:rPr>
                <w:rFonts w:ascii="GHEA Grapalat" w:hAnsi="GHEA Grapalat" w:cs="Calibri"/>
                <w:color w:val="000000"/>
                <w:sz w:val="18"/>
                <w:szCs w:val="18"/>
              </w:rPr>
              <w:t>75.1</w:t>
            </w:r>
          </w:p>
        </w:tc>
      </w:tr>
      <w:tr w:rsidR="00E02F0C" w:rsidRPr="00B57DAB" w:rsidTr="00E02F0C">
        <w:trPr>
          <w:trHeight w:val="256"/>
        </w:trPr>
        <w:tc>
          <w:tcPr>
            <w:tcW w:w="3261"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rPr>
                <w:rFonts w:ascii="Courier New" w:hAnsi="Courier New" w:cs="Courier New"/>
                <w:sz w:val="18"/>
                <w:szCs w:val="18"/>
              </w:rPr>
            </w:pPr>
            <w:r w:rsidRPr="00B57DAB">
              <w:rPr>
                <w:rFonts w:ascii="GHEA Grapalat" w:hAnsi="GHEA Grapalat" w:cs="Calibri"/>
                <w:sz w:val="18"/>
                <w:szCs w:val="18"/>
              </w:rPr>
              <w:t>Կենսաթոշակներ</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02F0C" w:rsidRPr="00B57DAB" w:rsidRDefault="00E02F0C" w:rsidP="00E02F0C">
            <w:pPr>
              <w:jc w:val="right"/>
              <w:rPr>
                <w:rFonts w:ascii="GHEA Grapalat" w:hAnsi="GHEA Grapalat" w:cs="Calibri"/>
                <w:bCs/>
                <w:sz w:val="18"/>
                <w:szCs w:val="18"/>
              </w:rPr>
            </w:pPr>
            <w:r w:rsidRPr="00B57DAB">
              <w:rPr>
                <w:rFonts w:ascii="GHEA Grapalat" w:hAnsi="GHEA Grapalat" w:cs="Calibri"/>
                <w:bCs/>
                <w:sz w:val="18"/>
                <w:szCs w:val="18"/>
              </w:rPr>
              <w:t>89.3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02F0C" w:rsidRPr="00B57DAB" w:rsidRDefault="00E02F0C" w:rsidP="00E02F0C">
            <w:pPr>
              <w:jc w:val="right"/>
              <w:rPr>
                <w:rFonts w:ascii="GHEA Grapalat" w:hAnsi="GHEA Grapalat" w:cs="Calibri"/>
                <w:b/>
                <w:bCs/>
                <w:sz w:val="18"/>
                <w:szCs w:val="18"/>
              </w:rPr>
            </w:pPr>
            <w:r w:rsidRPr="00B57DAB">
              <w:rPr>
                <w:rFonts w:ascii="GHEA Grapalat" w:hAnsi="GHEA Grapalat" w:cs="Calibri"/>
                <w:sz w:val="18"/>
                <w:szCs w:val="18"/>
              </w:rPr>
              <w:t>107.8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02F0C" w:rsidRPr="00B57DAB" w:rsidRDefault="00E02F0C" w:rsidP="00E02F0C">
            <w:pPr>
              <w:jc w:val="right"/>
              <w:rPr>
                <w:rFonts w:ascii="GHEA Grapalat" w:hAnsi="GHEA Grapalat" w:cs="Calibri"/>
                <w:bCs/>
                <w:sz w:val="18"/>
                <w:szCs w:val="18"/>
              </w:rPr>
            </w:pPr>
            <w:r w:rsidRPr="00B57DAB">
              <w:rPr>
                <w:rFonts w:ascii="GHEA Grapalat" w:hAnsi="GHEA Grapalat" w:cs="Calibri"/>
                <w:bCs/>
                <w:sz w:val="18"/>
                <w:szCs w:val="18"/>
              </w:rPr>
              <w:t>97.5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02F0C" w:rsidRPr="00B57DAB" w:rsidRDefault="00E02F0C" w:rsidP="00E02F0C">
            <w:pPr>
              <w:jc w:val="right"/>
              <w:rPr>
                <w:rFonts w:ascii="GHEA Grapalat" w:hAnsi="GHEA Grapalat" w:cs="Calibri"/>
                <w:b/>
                <w:bCs/>
                <w:sz w:val="18"/>
                <w:szCs w:val="18"/>
              </w:rPr>
            </w:pPr>
            <w:r w:rsidRPr="00B57DAB">
              <w:rPr>
                <w:rFonts w:ascii="GHEA Grapalat" w:hAnsi="GHEA Grapalat" w:cs="Calibri"/>
                <w:sz w:val="18"/>
                <w:szCs w:val="18"/>
              </w:rPr>
              <w:t>90.4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02F0C" w:rsidRPr="00B57DAB" w:rsidRDefault="00E02F0C" w:rsidP="00E02F0C">
            <w:pPr>
              <w:jc w:val="right"/>
              <w:rPr>
                <w:rFonts w:ascii="GHEA Grapalat" w:hAnsi="GHEA Grapalat" w:cs="Calibri"/>
                <w:b/>
                <w:bCs/>
                <w:sz w:val="18"/>
                <w:szCs w:val="18"/>
              </w:rPr>
            </w:pPr>
            <w:r w:rsidRPr="00B57DAB">
              <w:rPr>
                <w:rFonts w:ascii="GHEA Grapalat" w:hAnsi="GHEA Grapalat" w:cs="Calibri"/>
                <w:color w:val="000000"/>
                <w:sz w:val="18"/>
                <w:szCs w:val="18"/>
              </w:rPr>
              <w:t>109.2</w:t>
            </w:r>
          </w:p>
        </w:tc>
      </w:tr>
    </w:tbl>
    <w:p w:rsidR="00E02F0C" w:rsidRPr="00B57DAB" w:rsidRDefault="00E02F0C" w:rsidP="00E02F0C">
      <w:pPr>
        <w:spacing w:line="360" w:lineRule="auto"/>
        <w:ind w:firstLine="567"/>
        <w:jc w:val="both"/>
        <w:rPr>
          <w:rFonts w:ascii="GHEA Grapalat" w:hAnsi="GHEA Grapalat" w:cs="GHEA Grapalat"/>
          <w:sz w:val="22"/>
          <w:szCs w:val="22"/>
        </w:rPr>
      </w:pPr>
    </w:p>
    <w:p w:rsidR="003062CD" w:rsidRPr="00B57DAB" w:rsidRDefault="00E02F0C" w:rsidP="006C7C27">
      <w:pPr>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 xml:space="preserve">Ոչ ֆինանսական ակտիվների գծով ծախսերի (կապիտալ ծախսերի) </w:t>
      </w:r>
      <w:r w:rsidR="00EB161E" w:rsidRPr="00B57DAB">
        <w:rPr>
          <w:rFonts w:ascii="GHEA Grapalat" w:hAnsi="GHEA Grapalat" w:cs="GHEA Grapalat"/>
          <w:sz w:val="22"/>
          <w:szCs w:val="22"/>
        </w:rPr>
        <w:t>ծրագրից 30 մլրդ դրամ (44.7%) շեղումը</w:t>
      </w:r>
      <w:r w:rsidRPr="00B57DAB">
        <w:rPr>
          <w:rFonts w:ascii="GHEA Grapalat" w:hAnsi="GHEA Grapalat" w:cs="GHEA Grapalat"/>
          <w:sz w:val="22"/>
          <w:szCs w:val="22"/>
        </w:rPr>
        <w:t xml:space="preserve"> հիմնականում պայմանավորված է «Ճանապարհային ցանցի բարելավում»</w:t>
      </w:r>
      <w:r w:rsidR="00EB161E" w:rsidRPr="00B57DAB">
        <w:rPr>
          <w:rFonts w:ascii="GHEA Grapalat" w:hAnsi="GHEA Grapalat" w:cs="GHEA Grapalat"/>
          <w:sz w:val="22"/>
          <w:szCs w:val="22"/>
        </w:rPr>
        <w:t xml:space="preserve"> (6.3 մլրդ դրամ)</w:t>
      </w:r>
      <w:r w:rsidRPr="00B57DAB">
        <w:rPr>
          <w:rFonts w:ascii="GHEA Grapalat" w:hAnsi="GHEA Grapalat" w:cs="GHEA Grapalat"/>
          <w:sz w:val="22"/>
          <w:szCs w:val="22"/>
        </w:rPr>
        <w:t>, «Քաղաքային զարգացում»</w:t>
      </w:r>
      <w:r w:rsidR="00EB161E" w:rsidRPr="00B57DAB">
        <w:rPr>
          <w:rFonts w:ascii="GHEA Grapalat" w:hAnsi="GHEA Grapalat" w:cs="GHEA Grapalat"/>
          <w:sz w:val="22"/>
          <w:szCs w:val="22"/>
        </w:rPr>
        <w:t xml:space="preserve"> (5.9 մլրդ դրամ)</w:t>
      </w:r>
      <w:r w:rsidRPr="00B57DAB">
        <w:rPr>
          <w:rFonts w:ascii="GHEA Grapalat" w:hAnsi="GHEA Grapalat" w:cs="GHEA Grapalat"/>
          <w:sz w:val="22"/>
          <w:szCs w:val="22"/>
        </w:rPr>
        <w:t>, «Ոստիկանության ոլորտի քաղաքականության մշակում, կառավարում, կենտրոնացված միջոցառումներ, մոնիտորինգ և վերահսկողություն»</w:t>
      </w:r>
      <w:r w:rsidR="00EB161E" w:rsidRPr="00B57DAB">
        <w:rPr>
          <w:rFonts w:ascii="GHEA Grapalat" w:hAnsi="GHEA Grapalat" w:cs="GHEA Grapalat"/>
          <w:sz w:val="22"/>
          <w:szCs w:val="22"/>
        </w:rPr>
        <w:t xml:space="preserve"> (3.1</w:t>
      </w:r>
      <w:r w:rsidR="00EB161E" w:rsidRPr="00B57DAB">
        <w:rPr>
          <w:rFonts w:ascii="Courier New" w:hAnsi="Courier New" w:cs="Courier New"/>
          <w:sz w:val="22"/>
          <w:szCs w:val="22"/>
        </w:rPr>
        <w:t> </w:t>
      </w:r>
      <w:r w:rsidR="00EB161E" w:rsidRPr="00B57DAB">
        <w:rPr>
          <w:rFonts w:ascii="GHEA Grapalat" w:hAnsi="GHEA Grapalat" w:cs="GHEA Grapalat"/>
          <w:sz w:val="22"/>
          <w:szCs w:val="22"/>
        </w:rPr>
        <w:t>մլրդ դրամ)</w:t>
      </w:r>
      <w:r w:rsidRPr="00B57DAB">
        <w:rPr>
          <w:rFonts w:ascii="GHEA Grapalat" w:hAnsi="GHEA Grapalat" w:cs="GHEA Grapalat"/>
          <w:sz w:val="22"/>
          <w:szCs w:val="22"/>
        </w:rPr>
        <w:t xml:space="preserve"> և «ՀՀ պաշտպանության ապահովում»</w:t>
      </w:r>
      <w:r w:rsidR="00EB161E" w:rsidRPr="00B57DAB">
        <w:rPr>
          <w:rFonts w:ascii="GHEA Grapalat" w:hAnsi="GHEA Grapalat" w:cs="GHEA Grapalat"/>
          <w:sz w:val="22"/>
          <w:szCs w:val="22"/>
        </w:rPr>
        <w:t xml:space="preserve"> (2.5 մլրդ դրամ)</w:t>
      </w:r>
      <w:r w:rsidRPr="00B57DAB">
        <w:rPr>
          <w:rFonts w:ascii="GHEA Grapalat" w:hAnsi="GHEA Grapalat" w:cs="GHEA Grapalat"/>
          <w:sz w:val="22"/>
          <w:szCs w:val="22"/>
        </w:rPr>
        <w:t xml:space="preserve"> ծրագրերի</w:t>
      </w:r>
      <w:r w:rsidR="00EB161E" w:rsidRPr="00B57DAB">
        <w:rPr>
          <w:rFonts w:ascii="GHEA Grapalat" w:hAnsi="GHEA Grapalat" w:cs="GHEA Grapalat"/>
          <w:sz w:val="22"/>
          <w:szCs w:val="22"/>
        </w:rPr>
        <w:t xml:space="preserve"> շրջանակներում կատարված կապիտալ</w:t>
      </w:r>
      <w:r w:rsidRPr="00B57DAB">
        <w:rPr>
          <w:rFonts w:ascii="GHEA Grapalat" w:hAnsi="GHEA Grapalat" w:cs="GHEA Grapalat"/>
          <w:sz w:val="22"/>
          <w:szCs w:val="22"/>
        </w:rPr>
        <w:t xml:space="preserve"> </w:t>
      </w:r>
      <w:r w:rsidR="00EB161E" w:rsidRPr="00B57DAB">
        <w:rPr>
          <w:rFonts w:ascii="GHEA Grapalat" w:hAnsi="GHEA Grapalat" w:cs="GHEA Grapalat"/>
          <w:sz w:val="22"/>
          <w:szCs w:val="22"/>
        </w:rPr>
        <w:t>ծախսերի շեղումներով</w:t>
      </w:r>
      <w:r w:rsidRPr="00B57DAB">
        <w:rPr>
          <w:rFonts w:ascii="GHEA Grapalat" w:hAnsi="GHEA Grapalat" w:cs="GHEA Grapalat"/>
          <w:sz w:val="22"/>
          <w:szCs w:val="22"/>
        </w:rPr>
        <w:t>:</w:t>
      </w:r>
      <w:r w:rsidR="0079090C" w:rsidRPr="00B57DAB">
        <w:rPr>
          <w:rFonts w:ascii="GHEA Grapalat" w:hAnsi="GHEA Grapalat" w:cs="GHEA Grapalat"/>
          <w:sz w:val="22"/>
          <w:szCs w:val="22"/>
        </w:rPr>
        <w:t xml:space="preserve"> </w:t>
      </w:r>
    </w:p>
    <w:p w:rsidR="006C7C27" w:rsidRPr="00B57DAB" w:rsidRDefault="003062CD" w:rsidP="006C7C27">
      <w:pPr>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Կապիտալ ծախսերի</w:t>
      </w:r>
      <w:r w:rsidR="006C7C27" w:rsidRPr="00B57DAB">
        <w:rPr>
          <w:rFonts w:ascii="GHEA Grapalat" w:hAnsi="GHEA Grapalat" w:cs="GHEA Grapalat"/>
          <w:sz w:val="22"/>
          <w:szCs w:val="22"/>
        </w:rPr>
        <w:t xml:space="preserve"> </w:t>
      </w:r>
      <w:r w:rsidR="00162647" w:rsidRPr="00B57DAB">
        <w:rPr>
          <w:rFonts w:ascii="GHEA Grapalat" w:hAnsi="GHEA Grapalat" w:cs="GHEA Grapalat"/>
          <w:sz w:val="22"/>
          <w:szCs w:val="22"/>
        </w:rPr>
        <w:t>ցածր կատարողականը</w:t>
      </w:r>
      <w:r w:rsidR="006C7C27" w:rsidRPr="00B57DAB">
        <w:rPr>
          <w:rFonts w:ascii="GHEA Grapalat" w:hAnsi="GHEA Grapalat" w:cs="GHEA Grapalat"/>
          <w:sz w:val="22"/>
          <w:szCs w:val="22"/>
        </w:rPr>
        <w:t xml:space="preserve"> մեծ մասամբ արձանագրվել է արտաքին աջակցությամբ իրականացվող նպատակային ծրագրերում, որոնց շրջանակներում կատարվել են 6.8 մլրդ դրամի կապիտալ ծախսեր՝ կազմելով ծրագրված ցուցանիշի 27.8%-ը: Իսկ մյուս ծրագրերի շրջանակներում նախատեսված կապիտալ ծախսերը կատարվել են 71.1%-ով՝ կազմելով 30.4 մլրդ դրամ:</w:t>
      </w:r>
    </w:p>
    <w:p w:rsidR="00E02F0C" w:rsidRPr="00B57DAB" w:rsidRDefault="00E02F0C" w:rsidP="00E02F0C">
      <w:pPr>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 xml:space="preserve">Նախորդ տարվա նույն ժամանակահատվածի համեմատ ոչ ֆինանսական ակտիվների հետ գործառնությունների ցուցանիշի 14.4 մլրդ դրամով նվազումը պայմանավորված է </w:t>
      </w:r>
      <w:r w:rsidR="0079090C" w:rsidRPr="00B57DAB">
        <w:rPr>
          <w:rFonts w:ascii="GHEA Grapalat" w:hAnsi="GHEA Grapalat" w:cs="GHEA Grapalat"/>
          <w:sz w:val="22"/>
          <w:szCs w:val="22"/>
        </w:rPr>
        <w:t>կապիտալ</w:t>
      </w:r>
      <w:r w:rsidRPr="00B57DAB">
        <w:rPr>
          <w:rFonts w:ascii="GHEA Grapalat" w:hAnsi="GHEA Grapalat" w:cs="GHEA Grapalat"/>
          <w:sz w:val="22"/>
          <w:szCs w:val="22"/>
        </w:rPr>
        <w:t xml:space="preserve"> ծախսերի նվազմամբ: Վերջինս էլ հիմնականում պայմանավորված է ՀՀ պաշտպանության նախարարության շենքային պայմանների բարելավման միջոցառման շրջանակներում կատարված </w:t>
      </w:r>
      <w:r w:rsidRPr="00B57DAB">
        <w:rPr>
          <w:rFonts w:ascii="GHEA Grapalat" w:hAnsi="GHEA Grapalat" w:cs="GHEA Grapalat"/>
          <w:sz w:val="22"/>
          <w:szCs w:val="22"/>
        </w:rPr>
        <w:lastRenderedPageBreak/>
        <w:t>ծախսերի կրճատմամբ, որոնք կազմել են 27.4 մլրդ դրամ՝ նախ</w:t>
      </w:r>
      <w:r w:rsidR="009F324C" w:rsidRPr="00B57DAB">
        <w:rPr>
          <w:rFonts w:ascii="GHEA Grapalat" w:hAnsi="GHEA Grapalat" w:cs="GHEA Grapalat"/>
          <w:sz w:val="22"/>
          <w:szCs w:val="22"/>
        </w:rPr>
        <w:t>որդ տարվա առաջին եռամսյակի 41.5</w:t>
      </w:r>
      <w:r w:rsidR="009F324C" w:rsidRPr="00B57DAB">
        <w:rPr>
          <w:rFonts w:ascii="Courier New" w:hAnsi="Courier New" w:cs="Courier New"/>
          <w:sz w:val="22"/>
          <w:szCs w:val="22"/>
        </w:rPr>
        <w:t> </w:t>
      </w:r>
      <w:r w:rsidRPr="00B57DAB">
        <w:rPr>
          <w:rFonts w:ascii="GHEA Grapalat" w:hAnsi="GHEA Grapalat" w:cs="GHEA Grapalat"/>
          <w:sz w:val="22"/>
          <w:szCs w:val="22"/>
        </w:rPr>
        <w:t>մլրդ դրամի դիմաց:</w:t>
      </w:r>
    </w:p>
    <w:p w:rsidR="00E02F0C" w:rsidRPr="00B57DAB" w:rsidRDefault="00E02F0C" w:rsidP="00E02F0C">
      <w:pPr>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Ոչ ֆինանսական ակտիվների օտարումից հաշվետու ժամանակահատվածում ստացվել են 2.5 մլրդ դրամ մուտքեր՝ եռամսյակային ծրագրով նախատեսված 1 մլրդ դրամի և 2021 թվականի նույն ժամանակահատվածում ստացված 557.7 մլն դրամի դիմաց:</w:t>
      </w:r>
    </w:p>
    <w:p w:rsidR="00E02F0C" w:rsidRPr="00B57DAB" w:rsidRDefault="00E02F0C" w:rsidP="00E02F0C">
      <w:pPr>
        <w:spacing w:line="360" w:lineRule="auto"/>
        <w:ind w:firstLine="567"/>
        <w:jc w:val="both"/>
        <w:rPr>
          <w:rFonts w:ascii="GHEA Grapalat" w:hAnsi="GHEA Grapalat" w:cs="GHEA Grapalat"/>
          <w:sz w:val="22"/>
          <w:szCs w:val="22"/>
        </w:rPr>
      </w:pPr>
    </w:p>
    <w:p w:rsidR="00E02F0C" w:rsidRPr="00B57DAB" w:rsidRDefault="00E02F0C" w:rsidP="00770F24">
      <w:pPr>
        <w:pStyle w:val="Caption"/>
        <w:keepNext/>
        <w:numPr>
          <w:ilvl w:val="0"/>
          <w:numId w:val="8"/>
        </w:numPr>
        <w:tabs>
          <w:tab w:val="left" w:pos="1134"/>
        </w:tabs>
        <w:ind w:left="0" w:firstLine="0"/>
        <w:jc w:val="left"/>
        <w:rPr>
          <w:rFonts w:ascii="GHEA Grapalat" w:hAnsi="GHEA Grapalat"/>
          <w:i/>
          <w:sz w:val="18"/>
          <w:szCs w:val="18"/>
          <w:lang w:val="hy-AM"/>
        </w:rPr>
      </w:pPr>
      <w:r w:rsidRPr="00B57DAB">
        <w:rPr>
          <w:rFonts w:ascii="GHEA Grapalat" w:hAnsi="GHEA Grapalat"/>
          <w:i/>
          <w:sz w:val="18"/>
          <w:szCs w:val="18"/>
          <w:lang w:val="hy-AM"/>
        </w:rPr>
        <w:t>ՀՀ պետական բյուջեի ոչ ֆինանսական ակտիվների հետ գործառնությունները (մլրդ դրամ)</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276"/>
        <w:gridCol w:w="1418"/>
        <w:gridCol w:w="1275"/>
        <w:gridCol w:w="1418"/>
        <w:gridCol w:w="1423"/>
      </w:tblGrid>
      <w:tr w:rsidR="00E02F0C" w:rsidRPr="00B57DAB" w:rsidTr="00E02F0C">
        <w:trPr>
          <w:trHeight w:val="1965"/>
        </w:trPr>
        <w:tc>
          <w:tcPr>
            <w:tcW w:w="3510"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rPr>
                <w:rFonts w:ascii="GHEA Grapalat" w:hAnsi="GHEA Grapalat" w:cs="Calibri"/>
                <w:sz w:val="18"/>
                <w:szCs w:val="18"/>
                <w:lang w:val="hy-AM"/>
              </w:rPr>
            </w:pPr>
            <w:r w:rsidRPr="00B57DAB">
              <w:rPr>
                <w:rFonts w:ascii="Courier New" w:hAnsi="Courier New" w:cs="Courier New"/>
                <w:sz w:val="18"/>
                <w:szCs w:val="18"/>
                <w:lang w:val="hy-AM"/>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E02F0C" w:rsidRPr="00B57DAB" w:rsidRDefault="00E02F0C" w:rsidP="00E02F0C">
            <w:pPr>
              <w:jc w:val="center"/>
              <w:rPr>
                <w:rFonts w:ascii="GHEA Grapalat" w:hAnsi="GHEA Grapalat" w:cs="Calibri"/>
                <w:b/>
                <w:bCs/>
                <w:sz w:val="18"/>
                <w:szCs w:val="18"/>
                <w:lang w:val="hy-AM"/>
              </w:rPr>
            </w:pPr>
            <w:r w:rsidRPr="00B57DAB">
              <w:rPr>
                <w:rFonts w:ascii="GHEA Grapalat" w:hAnsi="GHEA Grapalat" w:cs="Calibri"/>
                <w:b/>
                <w:bCs/>
                <w:color w:val="000000"/>
                <w:sz w:val="18"/>
                <w:szCs w:val="18"/>
              </w:rPr>
              <w:t>2021թ. հունվար-</w:t>
            </w:r>
            <w:r w:rsidR="004B7FB8" w:rsidRPr="00B57DAB">
              <w:rPr>
                <w:rFonts w:ascii="GHEA Grapalat" w:hAnsi="GHEA Grapalat" w:cs="Calibri"/>
                <w:b/>
                <w:bCs/>
                <w:color w:val="000000"/>
                <w:sz w:val="18"/>
                <w:szCs w:val="18"/>
              </w:rPr>
              <w:t xml:space="preserve"> </w:t>
            </w:r>
            <w:r w:rsidRPr="00B57DAB">
              <w:rPr>
                <w:rFonts w:ascii="GHEA Grapalat" w:hAnsi="GHEA Grapalat" w:cs="Calibri"/>
                <w:b/>
                <w:bCs/>
                <w:color w:val="000000"/>
                <w:sz w:val="18"/>
                <w:szCs w:val="18"/>
              </w:rPr>
              <w:t>մարտ ամիսների փաստ</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02F0C" w:rsidRPr="00B57DAB" w:rsidRDefault="00E02F0C" w:rsidP="00E02F0C">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w:t>
            </w:r>
          </w:p>
          <w:p w:rsidR="00E02F0C" w:rsidRPr="00B57DAB" w:rsidRDefault="00E02F0C" w:rsidP="00E02F0C">
            <w:pPr>
              <w:jc w:val="center"/>
              <w:rPr>
                <w:rFonts w:ascii="GHEA Grapalat" w:hAnsi="GHEA Grapalat" w:cs="Calibri"/>
                <w:b/>
                <w:bCs/>
                <w:sz w:val="18"/>
                <w:szCs w:val="18"/>
                <w:lang w:val="hy-AM"/>
              </w:rPr>
            </w:pPr>
            <w:r w:rsidRPr="00B57DAB">
              <w:rPr>
                <w:rFonts w:ascii="GHEA Grapalat" w:hAnsi="GHEA Grapalat" w:cs="Calibri"/>
                <w:b/>
                <w:bCs/>
                <w:sz w:val="18"/>
                <w:szCs w:val="18"/>
              </w:rPr>
              <w:t>ճշտված պլան</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E02F0C" w:rsidRPr="00B57DAB" w:rsidRDefault="00E02F0C" w:rsidP="00E02F0C">
            <w:pPr>
              <w:jc w:val="center"/>
              <w:rPr>
                <w:rFonts w:ascii="GHEA Grapalat" w:hAnsi="GHEA Grapalat" w:cs="Calibri"/>
                <w:b/>
                <w:bCs/>
                <w:sz w:val="18"/>
                <w:szCs w:val="18"/>
                <w:lang w:val="hy-AM"/>
              </w:rPr>
            </w:pPr>
            <w:r w:rsidRPr="00B57DAB">
              <w:rPr>
                <w:rFonts w:ascii="GHEA Grapalat" w:hAnsi="GHEA Grapalat" w:cs="Calibri"/>
                <w:b/>
                <w:bCs/>
                <w:color w:val="000000"/>
                <w:sz w:val="18"/>
                <w:szCs w:val="18"/>
              </w:rPr>
              <w:t>2022թ. հունվար- մարտ ամիսների փաստ</w:t>
            </w:r>
            <w:r w:rsidRPr="00B57DAB">
              <w:rPr>
                <w:rFonts w:ascii="GHEA Grapalat" w:hAnsi="GHEA Grapalat" w:cs="Calibri"/>
                <w:b/>
                <w:bCs/>
                <w:sz w:val="18"/>
                <w:szCs w:val="18"/>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E02F0C" w:rsidRPr="00B57DAB" w:rsidRDefault="00E02F0C" w:rsidP="00E02F0C">
            <w:pPr>
              <w:jc w:val="center"/>
              <w:rPr>
                <w:rFonts w:ascii="GHEA Grapalat" w:hAnsi="GHEA Grapalat" w:cs="Calibri"/>
                <w:b/>
                <w:bCs/>
                <w:sz w:val="18"/>
                <w:szCs w:val="18"/>
              </w:rPr>
            </w:pPr>
            <w:r w:rsidRPr="00B57DAB">
              <w:rPr>
                <w:rFonts w:ascii="GHEA Grapalat" w:hAnsi="GHEA Grapalat" w:cs="Calibri"/>
                <w:b/>
                <w:bCs/>
                <w:sz w:val="18"/>
                <w:szCs w:val="18"/>
              </w:rPr>
              <w:t>Կատարո-ղականն առաջին եռամսյակի ճշտված պլանի նկատմամբ (%)</w:t>
            </w:r>
          </w:p>
        </w:tc>
        <w:tc>
          <w:tcPr>
            <w:tcW w:w="1423" w:type="dxa"/>
            <w:tcBorders>
              <w:top w:val="single" w:sz="4" w:space="0" w:color="auto"/>
              <w:left w:val="single" w:sz="4" w:space="0" w:color="auto"/>
              <w:bottom w:val="single" w:sz="4" w:space="0" w:color="auto"/>
              <w:right w:val="single" w:sz="4" w:space="0" w:color="auto"/>
            </w:tcBorders>
            <w:shd w:val="clear" w:color="auto" w:fill="FFFFFF"/>
            <w:hideMark/>
          </w:tcPr>
          <w:p w:rsidR="00E02F0C" w:rsidRPr="00B57DAB" w:rsidRDefault="00E02F0C" w:rsidP="00E02F0C">
            <w:pPr>
              <w:jc w:val="center"/>
              <w:rPr>
                <w:rFonts w:ascii="GHEA Grapalat" w:hAnsi="GHEA Grapalat" w:cs="Calibri"/>
                <w:b/>
                <w:bCs/>
                <w:sz w:val="18"/>
                <w:szCs w:val="18"/>
              </w:rPr>
            </w:pPr>
            <w:r w:rsidRPr="00B57DAB">
              <w:rPr>
                <w:rFonts w:ascii="GHEA Grapalat" w:hAnsi="GHEA Grapalat" w:cs="Calibri"/>
                <w:b/>
                <w:bCs/>
                <w:sz w:val="18"/>
                <w:szCs w:val="18"/>
              </w:rPr>
              <w:t>2022թ.</w:t>
            </w:r>
            <w:r w:rsidRPr="00B57DAB">
              <w:rPr>
                <w:rFonts w:ascii="GHEA Grapalat" w:hAnsi="GHEA Grapalat" w:cs="Calibri"/>
                <w:b/>
                <w:bCs/>
                <w:color w:val="000000"/>
                <w:sz w:val="18"/>
                <w:szCs w:val="18"/>
              </w:rPr>
              <w:t xml:space="preserve"> hունվար-</w:t>
            </w:r>
            <w:r w:rsidR="004B7FB8" w:rsidRPr="00B57DAB">
              <w:rPr>
                <w:rFonts w:ascii="GHEA Grapalat" w:hAnsi="GHEA Grapalat" w:cs="Calibri"/>
                <w:b/>
                <w:bCs/>
                <w:color w:val="000000"/>
                <w:sz w:val="18"/>
                <w:szCs w:val="18"/>
              </w:rPr>
              <w:t xml:space="preserve"> </w:t>
            </w:r>
            <w:r w:rsidRPr="00B57DAB">
              <w:rPr>
                <w:rFonts w:ascii="GHEA Grapalat" w:hAnsi="GHEA Grapalat" w:cs="Calibri"/>
                <w:b/>
                <w:bCs/>
                <w:color w:val="000000"/>
                <w:sz w:val="18"/>
                <w:szCs w:val="18"/>
              </w:rPr>
              <w:t xml:space="preserve">մարտը </w:t>
            </w:r>
            <w:r w:rsidRPr="00B57DAB">
              <w:rPr>
                <w:rFonts w:ascii="GHEA Grapalat" w:hAnsi="GHEA Grapalat" w:cs="Calibri"/>
                <w:b/>
                <w:bCs/>
                <w:sz w:val="18"/>
                <w:szCs w:val="18"/>
              </w:rPr>
              <w:t xml:space="preserve">2021թ. </w:t>
            </w:r>
            <w:proofErr w:type="gramStart"/>
            <w:r w:rsidRPr="00B57DAB">
              <w:rPr>
                <w:rFonts w:ascii="GHEA Grapalat" w:hAnsi="GHEA Grapalat" w:cs="Calibri"/>
                <w:b/>
                <w:bCs/>
                <w:sz w:val="18"/>
                <w:szCs w:val="18"/>
              </w:rPr>
              <w:t>հ</w:t>
            </w:r>
            <w:r w:rsidRPr="00B57DAB">
              <w:rPr>
                <w:rFonts w:ascii="GHEA Grapalat" w:hAnsi="GHEA Grapalat" w:cs="Calibri"/>
                <w:b/>
                <w:bCs/>
                <w:color w:val="000000"/>
                <w:sz w:val="18"/>
                <w:szCs w:val="18"/>
              </w:rPr>
              <w:t>ունվար-</w:t>
            </w:r>
            <w:proofErr w:type="gramEnd"/>
            <w:r w:rsidR="004B7FB8" w:rsidRPr="00B57DAB">
              <w:rPr>
                <w:rFonts w:ascii="GHEA Grapalat" w:hAnsi="GHEA Grapalat" w:cs="Calibri"/>
                <w:b/>
                <w:bCs/>
                <w:sz w:val="18"/>
                <w:szCs w:val="18"/>
              </w:rPr>
              <w:t xml:space="preserve"> </w:t>
            </w:r>
            <w:r w:rsidRPr="00B57DAB">
              <w:rPr>
                <w:rFonts w:ascii="GHEA Grapalat" w:hAnsi="GHEA Grapalat" w:cs="Calibri"/>
                <w:b/>
                <w:bCs/>
                <w:color w:val="000000"/>
                <w:sz w:val="18"/>
                <w:szCs w:val="18"/>
              </w:rPr>
              <w:t>մարտի</w:t>
            </w:r>
            <w:r w:rsidRPr="00B57DAB">
              <w:rPr>
                <w:rFonts w:ascii="GHEA Grapalat" w:hAnsi="GHEA Grapalat" w:cs="Calibri"/>
                <w:b/>
                <w:bCs/>
                <w:sz w:val="18"/>
                <w:szCs w:val="18"/>
              </w:rPr>
              <w:t xml:space="preserve"> նկատմամբ (%)</w:t>
            </w:r>
          </w:p>
        </w:tc>
      </w:tr>
      <w:tr w:rsidR="00E02F0C" w:rsidRPr="00B57DAB" w:rsidTr="00B40547">
        <w:trPr>
          <w:trHeight w:val="603"/>
        </w:trPr>
        <w:tc>
          <w:tcPr>
            <w:tcW w:w="3510"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E02F0C">
            <w:pPr>
              <w:rPr>
                <w:rFonts w:ascii="GHEA Grapalat" w:hAnsi="GHEA Grapalat" w:cs="Calibri"/>
                <w:b/>
                <w:bCs/>
                <w:sz w:val="18"/>
                <w:szCs w:val="18"/>
              </w:rPr>
            </w:pPr>
            <w:r w:rsidRPr="00B57DAB">
              <w:rPr>
                <w:rFonts w:ascii="GHEA Grapalat" w:hAnsi="GHEA Grapalat" w:cs="Calibri"/>
                <w:b/>
                <w:bCs/>
                <w:sz w:val="18"/>
                <w:szCs w:val="18"/>
              </w:rPr>
              <w:t>Ոչ ֆինանսական ակտիվների հետ գործառնություններ</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B40547">
            <w:pPr>
              <w:jc w:val="right"/>
              <w:rPr>
                <w:rFonts w:ascii="GHEA Grapalat" w:hAnsi="GHEA Grapalat" w:cs="Calibri"/>
                <w:b/>
                <w:bCs/>
                <w:sz w:val="18"/>
                <w:szCs w:val="18"/>
              </w:rPr>
            </w:pPr>
            <w:r w:rsidRPr="00B57DAB">
              <w:rPr>
                <w:rFonts w:ascii="GHEA Grapalat" w:hAnsi="GHEA Grapalat" w:cs="Calibri"/>
                <w:b/>
                <w:bCs/>
                <w:sz w:val="18"/>
                <w:szCs w:val="18"/>
              </w:rPr>
              <w:t>49.1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B40547">
            <w:pPr>
              <w:jc w:val="right"/>
              <w:rPr>
                <w:rFonts w:ascii="GHEA Grapalat" w:hAnsi="GHEA Grapalat" w:cs="Calibri"/>
                <w:b/>
                <w:bCs/>
                <w:sz w:val="18"/>
                <w:szCs w:val="18"/>
              </w:rPr>
            </w:pPr>
            <w:r w:rsidRPr="00B57DAB">
              <w:rPr>
                <w:rFonts w:ascii="GHEA Grapalat" w:hAnsi="GHEA Grapalat" w:cs="Calibri"/>
                <w:b/>
                <w:bCs/>
                <w:sz w:val="18"/>
                <w:szCs w:val="18"/>
              </w:rPr>
              <w:t>66.2</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B40547">
            <w:pPr>
              <w:jc w:val="right"/>
              <w:rPr>
                <w:rFonts w:ascii="GHEA Grapalat" w:hAnsi="GHEA Grapalat" w:cs="Calibri"/>
                <w:b/>
                <w:bCs/>
                <w:sz w:val="18"/>
                <w:szCs w:val="18"/>
              </w:rPr>
            </w:pPr>
            <w:r w:rsidRPr="00B57DAB">
              <w:rPr>
                <w:rFonts w:ascii="GHEA Grapalat" w:hAnsi="GHEA Grapalat" w:cs="Calibri"/>
                <w:b/>
                <w:bCs/>
                <w:sz w:val="18"/>
                <w:szCs w:val="18"/>
              </w:rPr>
              <w:t>34.6</w:t>
            </w:r>
          </w:p>
        </w:tc>
        <w:tc>
          <w:tcPr>
            <w:tcW w:w="1418" w:type="dxa"/>
            <w:tcBorders>
              <w:top w:val="single" w:sz="4" w:space="0" w:color="auto"/>
              <w:left w:val="single" w:sz="4" w:space="0" w:color="auto"/>
              <w:bottom w:val="single" w:sz="4" w:space="0" w:color="auto"/>
              <w:right w:val="single" w:sz="4" w:space="0" w:color="auto"/>
            </w:tcBorders>
            <w:vAlign w:val="bottom"/>
            <w:hideMark/>
          </w:tcPr>
          <w:p w:rsidR="00E02F0C" w:rsidRPr="00B57DAB" w:rsidRDefault="00E02F0C" w:rsidP="00B40547">
            <w:pPr>
              <w:jc w:val="right"/>
              <w:rPr>
                <w:rFonts w:ascii="GHEA Grapalat" w:hAnsi="GHEA Grapalat" w:cs="Calibri"/>
                <w:b/>
                <w:bCs/>
                <w:color w:val="000000"/>
                <w:sz w:val="18"/>
                <w:szCs w:val="18"/>
              </w:rPr>
            </w:pPr>
            <w:r w:rsidRPr="00B57DAB">
              <w:rPr>
                <w:rFonts w:ascii="GHEA Grapalat" w:hAnsi="GHEA Grapalat" w:cs="Calibri"/>
                <w:b/>
                <w:bCs/>
                <w:color w:val="000000"/>
                <w:sz w:val="18"/>
                <w:szCs w:val="18"/>
              </w:rPr>
              <w:t>52.4</w:t>
            </w:r>
          </w:p>
        </w:tc>
        <w:tc>
          <w:tcPr>
            <w:tcW w:w="1423"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B40547">
            <w:pPr>
              <w:jc w:val="right"/>
              <w:rPr>
                <w:rFonts w:ascii="GHEA Grapalat" w:hAnsi="GHEA Grapalat" w:cs="Calibri"/>
                <w:b/>
                <w:bCs/>
                <w:color w:val="000000"/>
                <w:sz w:val="18"/>
                <w:szCs w:val="18"/>
              </w:rPr>
            </w:pPr>
            <w:r w:rsidRPr="00B57DAB">
              <w:rPr>
                <w:rFonts w:ascii="GHEA Grapalat" w:hAnsi="GHEA Grapalat" w:cs="Calibri"/>
                <w:b/>
                <w:bCs/>
                <w:color w:val="000000"/>
                <w:sz w:val="18"/>
                <w:szCs w:val="18"/>
              </w:rPr>
              <w:t>70.6</w:t>
            </w:r>
          </w:p>
        </w:tc>
      </w:tr>
      <w:tr w:rsidR="00E02F0C" w:rsidRPr="00B57DAB" w:rsidTr="00B40547">
        <w:trPr>
          <w:trHeight w:val="601"/>
        </w:trPr>
        <w:tc>
          <w:tcPr>
            <w:tcW w:w="3510" w:type="dxa"/>
            <w:tcBorders>
              <w:top w:val="single" w:sz="4" w:space="0" w:color="auto"/>
              <w:left w:val="single" w:sz="4" w:space="0" w:color="auto"/>
              <w:bottom w:val="single" w:sz="4" w:space="0" w:color="auto"/>
              <w:right w:val="single" w:sz="4" w:space="0" w:color="auto"/>
            </w:tcBorders>
            <w:vAlign w:val="bottom"/>
            <w:hideMark/>
          </w:tcPr>
          <w:p w:rsidR="00E02F0C" w:rsidRPr="00B57DAB" w:rsidRDefault="00E02F0C" w:rsidP="00E02F0C">
            <w:pPr>
              <w:rPr>
                <w:rFonts w:ascii="GHEA Grapalat" w:hAnsi="GHEA Grapalat" w:cs="Calibri"/>
                <w:sz w:val="18"/>
                <w:szCs w:val="18"/>
              </w:rPr>
            </w:pPr>
            <w:r w:rsidRPr="00B57DAB">
              <w:rPr>
                <w:rFonts w:ascii="GHEA Grapalat" w:hAnsi="GHEA Grapalat" w:cs="Calibri"/>
                <w:sz w:val="18"/>
                <w:szCs w:val="18"/>
              </w:rPr>
              <w:t>Ոչ ֆինանսական ակտիվների գծով ծախսեր (կապիտալ ծախսեր), այդ թվում՝</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B40547">
            <w:pPr>
              <w:jc w:val="right"/>
              <w:rPr>
                <w:rFonts w:ascii="GHEA Grapalat" w:hAnsi="GHEA Grapalat" w:cs="Calibri"/>
                <w:sz w:val="18"/>
                <w:szCs w:val="18"/>
              </w:rPr>
            </w:pPr>
            <w:r w:rsidRPr="00B57DAB">
              <w:rPr>
                <w:rFonts w:ascii="GHEA Grapalat" w:hAnsi="GHEA Grapalat" w:cs="Calibri"/>
                <w:sz w:val="18"/>
                <w:szCs w:val="18"/>
              </w:rPr>
              <w:t>49.6</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4B7FB8" w:rsidP="00B40547">
            <w:pPr>
              <w:jc w:val="right"/>
              <w:rPr>
                <w:rFonts w:ascii="GHEA Grapalat" w:hAnsi="GHEA Grapalat" w:cs="Calibri"/>
                <w:sz w:val="18"/>
                <w:szCs w:val="18"/>
              </w:rPr>
            </w:pPr>
            <w:r w:rsidRPr="00B57DAB">
              <w:rPr>
                <w:rFonts w:ascii="GHEA Grapalat" w:hAnsi="GHEA Grapalat" w:cs="Calibri"/>
                <w:sz w:val="18"/>
                <w:szCs w:val="18"/>
              </w:rPr>
              <w:t xml:space="preserve"> </w:t>
            </w:r>
            <w:r w:rsidR="00E02F0C" w:rsidRPr="00B57DAB">
              <w:rPr>
                <w:rFonts w:ascii="GHEA Grapalat" w:hAnsi="GHEA Grapalat" w:cs="Calibri"/>
                <w:sz w:val="18"/>
                <w:szCs w:val="18"/>
              </w:rPr>
              <w:t>67.2</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B40547">
            <w:pPr>
              <w:jc w:val="right"/>
              <w:rPr>
                <w:rFonts w:ascii="GHEA Grapalat" w:hAnsi="GHEA Grapalat" w:cs="Calibri"/>
                <w:sz w:val="18"/>
                <w:szCs w:val="18"/>
              </w:rPr>
            </w:pPr>
            <w:r w:rsidRPr="00B57DAB">
              <w:rPr>
                <w:rFonts w:ascii="GHEA Grapalat" w:hAnsi="GHEA Grapalat" w:cs="Calibri"/>
                <w:sz w:val="18"/>
                <w:szCs w:val="18"/>
              </w:rPr>
              <w:t>37.2</w:t>
            </w:r>
          </w:p>
        </w:tc>
        <w:tc>
          <w:tcPr>
            <w:tcW w:w="1418" w:type="dxa"/>
            <w:tcBorders>
              <w:top w:val="single" w:sz="4" w:space="0" w:color="auto"/>
              <w:left w:val="single" w:sz="4" w:space="0" w:color="auto"/>
              <w:bottom w:val="single" w:sz="4" w:space="0" w:color="auto"/>
              <w:right w:val="single" w:sz="4" w:space="0" w:color="auto"/>
            </w:tcBorders>
            <w:vAlign w:val="bottom"/>
            <w:hideMark/>
          </w:tcPr>
          <w:p w:rsidR="00E02F0C" w:rsidRPr="00B57DAB" w:rsidRDefault="00E02F0C" w:rsidP="00B40547">
            <w:pPr>
              <w:jc w:val="right"/>
              <w:rPr>
                <w:rFonts w:ascii="GHEA Grapalat" w:hAnsi="GHEA Grapalat" w:cs="Calibri"/>
                <w:color w:val="000000"/>
                <w:sz w:val="18"/>
                <w:szCs w:val="18"/>
              </w:rPr>
            </w:pPr>
            <w:r w:rsidRPr="00B57DAB">
              <w:rPr>
                <w:rFonts w:ascii="GHEA Grapalat" w:hAnsi="GHEA Grapalat" w:cs="Calibri"/>
                <w:color w:val="000000"/>
                <w:sz w:val="18"/>
                <w:szCs w:val="18"/>
              </w:rPr>
              <w:t>55.3</w:t>
            </w:r>
          </w:p>
        </w:tc>
        <w:tc>
          <w:tcPr>
            <w:tcW w:w="1423"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B40547">
            <w:pPr>
              <w:jc w:val="right"/>
              <w:rPr>
                <w:rFonts w:ascii="GHEA Grapalat" w:hAnsi="GHEA Grapalat" w:cs="Calibri"/>
                <w:color w:val="000000"/>
                <w:sz w:val="18"/>
                <w:szCs w:val="18"/>
              </w:rPr>
            </w:pPr>
            <w:r w:rsidRPr="00B57DAB">
              <w:rPr>
                <w:rFonts w:ascii="GHEA Grapalat" w:hAnsi="GHEA Grapalat" w:cs="Calibri"/>
                <w:color w:val="000000"/>
                <w:sz w:val="18"/>
                <w:szCs w:val="18"/>
              </w:rPr>
              <w:t>74.9</w:t>
            </w:r>
          </w:p>
        </w:tc>
      </w:tr>
      <w:tr w:rsidR="00E02F0C" w:rsidRPr="00B57DAB" w:rsidTr="00B40547">
        <w:trPr>
          <w:trHeight w:val="366"/>
        </w:trPr>
        <w:tc>
          <w:tcPr>
            <w:tcW w:w="3510" w:type="dxa"/>
            <w:tcBorders>
              <w:top w:val="single" w:sz="4" w:space="0" w:color="auto"/>
              <w:left w:val="single" w:sz="4" w:space="0" w:color="auto"/>
              <w:bottom w:val="single" w:sz="4" w:space="0" w:color="auto"/>
              <w:right w:val="single" w:sz="4" w:space="0" w:color="auto"/>
            </w:tcBorders>
            <w:vAlign w:val="bottom"/>
            <w:hideMark/>
          </w:tcPr>
          <w:p w:rsidR="00E02F0C" w:rsidRPr="00B57DAB" w:rsidRDefault="00E02F0C" w:rsidP="00770F24">
            <w:pPr>
              <w:pStyle w:val="ListParagraph"/>
              <w:numPr>
                <w:ilvl w:val="0"/>
                <w:numId w:val="10"/>
              </w:numPr>
              <w:spacing w:line="276" w:lineRule="auto"/>
              <w:ind w:left="426" w:hanging="156"/>
              <w:rPr>
                <w:rFonts w:ascii="GHEA Grapalat" w:hAnsi="GHEA Grapalat" w:cs="Calibri"/>
                <w:sz w:val="18"/>
                <w:szCs w:val="18"/>
              </w:rPr>
            </w:pPr>
            <w:r w:rsidRPr="00B57DAB">
              <w:rPr>
                <w:rFonts w:ascii="GHEA Grapalat" w:hAnsi="GHEA Grapalat" w:cs="Calibri"/>
                <w:sz w:val="18"/>
                <w:szCs w:val="18"/>
              </w:rPr>
              <w:t>շենքեր և շինություններ</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B40547">
            <w:pPr>
              <w:jc w:val="right"/>
              <w:rPr>
                <w:rFonts w:ascii="GHEA Grapalat" w:hAnsi="GHEA Grapalat" w:cs="Calibri"/>
                <w:sz w:val="18"/>
                <w:szCs w:val="18"/>
              </w:rPr>
            </w:pPr>
            <w:r w:rsidRPr="00B57DAB">
              <w:rPr>
                <w:rFonts w:ascii="GHEA Grapalat" w:hAnsi="GHEA Grapalat" w:cs="Calibri"/>
                <w:sz w:val="18"/>
                <w:szCs w:val="18"/>
              </w:rPr>
              <w:t>47.7</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B40547">
            <w:pPr>
              <w:jc w:val="right"/>
              <w:rPr>
                <w:rFonts w:ascii="GHEA Grapalat" w:hAnsi="GHEA Grapalat" w:cs="Calibri"/>
                <w:sz w:val="18"/>
                <w:szCs w:val="18"/>
              </w:rPr>
            </w:pPr>
            <w:r w:rsidRPr="00B57DAB">
              <w:rPr>
                <w:rFonts w:ascii="GHEA Grapalat" w:hAnsi="GHEA Grapalat" w:cs="Calibri"/>
                <w:sz w:val="18"/>
                <w:szCs w:val="18"/>
              </w:rPr>
              <w:t>53.2</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B40547">
            <w:pPr>
              <w:jc w:val="right"/>
              <w:rPr>
                <w:rFonts w:ascii="GHEA Grapalat" w:hAnsi="GHEA Grapalat" w:cs="Calibri"/>
                <w:sz w:val="18"/>
                <w:szCs w:val="18"/>
              </w:rPr>
            </w:pPr>
            <w:r w:rsidRPr="00B57DAB">
              <w:rPr>
                <w:rFonts w:ascii="GHEA Grapalat" w:hAnsi="GHEA Grapalat" w:cs="Calibri"/>
                <w:sz w:val="18"/>
                <w:szCs w:val="18"/>
              </w:rPr>
              <w:t>32.1</w:t>
            </w:r>
          </w:p>
        </w:tc>
        <w:tc>
          <w:tcPr>
            <w:tcW w:w="1418" w:type="dxa"/>
            <w:tcBorders>
              <w:top w:val="single" w:sz="4" w:space="0" w:color="auto"/>
              <w:left w:val="single" w:sz="4" w:space="0" w:color="auto"/>
              <w:bottom w:val="single" w:sz="4" w:space="0" w:color="auto"/>
              <w:right w:val="single" w:sz="4" w:space="0" w:color="auto"/>
            </w:tcBorders>
            <w:vAlign w:val="bottom"/>
            <w:hideMark/>
          </w:tcPr>
          <w:p w:rsidR="00E02F0C" w:rsidRPr="00B57DAB" w:rsidRDefault="00E02F0C" w:rsidP="00B40547">
            <w:pPr>
              <w:jc w:val="right"/>
              <w:rPr>
                <w:rFonts w:ascii="GHEA Grapalat" w:hAnsi="GHEA Grapalat" w:cs="Calibri"/>
                <w:color w:val="000000"/>
                <w:sz w:val="18"/>
                <w:szCs w:val="18"/>
              </w:rPr>
            </w:pPr>
            <w:r w:rsidRPr="00B57DAB">
              <w:rPr>
                <w:rFonts w:ascii="GHEA Grapalat" w:hAnsi="GHEA Grapalat" w:cs="Calibri"/>
                <w:color w:val="000000"/>
                <w:sz w:val="18"/>
                <w:szCs w:val="18"/>
              </w:rPr>
              <w:t>60.3</w:t>
            </w:r>
          </w:p>
        </w:tc>
        <w:tc>
          <w:tcPr>
            <w:tcW w:w="1423"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B40547">
            <w:pPr>
              <w:jc w:val="right"/>
              <w:rPr>
                <w:rFonts w:ascii="GHEA Grapalat" w:hAnsi="GHEA Grapalat" w:cs="Calibri"/>
                <w:color w:val="000000"/>
                <w:sz w:val="18"/>
                <w:szCs w:val="18"/>
              </w:rPr>
            </w:pPr>
            <w:r w:rsidRPr="00B57DAB">
              <w:rPr>
                <w:rFonts w:ascii="GHEA Grapalat" w:hAnsi="GHEA Grapalat" w:cs="Calibri"/>
                <w:color w:val="000000"/>
                <w:sz w:val="18"/>
                <w:szCs w:val="18"/>
              </w:rPr>
              <w:t>67.2</w:t>
            </w:r>
          </w:p>
        </w:tc>
      </w:tr>
      <w:tr w:rsidR="00E02F0C" w:rsidRPr="00B57DAB" w:rsidTr="00B40547">
        <w:trPr>
          <w:trHeight w:val="567"/>
        </w:trPr>
        <w:tc>
          <w:tcPr>
            <w:tcW w:w="3510" w:type="dxa"/>
            <w:tcBorders>
              <w:top w:val="single" w:sz="4" w:space="0" w:color="auto"/>
              <w:left w:val="single" w:sz="4" w:space="0" w:color="auto"/>
              <w:bottom w:val="single" w:sz="4" w:space="0" w:color="auto"/>
              <w:right w:val="single" w:sz="4" w:space="0" w:color="auto"/>
            </w:tcBorders>
            <w:vAlign w:val="bottom"/>
            <w:hideMark/>
          </w:tcPr>
          <w:p w:rsidR="00E02F0C" w:rsidRPr="00B57DAB" w:rsidRDefault="00E02F0C" w:rsidP="00770F24">
            <w:pPr>
              <w:pStyle w:val="ListParagraph"/>
              <w:numPr>
                <w:ilvl w:val="0"/>
                <w:numId w:val="10"/>
              </w:numPr>
              <w:spacing w:line="276" w:lineRule="auto"/>
              <w:ind w:left="426" w:hanging="156"/>
              <w:rPr>
                <w:rFonts w:ascii="GHEA Grapalat" w:hAnsi="GHEA Grapalat" w:cs="Calibri"/>
                <w:sz w:val="18"/>
                <w:szCs w:val="18"/>
              </w:rPr>
            </w:pPr>
            <w:r w:rsidRPr="00B57DAB">
              <w:rPr>
                <w:rFonts w:ascii="GHEA Grapalat" w:hAnsi="GHEA Grapalat" w:cs="Calibri"/>
                <w:sz w:val="18"/>
                <w:szCs w:val="18"/>
              </w:rPr>
              <w:t>մեքենաների և սարքավորում-ների ձեռք բերում, պահպանում և հիմնանորոգում</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B40547">
            <w:pPr>
              <w:jc w:val="right"/>
              <w:rPr>
                <w:rFonts w:ascii="GHEA Grapalat" w:hAnsi="GHEA Grapalat" w:cs="Calibri"/>
                <w:sz w:val="18"/>
                <w:szCs w:val="18"/>
              </w:rPr>
            </w:pPr>
            <w:r w:rsidRPr="00B57DAB">
              <w:rPr>
                <w:rFonts w:ascii="GHEA Grapalat" w:hAnsi="GHEA Grapalat" w:cs="Calibri"/>
                <w:sz w:val="18"/>
                <w:szCs w:val="18"/>
              </w:rPr>
              <w:t>1.8</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B40547">
            <w:pPr>
              <w:jc w:val="right"/>
              <w:rPr>
                <w:rFonts w:ascii="GHEA Grapalat" w:hAnsi="GHEA Grapalat" w:cs="Calibri"/>
                <w:sz w:val="18"/>
                <w:szCs w:val="18"/>
              </w:rPr>
            </w:pPr>
            <w:r w:rsidRPr="00B57DAB">
              <w:rPr>
                <w:rFonts w:ascii="GHEA Grapalat" w:hAnsi="GHEA Grapalat" w:cs="Calibri"/>
                <w:sz w:val="18"/>
                <w:szCs w:val="18"/>
              </w:rPr>
              <w:t>12.3</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B40547">
            <w:pPr>
              <w:jc w:val="right"/>
              <w:rPr>
                <w:rFonts w:ascii="GHEA Grapalat" w:hAnsi="GHEA Grapalat" w:cs="Calibri"/>
                <w:sz w:val="18"/>
                <w:szCs w:val="18"/>
              </w:rPr>
            </w:pPr>
            <w:r w:rsidRPr="00B57DAB">
              <w:rPr>
                <w:rFonts w:ascii="GHEA Grapalat" w:hAnsi="GHEA Grapalat" w:cs="Calibri"/>
                <w:sz w:val="18"/>
                <w:szCs w:val="18"/>
              </w:rPr>
              <w:t>4.8</w:t>
            </w:r>
          </w:p>
        </w:tc>
        <w:tc>
          <w:tcPr>
            <w:tcW w:w="1418" w:type="dxa"/>
            <w:tcBorders>
              <w:top w:val="single" w:sz="4" w:space="0" w:color="auto"/>
              <w:left w:val="single" w:sz="4" w:space="0" w:color="auto"/>
              <w:bottom w:val="single" w:sz="4" w:space="0" w:color="auto"/>
              <w:right w:val="single" w:sz="4" w:space="0" w:color="auto"/>
            </w:tcBorders>
            <w:vAlign w:val="bottom"/>
            <w:hideMark/>
          </w:tcPr>
          <w:p w:rsidR="00E02F0C" w:rsidRPr="00B57DAB" w:rsidRDefault="00E02F0C" w:rsidP="00B40547">
            <w:pPr>
              <w:jc w:val="right"/>
              <w:rPr>
                <w:rFonts w:ascii="GHEA Grapalat" w:hAnsi="GHEA Grapalat" w:cs="Calibri"/>
                <w:color w:val="000000"/>
                <w:sz w:val="18"/>
                <w:szCs w:val="18"/>
              </w:rPr>
            </w:pPr>
            <w:r w:rsidRPr="00B57DAB">
              <w:rPr>
                <w:rFonts w:ascii="GHEA Grapalat" w:hAnsi="GHEA Grapalat" w:cs="Calibri"/>
                <w:color w:val="000000"/>
                <w:sz w:val="18"/>
                <w:szCs w:val="18"/>
              </w:rPr>
              <w:t>39.3</w:t>
            </w:r>
          </w:p>
        </w:tc>
        <w:tc>
          <w:tcPr>
            <w:tcW w:w="1423"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B40547">
            <w:pPr>
              <w:jc w:val="right"/>
              <w:rPr>
                <w:rFonts w:ascii="GHEA Grapalat" w:hAnsi="GHEA Grapalat" w:cs="Calibri"/>
                <w:color w:val="000000"/>
                <w:sz w:val="18"/>
                <w:szCs w:val="18"/>
              </w:rPr>
            </w:pPr>
            <w:r w:rsidRPr="00B57DAB">
              <w:rPr>
                <w:rFonts w:ascii="GHEA Grapalat" w:hAnsi="GHEA Grapalat" w:cs="Calibri"/>
                <w:color w:val="000000"/>
                <w:sz w:val="18"/>
                <w:szCs w:val="18"/>
              </w:rPr>
              <w:t>274.5</w:t>
            </w:r>
          </w:p>
        </w:tc>
      </w:tr>
      <w:tr w:rsidR="00E02F0C" w:rsidRPr="00B57DAB" w:rsidTr="00B40547">
        <w:trPr>
          <w:trHeight w:val="341"/>
        </w:trPr>
        <w:tc>
          <w:tcPr>
            <w:tcW w:w="3510" w:type="dxa"/>
            <w:tcBorders>
              <w:top w:val="single" w:sz="4" w:space="0" w:color="auto"/>
              <w:left w:val="single" w:sz="4" w:space="0" w:color="auto"/>
              <w:bottom w:val="single" w:sz="4" w:space="0" w:color="auto"/>
              <w:right w:val="single" w:sz="4" w:space="0" w:color="auto"/>
            </w:tcBorders>
            <w:vAlign w:val="bottom"/>
            <w:hideMark/>
          </w:tcPr>
          <w:p w:rsidR="00E02F0C" w:rsidRPr="00B57DAB" w:rsidRDefault="00E02F0C" w:rsidP="00770F24">
            <w:pPr>
              <w:pStyle w:val="ListParagraph"/>
              <w:numPr>
                <w:ilvl w:val="0"/>
                <w:numId w:val="10"/>
              </w:numPr>
              <w:spacing w:line="276" w:lineRule="auto"/>
              <w:ind w:left="426" w:hanging="156"/>
              <w:rPr>
                <w:rFonts w:ascii="GHEA Grapalat" w:hAnsi="GHEA Grapalat" w:cs="Calibri"/>
                <w:sz w:val="18"/>
                <w:szCs w:val="18"/>
              </w:rPr>
            </w:pPr>
            <w:r w:rsidRPr="00B57DAB">
              <w:rPr>
                <w:rFonts w:ascii="GHEA Grapalat" w:hAnsi="GHEA Grapalat" w:cs="Calibri"/>
                <w:sz w:val="18"/>
                <w:szCs w:val="18"/>
              </w:rPr>
              <w:t>այլ հիմնական միջոցներ</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B40547">
            <w:pPr>
              <w:jc w:val="right"/>
              <w:rPr>
                <w:rFonts w:ascii="GHEA Grapalat" w:hAnsi="GHEA Grapalat" w:cs="Calibri"/>
                <w:sz w:val="18"/>
                <w:szCs w:val="18"/>
              </w:rPr>
            </w:pPr>
            <w:r w:rsidRPr="00B57DAB">
              <w:rPr>
                <w:rFonts w:ascii="GHEA Grapalat" w:hAnsi="GHEA Grapalat" w:cs="Calibri"/>
                <w:sz w:val="18"/>
                <w:szCs w:val="18"/>
              </w:rPr>
              <w:t>0.2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B40547">
            <w:pPr>
              <w:jc w:val="right"/>
              <w:rPr>
                <w:rFonts w:ascii="GHEA Grapalat" w:hAnsi="GHEA Grapalat" w:cs="Calibri"/>
                <w:sz w:val="18"/>
                <w:szCs w:val="18"/>
              </w:rPr>
            </w:pPr>
            <w:r w:rsidRPr="00B57DAB">
              <w:rPr>
                <w:rFonts w:ascii="GHEA Grapalat" w:hAnsi="GHEA Grapalat" w:cs="Calibri"/>
                <w:sz w:val="18"/>
                <w:szCs w:val="18"/>
              </w:rPr>
              <w:t>1.7</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B40547">
            <w:pPr>
              <w:jc w:val="right"/>
              <w:rPr>
                <w:rFonts w:ascii="GHEA Grapalat" w:hAnsi="GHEA Grapalat" w:cs="Calibri"/>
                <w:sz w:val="18"/>
                <w:szCs w:val="18"/>
              </w:rPr>
            </w:pPr>
            <w:r w:rsidRPr="00B57DAB">
              <w:rPr>
                <w:rFonts w:ascii="GHEA Grapalat" w:hAnsi="GHEA Grapalat" w:cs="Calibri"/>
                <w:sz w:val="18"/>
                <w:szCs w:val="18"/>
              </w:rPr>
              <w:t>0.3</w:t>
            </w:r>
          </w:p>
        </w:tc>
        <w:tc>
          <w:tcPr>
            <w:tcW w:w="1418" w:type="dxa"/>
            <w:tcBorders>
              <w:top w:val="single" w:sz="4" w:space="0" w:color="auto"/>
              <w:left w:val="single" w:sz="4" w:space="0" w:color="auto"/>
              <w:bottom w:val="single" w:sz="4" w:space="0" w:color="auto"/>
              <w:right w:val="single" w:sz="4" w:space="0" w:color="auto"/>
            </w:tcBorders>
            <w:vAlign w:val="bottom"/>
            <w:hideMark/>
          </w:tcPr>
          <w:p w:rsidR="00E02F0C" w:rsidRPr="00B57DAB" w:rsidRDefault="004B7FB8" w:rsidP="00B40547">
            <w:pPr>
              <w:jc w:val="right"/>
              <w:rPr>
                <w:rFonts w:ascii="GHEA Grapalat" w:hAnsi="GHEA Grapalat" w:cs="Calibri"/>
                <w:sz w:val="18"/>
                <w:szCs w:val="18"/>
              </w:rPr>
            </w:pPr>
            <w:r w:rsidRPr="00B57DAB">
              <w:rPr>
                <w:rFonts w:ascii="GHEA Grapalat" w:hAnsi="GHEA Grapalat" w:cs="Calibri"/>
                <w:sz w:val="18"/>
                <w:szCs w:val="18"/>
              </w:rPr>
              <w:t xml:space="preserve"> </w:t>
            </w:r>
            <w:r w:rsidR="00E02F0C" w:rsidRPr="00B57DAB">
              <w:rPr>
                <w:rFonts w:ascii="GHEA Grapalat" w:hAnsi="GHEA Grapalat" w:cs="Calibri"/>
                <w:sz w:val="18"/>
                <w:szCs w:val="18"/>
              </w:rPr>
              <w:t>17.6</w:t>
            </w:r>
          </w:p>
        </w:tc>
        <w:tc>
          <w:tcPr>
            <w:tcW w:w="1423"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B40547">
            <w:pPr>
              <w:jc w:val="right"/>
              <w:rPr>
                <w:rFonts w:ascii="GHEA Grapalat" w:hAnsi="GHEA Grapalat" w:cs="Calibri"/>
                <w:sz w:val="18"/>
                <w:szCs w:val="18"/>
              </w:rPr>
            </w:pPr>
            <w:r w:rsidRPr="00B57DAB">
              <w:rPr>
                <w:rFonts w:ascii="GHEA Grapalat" w:hAnsi="GHEA Grapalat" w:cs="Calibri"/>
                <w:sz w:val="18"/>
                <w:szCs w:val="18"/>
              </w:rPr>
              <w:t>182.4</w:t>
            </w:r>
          </w:p>
        </w:tc>
      </w:tr>
      <w:tr w:rsidR="00E02F0C" w:rsidRPr="00B57DAB" w:rsidTr="00B40547">
        <w:trPr>
          <w:trHeight w:val="567"/>
        </w:trPr>
        <w:tc>
          <w:tcPr>
            <w:tcW w:w="3510" w:type="dxa"/>
            <w:tcBorders>
              <w:top w:val="single" w:sz="4" w:space="0" w:color="auto"/>
              <w:left w:val="single" w:sz="4" w:space="0" w:color="auto"/>
              <w:bottom w:val="single" w:sz="4" w:space="0" w:color="auto"/>
              <w:right w:val="single" w:sz="4" w:space="0" w:color="auto"/>
            </w:tcBorders>
            <w:vAlign w:val="bottom"/>
            <w:hideMark/>
          </w:tcPr>
          <w:p w:rsidR="00E02F0C" w:rsidRPr="00B57DAB" w:rsidRDefault="00E02F0C" w:rsidP="00E02F0C">
            <w:pPr>
              <w:rPr>
                <w:rFonts w:ascii="GHEA Grapalat" w:hAnsi="GHEA Grapalat" w:cs="Calibri"/>
                <w:sz w:val="18"/>
                <w:szCs w:val="18"/>
              </w:rPr>
            </w:pPr>
            <w:r w:rsidRPr="00B57DAB">
              <w:rPr>
                <w:rFonts w:ascii="GHEA Grapalat" w:hAnsi="GHEA Grapalat" w:cs="Calibri"/>
                <w:sz w:val="18"/>
                <w:szCs w:val="18"/>
              </w:rPr>
              <w:t>Ոչ ֆինանսական ակտիվների օտարումից մուտքեր</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B40547">
            <w:pPr>
              <w:jc w:val="right"/>
              <w:rPr>
                <w:rFonts w:ascii="GHEA Grapalat" w:hAnsi="GHEA Grapalat" w:cs="Calibri"/>
                <w:sz w:val="18"/>
                <w:szCs w:val="18"/>
              </w:rPr>
            </w:pPr>
            <w:r w:rsidRPr="00B57DAB">
              <w:rPr>
                <w:rFonts w:ascii="GHEA Grapalat" w:hAnsi="GHEA Grapalat" w:cs="Calibri"/>
                <w:sz w:val="18"/>
                <w:szCs w:val="18"/>
              </w:rPr>
              <w:t>(0.6)</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B40547">
            <w:pPr>
              <w:jc w:val="right"/>
              <w:rPr>
                <w:rFonts w:ascii="GHEA Grapalat" w:hAnsi="GHEA Grapalat" w:cs="Calibri"/>
                <w:sz w:val="18"/>
                <w:szCs w:val="18"/>
              </w:rPr>
            </w:pPr>
            <w:r w:rsidRPr="00B57DAB">
              <w:rPr>
                <w:rFonts w:ascii="GHEA Grapalat" w:hAnsi="GHEA Grapalat" w:cs="Calibri"/>
                <w:sz w:val="18"/>
                <w:szCs w:val="18"/>
              </w:rPr>
              <w:t>(1.0)</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B40547">
            <w:pPr>
              <w:jc w:val="right"/>
              <w:rPr>
                <w:rFonts w:ascii="GHEA Grapalat" w:hAnsi="GHEA Grapalat" w:cs="Calibri"/>
                <w:sz w:val="18"/>
                <w:szCs w:val="18"/>
              </w:rPr>
            </w:pPr>
            <w:r w:rsidRPr="00B57DAB">
              <w:rPr>
                <w:rFonts w:ascii="GHEA Grapalat" w:hAnsi="GHEA Grapalat" w:cs="Calibri"/>
                <w:sz w:val="18"/>
                <w:szCs w:val="18"/>
              </w:rPr>
              <w:t>(2.5)</w:t>
            </w:r>
          </w:p>
        </w:tc>
        <w:tc>
          <w:tcPr>
            <w:tcW w:w="1418" w:type="dxa"/>
            <w:tcBorders>
              <w:top w:val="single" w:sz="4" w:space="0" w:color="auto"/>
              <w:left w:val="single" w:sz="4" w:space="0" w:color="auto"/>
              <w:bottom w:val="single" w:sz="4" w:space="0" w:color="auto"/>
              <w:right w:val="single" w:sz="4" w:space="0" w:color="auto"/>
            </w:tcBorders>
            <w:vAlign w:val="bottom"/>
            <w:hideMark/>
          </w:tcPr>
          <w:p w:rsidR="00E02F0C" w:rsidRPr="00B57DAB" w:rsidRDefault="00E02F0C" w:rsidP="00B40547">
            <w:pPr>
              <w:jc w:val="right"/>
              <w:rPr>
                <w:rFonts w:ascii="GHEA Grapalat" w:hAnsi="GHEA Grapalat" w:cs="Calibri"/>
                <w:color w:val="000000"/>
                <w:sz w:val="18"/>
                <w:szCs w:val="18"/>
              </w:rPr>
            </w:pPr>
            <w:r w:rsidRPr="00B57DAB">
              <w:rPr>
                <w:rFonts w:ascii="GHEA Grapalat" w:hAnsi="GHEA Grapalat" w:cs="Calibri"/>
                <w:color w:val="000000"/>
                <w:sz w:val="18"/>
                <w:szCs w:val="18"/>
              </w:rPr>
              <w:t>253.1</w:t>
            </w:r>
          </w:p>
        </w:tc>
        <w:tc>
          <w:tcPr>
            <w:tcW w:w="1423" w:type="dxa"/>
            <w:tcBorders>
              <w:top w:val="single" w:sz="4" w:space="0" w:color="auto"/>
              <w:left w:val="single" w:sz="4" w:space="0" w:color="auto"/>
              <w:bottom w:val="single" w:sz="4" w:space="0" w:color="auto"/>
              <w:right w:val="single" w:sz="4" w:space="0" w:color="auto"/>
            </w:tcBorders>
            <w:noWrap/>
            <w:vAlign w:val="bottom"/>
            <w:hideMark/>
          </w:tcPr>
          <w:p w:rsidR="00E02F0C" w:rsidRPr="00B57DAB" w:rsidRDefault="00E02F0C" w:rsidP="00B40547">
            <w:pPr>
              <w:jc w:val="right"/>
              <w:rPr>
                <w:rFonts w:ascii="GHEA Grapalat" w:hAnsi="GHEA Grapalat" w:cs="Calibri"/>
                <w:color w:val="000000"/>
                <w:sz w:val="18"/>
                <w:szCs w:val="18"/>
              </w:rPr>
            </w:pPr>
            <w:r w:rsidRPr="00B57DAB">
              <w:rPr>
                <w:rFonts w:ascii="GHEA Grapalat" w:hAnsi="GHEA Grapalat" w:cs="Calibri"/>
                <w:color w:val="000000"/>
                <w:sz w:val="18"/>
                <w:szCs w:val="18"/>
              </w:rPr>
              <w:t>453.8</w:t>
            </w:r>
          </w:p>
        </w:tc>
      </w:tr>
    </w:tbl>
    <w:p w:rsidR="00E02F0C" w:rsidRPr="00B57DAB" w:rsidRDefault="00E02F0C" w:rsidP="008B4775">
      <w:pPr>
        <w:spacing w:line="360" w:lineRule="auto"/>
        <w:ind w:firstLine="567"/>
        <w:jc w:val="both"/>
        <w:rPr>
          <w:rFonts w:ascii="GHEA Grapalat" w:hAnsi="GHEA Grapalat" w:cs="GHEA Grapalat"/>
          <w:sz w:val="22"/>
          <w:szCs w:val="22"/>
        </w:rPr>
        <w:sectPr w:rsidR="00E02F0C" w:rsidRPr="00B57DAB" w:rsidSect="009C41C6">
          <w:pgSz w:w="11907" w:h="16840" w:code="9"/>
          <w:pgMar w:top="1134" w:right="567" w:bottom="567" w:left="1134" w:header="720" w:footer="567" w:gutter="0"/>
          <w:cols w:space="720"/>
        </w:sectPr>
      </w:pPr>
    </w:p>
    <w:p w:rsidR="001D1F16" w:rsidRPr="00B57DAB" w:rsidRDefault="00E37514" w:rsidP="008C2DC3">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hy-AM"/>
        </w:rPr>
      </w:pPr>
      <w:bookmarkStart w:id="54" w:name="_Toc8218755"/>
      <w:bookmarkStart w:id="55" w:name="_Toc39073424"/>
      <w:bookmarkStart w:id="56" w:name="_Toc71311895"/>
      <w:bookmarkStart w:id="57" w:name="_Toc102759893"/>
      <w:r>
        <w:rPr>
          <w:rFonts w:ascii="GHEA Grapalat" w:hAnsi="GHEA Grapalat"/>
          <w:bCs/>
          <w:i w:val="0"/>
          <w:noProof/>
          <w:sz w:val="22"/>
          <w:szCs w:val="22"/>
          <w:lang w:val="de-AT"/>
        </w:rPr>
        <w:lastRenderedPageBreak/>
        <w:t>ՀՀ պետական բյուջեի ծախսերը ծ</w:t>
      </w:r>
      <w:r w:rsidR="00B578BA" w:rsidRPr="00B57DAB">
        <w:rPr>
          <w:rFonts w:ascii="GHEA Grapalat" w:hAnsi="GHEA Grapalat"/>
          <w:bCs/>
          <w:i w:val="0"/>
          <w:noProof/>
          <w:sz w:val="22"/>
          <w:szCs w:val="22"/>
          <w:lang w:val="de-AT"/>
        </w:rPr>
        <w:t>րագրային</w:t>
      </w:r>
      <w:r w:rsidR="003C43CF" w:rsidRPr="00B57DAB">
        <w:rPr>
          <w:rFonts w:ascii="GHEA Grapalat" w:hAnsi="GHEA Grapalat"/>
          <w:bCs/>
          <w:i w:val="0"/>
          <w:noProof/>
          <w:sz w:val="22"/>
          <w:szCs w:val="22"/>
          <w:lang w:val="de-AT"/>
        </w:rPr>
        <w:t xml:space="preserve"> դասակարգ</w:t>
      </w:r>
      <w:bookmarkEnd w:id="54"/>
      <w:bookmarkEnd w:id="55"/>
      <w:bookmarkEnd w:id="56"/>
      <w:r>
        <w:rPr>
          <w:rFonts w:ascii="GHEA Grapalat" w:hAnsi="GHEA Grapalat"/>
          <w:bCs/>
          <w:i w:val="0"/>
          <w:noProof/>
          <w:sz w:val="22"/>
          <w:szCs w:val="22"/>
          <w:lang w:val="de-AT"/>
        </w:rPr>
        <w:t>մամբ</w:t>
      </w:r>
      <w:r w:rsidR="00222EDE" w:rsidRPr="00B57DAB">
        <w:rPr>
          <w:rStyle w:val="FootnoteReference"/>
          <w:rFonts w:ascii="GHEA Grapalat" w:hAnsi="GHEA Grapalat"/>
          <w:bCs/>
          <w:i w:val="0"/>
          <w:noProof/>
          <w:sz w:val="22"/>
          <w:szCs w:val="22"/>
          <w:lang w:val="de-AT"/>
        </w:rPr>
        <w:footnoteReference w:id="32"/>
      </w:r>
      <w:bookmarkEnd w:id="57"/>
    </w:p>
    <w:p w:rsidR="00A95DFB" w:rsidRPr="00B57DAB" w:rsidRDefault="00A95DFB" w:rsidP="00A95DFB">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ՀՀ 20</w:t>
      </w:r>
      <w:r w:rsidR="00092D7E" w:rsidRPr="00B57DAB">
        <w:rPr>
          <w:rFonts w:ascii="GHEA Grapalat" w:hAnsi="GHEA Grapalat" w:cs="GHEA Grapalat"/>
          <w:sz w:val="22"/>
          <w:szCs w:val="22"/>
        </w:rPr>
        <w:t>2</w:t>
      </w:r>
      <w:r w:rsidR="00B1183D" w:rsidRPr="00B57DAB">
        <w:rPr>
          <w:rFonts w:ascii="GHEA Grapalat" w:hAnsi="GHEA Grapalat" w:cs="GHEA Grapalat"/>
          <w:sz w:val="22"/>
          <w:szCs w:val="22"/>
        </w:rPr>
        <w:t>2</w:t>
      </w:r>
      <w:r w:rsidRPr="00B57DAB">
        <w:rPr>
          <w:rFonts w:ascii="GHEA Grapalat" w:hAnsi="GHEA Grapalat" w:cs="GHEA Grapalat"/>
          <w:sz w:val="22"/>
          <w:szCs w:val="22"/>
        </w:rPr>
        <w:t xml:space="preserve"> թվականի պետական բյուջեի </w:t>
      </w:r>
      <w:r w:rsidR="004E07A7" w:rsidRPr="00B57DAB">
        <w:rPr>
          <w:rFonts w:ascii="GHEA Grapalat" w:hAnsi="GHEA Grapalat" w:cs="GHEA Grapalat"/>
          <w:sz w:val="22"/>
          <w:szCs w:val="22"/>
        </w:rPr>
        <w:t>կատարումն ապահովող միջոցառումների վերաբերյալ ՀՀ կառավարության որոշմամբ</w:t>
      </w:r>
      <w:r w:rsidRPr="00B57DAB">
        <w:rPr>
          <w:rFonts w:ascii="GHEA Grapalat" w:hAnsi="GHEA Grapalat" w:cs="GHEA Grapalat"/>
          <w:sz w:val="22"/>
          <w:szCs w:val="22"/>
        </w:rPr>
        <w:t xml:space="preserve"> նախատեսվել էր թվով </w:t>
      </w:r>
      <w:r w:rsidR="007C577B" w:rsidRPr="00B57DAB">
        <w:rPr>
          <w:rFonts w:ascii="GHEA Grapalat" w:hAnsi="GHEA Grapalat" w:cs="GHEA Grapalat"/>
          <w:sz w:val="22"/>
          <w:szCs w:val="22"/>
        </w:rPr>
        <w:t xml:space="preserve">167 </w:t>
      </w:r>
      <w:r w:rsidRPr="00B57DAB">
        <w:rPr>
          <w:rFonts w:ascii="GHEA Grapalat" w:hAnsi="GHEA Grapalat" w:cs="GHEA Grapalat"/>
          <w:sz w:val="22"/>
          <w:szCs w:val="22"/>
        </w:rPr>
        <w:t xml:space="preserve">ծրագրերի իրականացում 46 պետական մարմինների և ՀՀ կառավարության պատասխանատվության ներքո: ՀՀ կառավարության կողմից կատարված ճշտումների արդյունքում նախատեսված ծրագրերի թիվը կազմել է </w:t>
      </w:r>
      <w:r w:rsidR="007C577B" w:rsidRPr="00B57DAB">
        <w:rPr>
          <w:rFonts w:ascii="GHEA Grapalat" w:hAnsi="GHEA Grapalat" w:cs="GHEA Grapalat"/>
          <w:sz w:val="22"/>
          <w:szCs w:val="22"/>
        </w:rPr>
        <w:t>168</w:t>
      </w:r>
      <w:r w:rsidRPr="00B57DAB">
        <w:rPr>
          <w:rFonts w:ascii="GHEA Grapalat" w:hAnsi="GHEA Grapalat" w:cs="GHEA Grapalat"/>
          <w:sz w:val="22"/>
          <w:szCs w:val="22"/>
        </w:rPr>
        <w:t xml:space="preserve">, որոնցից </w:t>
      </w:r>
      <w:r w:rsidR="00A54721" w:rsidRPr="00B57DAB">
        <w:rPr>
          <w:rFonts w:ascii="GHEA Grapalat" w:hAnsi="GHEA Grapalat" w:cs="GHEA Grapalat"/>
          <w:sz w:val="22"/>
          <w:szCs w:val="22"/>
        </w:rPr>
        <w:t xml:space="preserve">առաջին եռամսյակում </w:t>
      </w:r>
      <w:r w:rsidRPr="00B57DAB">
        <w:rPr>
          <w:rFonts w:ascii="GHEA Grapalat" w:hAnsi="GHEA Grapalat" w:cs="GHEA Grapalat"/>
          <w:sz w:val="22"/>
          <w:szCs w:val="22"/>
        </w:rPr>
        <w:t>փաստացի միջոցներ են օգտագործվել 1</w:t>
      </w:r>
      <w:r w:rsidR="0068673B" w:rsidRPr="00B57DAB">
        <w:rPr>
          <w:rFonts w:ascii="GHEA Grapalat" w:hAnsi="GHEA Grapalat" w:cs="GHEA Grapalat"/>
          <w:sz w:val="22"/>
          <w:szCs w:val="22"/>
        </w:rPr>
        <w:t>5</w:t>
      </w:r>
      <w:r w:rsidR="007C577B" w:rsidRPr="00B57DAB">
        <w:rPr>
          <w:rFonts w:ascii="GHEA Grapalat" w:hAnsi="GHEA Grapalat" w:cs="GHEA Grapalat"/>
          <w:sz w:val="22"/>
          <w:szCs w:val="22"/>
        </w:rPr>
        <w:t>7</w:t>
      </w:r>
      <w:r w:rsidRPr="00B57DAB">
        <w:rPr>
          <w:rFonts w:ascii="GHEA Grapalat" w:hAnsi="GHEA Grapalat" w:cs="GHEA Grapalat"/>
          <w:sz w:val="22"/>
          <w:szCs w:val="22"/>
        </w:rPr>
        <w:t xml:space="preserve">-ի գծով, </w:t>
      </w:r>
      <w:r w:rsidR="0068673B" w:rsidRPr="00B57DAB">
        <w:rPr>
          <w:rFonts w:ascii="GHEA Grapalat" w:hAnsi="GHEA Grapalat" w:cs="GHEA Grapalat"/>
          <w:sz w:val="22"/>
          <w:szCs w:val="22"/>
        </w:rPr>
        <w:t>ընդ որում</w:t>
      </w:r>
      <w:r w:rsidRPr="00B57DAB">
        <w:rPr>
          <w:rFonts w:ascii="GHEA Grapalat" w:hAnsi="GHEA Grapalat" w:cs="GHEA Grapalat"/>
          <w:sz w:val="22"/>
          <w:szCs w:val="22"/>
        </w:rPr>
        <w:t xml:space="preserve"> ՀՀ կառավարության պատասխանատվությամբ 3 ծրագրերի շրջանակներում նախատեսված միջոցներն ըստ անհրաժեշտության վերաբաշխվել են համապատասխան ծրագրերին և միջոցառումներին: Ծրա</w:t>
      </w:r>
      <w:r w:rsidR="00A54721" w:rsidRPr="00B57DAB">
        <w:rPr>
          <w:rFonts w:ascii="GHEA Grapalat" w:hAnsi="GHEA Grapalat" w:cs="GHEA Grapalat"/>
          <w:sz w:val="22"/>
          <w:szCs w:val="22"/>
        </w:rPr>
        <w:t>գրերի շրջանակներում նախատեսված 71</w:t>
      </w:r>
      <w:r w:rsidR="00475D63" w:rsidRPr="00B57DAB">
        <w:rPr>
          <w:rFonts w:ascii="GHEA Grapalat" w:hAnsi="GHEA Grapalat" w:cs="GHEA Grapalat"/>
          <w:sz w:val="22"/>
          <w:szCs w:val="22"/>
        </w:rPr>
        <w:t>8</w:t>
      </w:r>
      <w:r w:rsidRPr="00B57DAB">
        <w:rPr>
          <w:rFonts w:ascii="GHEA Grapalat" w:hAnsi="GHEA Grapalat" w:cs="GHEA Grapalat"/>
          <w:sz w:val="22"/>
          <w:szCs w:val="22"/>
        </w:rPr>
        <w:t xml:space="preserve"> միջոցառումներից ամբողջությամբ կամ մասնակիորեն կատարվել են </w:t>
      </w:r>
      <w:r w:rsidR="00A54721" w:rsidRPr="00B57DAB">
        <w:rPr>
          <w:rFonts w:ascii="GHEA Grapalat" w:hAnsi="GHEA Grapalat" w:cs="GHEA Grapalat"/>
          <w:sz w:val="22"/>
          <w:szCs w:val="22"/>
        </w:rPr>
        <w:t>5</w:t>
      </w:r>
      <w:r w:rsidR="00475D63" w:rsidRPr="00B57DAB">
        <w:rPr>
          <w:rFonts w:ascii="GHEA Grapalat" w:hAnsi="GHEA Grapalat" w:cs="GHEA Grapalat"/>
          <w:sz w:val="22"/>
          <w:szCs w:val="22"/>
        </w:rPr>
        <w:t>86</w:t>
      </w:r>
      <w:r w:rsidRPr="00B57DAB">
        <w:rPr>
          <w:rFonts w:ascii="GHEA Grapalat" w:hAnsi="GHEA Grapalat" w:cs="GHEA Grapalat"/>
          <w:sz w:val="22"/>
          <w:szCs w:val="22"/>
        </w:rPr>
        <w:t xml:space="preserve">-ը կամ </w:t>
      </w:r>
      <w:r w:rsidR="00475D63" w:rsidRPr="00B57DAB">
        <w:rPr>
          <w:rFonts w:ascii="GHEA Grapalat" w:hAnsi="GHEA Grapalat" w:cs="GHEA Grapalat"/>
          <w:sz w:val="22"/>
          <w:szCs w:val="22"/>
        </w:rPr>
        <w:t>81.6</w:t>
      </w:r>
      <w:r w:rsidRPr="00B57DAB">
        <w:rPr>
          <w:rFonts w:ascii="GHEA Grapalat" w:hAnsi="GHEA Grapalat" w:cs="GHEA Grapalat"/>
          <w:sz w:val="22"/>
          <w:szCs w:val="22"/>
        </w:rPr>
        <w:t>%-ը:</w:t>
      </w:r>
    </w:p>
    <w:p w:rsidR="00A95DFB" w:rsidRPr="00B57DAB" w:rsidRDefault="00A95DFB" w:rsidP="00A95DFB">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20</w:t>
      </w:r>
      <w:r w:rsidR="00475D63" w:rsidRPr="00B57DAB">
        <w:rPr>
          <w:rFonts w:ascii="GHEA Grapalat" w:hAnsi="GHEA Grapalat" w:cs="GHEA Grapalat"/>
          <w:sz w:val="22"/>
          <w:szCs w:val="22"/>
        </w:rPr>
        <w:t>22</w:t>
      </w:r>
      <w:r w:rsidRPr="00B57DAB">
        <w:rPr>
          <w:rFonts w:ascii="GHEA Grapalat" w:hAnsi="GHEA Grapalat" w:cs="GHEA Grapalat"/>
          <w:sz w:val="22"/>
          <w:szCs w:val="22"/>
        </w:rPr>
        <w:t xml:space="preserve"> թվականի</w:t>
      </w:r>
      <w:r w:rsidR="00A54721" w:rsidRPr="00B57DAB">
        <w:rPr>
          <w:rFonts w:ascii="GHEA Grapalat" w:hAnsi="GHEA Grapalat" w:cs="GHEA Grapalat"/>
          <w:sz w:val="22"/>
          <w:szCs w:val="22"/>
        </w:rPr>
        <w:t xml:space="preserve"> առաջին եռամսյակում</w:t>
      </w:r>
      <w:r w:rsidRPr="00B57DAB">
        <w:rPr>
          <w:rFonts w:ascii="GHEA Grapalat" w:hAnsi="GHEA Grapalat" w:cs="GHEA Grapalat"/>
          <w:sz w:val="22"/>
          <w:szCs w:val="22"/>
        </w:rPr>
        <w:t xml:space="preserve"> ՀՀ պետ</w:t>
      </w:r>
      <w:r w:rsidR="00A54721" w:rsidRPr="00B57DAB">
        <w:rPr>
          <w:rFonts w:ascii="GHEA Grapalat" w:hAnsi="GHEA Grapalat" w:cs="GHEA Grapalat"/>
          <w:sz w:val="22"/>
          <w:szCs w:val="22"/>
        </w:rPr>
        <w:t xml:space="preserve">ական բյուջեի ծախսերը կազմել են </w:t>
      </w:r>
      <w:r w:rsidR="00475D63" w:rsidRPr="00B57DAB">
        <w:rPr>
          <w:rFonts w:ascii="GHEA Grapalat" w:hAnsi="GHEA Grapalat" w:cs="GHEA Grapalat"/>
          <w:sz w:val="22"/>
          <w:szCs w:val="22"/>
        </w:rPr>
        <w:t>396.8</w:t>
      </w:r>
      <w:r w:rsidRPr="00B57DAB">
        <w:rPr>
          <w:rFonts w:ascii="GHEA Grapalat" w:hAnsi="GHEA Grapalat" w:cs="GHEA Grapalat"/>
          <w:sz w:val="22"/>
          <w:szCs w:val="22"/>
        </w:rPr>
        <w:t xml:space="preserve"> մլրդ դրամ կամ ծրագրված ցուցանիշի </w:t>
      </w:r>
      <w:r w:rsidR="00A54721" w:rsidRPr="00B57DAB">
        <w:rPr>
          <w:rFonts w:ascii="GHEA Grapalat" w:hAnsi="GHEA Grapalat" w:cs="GHEA Grapalat"/>
          <w:sz w:val="22"/>
          <w:szCs w:val="22"/>
        </w:rPr>
        <w:t>8</w:t>
      </w:r>
      <w:r w:rsidR="00475D63" w:rsidRPr="00B57DAB">
        <w:rPr>
          <w:rFonts w:ascii="GHEA Grapalat" w:hAnsi="GHEA Grapalat" w:cs="GHEA Grapalat"/>
          <w:sz w:val="22"/>
          <w:szCs w:val="22"/>
        </w:rPr>
        <w:t>1.</w:t>
      </w:r>
      <w:r w:rsidR="00A54721" w:rsidRPr="00B57DAB">
        <w:rPr>
          <w:rFonts w:ascii="GHEA Grapalat" w:hAnsi="GHEA Grapalat" w:cs="GHEA Grapalat"/>
          <w:sz w:val="22"/>
          <w:szCs w:val="22"/>
        </w:rPr>
        <w:t>6</w:t>
      </w:r>
      <w:r w:rsidRPr="00B57DAB">
        <w:rPr>
          <w:rFonts w:ascii="GHEA Grapalat" w:hAnsi="GHEA Grapalat" w:cs="GHEA Grapalat"/>
          <w:sz w:val="22"/>
          <w:szCs w:val="22"/>
        </w:rPr>
        <w:t xml:space="preserve">%-ը: Շեղումը կազմել է </w:t>
      </w:r>
      <w:r w:rsidR="00475D63" w:rsidRPr="00B57DAB">
        <w:rPr>
          <w:rFonts w:ascii="GHEA Grapalat" w:hAnsi="GHEA Grapalat" w:cs="GHEA Grapalat"/>
          <w:sz w:val="22"/>
          <w:szCs w:val="22"/>
        </w:rPr>
        <w:t>89.6</w:t>
      </w:r>
      <w:r w:rsidRPr="00B57DAB">
        <w:rPr>
          <w:rFonts w:ascii="GHEA Grapalat" w:hAnsi="GHEA Grapalat" w:cs="GHEA Grapalat"/>
          <w:sz w:val="22"/>
          <w:szCs w:val="22"/>
        </w:rPr>
        <w:t xml:space="preserve"> մլրդ դրամ, որը հիմնականում արձանագրվել է ՀՀ տարածքային կառավարման և ենթակառուցվածքների</w:t>
      </w:r>
      <w:r w:rsidR="004E07A7" w:rsidRPr="00B57DAB">
        <w:rPr>
          <w:rFonts w:ascii="GHEA Grapalat" w:hAnsi="GHEA Grapalat" w:cs="GHEA Grapalat"/>
          <w:sz w:val="22"/>
          <w:szCs w:val="22"/>
        </w:rPr>
        <w:t xml:space="preserve"> (24.8 մլրդ դրամ)</w:t>
      </w:r>
      <w:r w:rsidRPr="00B57DAB">
        <w:rPr>
          <w:rFonts w:ascii="GHEA Grapalat" w:hAnsi="GHEA Grapalat" w:cs="GHEA Grapalat"/>
          <w:sz w:val="22"/>
          <w:szCs w:val="22"/>
        </w:rPr>
        <w:t>,</w:t>
      </w:r>
      <w:r w:rsidR="00475D63" w:rsidRPr="00B57DAB">
        <w:rPr>
          <w:rFonts w:ascii="GHEA Grapalat" w:hAnsi="GHEA Grapalat" w:cs="GHEA Grapalat"/>
          <w:sz w:val="22"/>
          <w:szCs w:val="22"/>
        </w:rPr>
        <w:t xml:space="preserve"> ՀՀ պաշտպանության</w:t>
      </w:r>
      <w:r w:rsidR="004E07A7" w:rsidRPr="00B57DAB">
        <w:rPr>
          <w:rFonts w:ascii="GHEA Grapalat" w:hAnsi="GHEA Grapalat" w:cs="GHEA Grapalat"/>
          <w:sz w:val="22"/>
          <w:szCs w:val="22"/>
        </w:rPr>
        <w:t xml:space="preserve"> (14.2 մլրդ դրամ)</w:t>
      </w:r>
      <w:r w:rsidR="00475D63" w:rsidRPr="00B57DAB">
        <w:rPr>
          <w:rFonts w:ascii="GHEA Grapalat" w:hAnsi="GHEA Grapalat" w:cs="GHEA Grapalat"/>
          <w:sz w:val="22"/>
          <w:szCs w:val="22"/>
        </w:rPr>
        <w:t>,</w:t>
      </w:r>
      <w:r w:rsidRPr="00B57DAB">
        <w:rPr>
          <w:rFonts w:ascii="GHEA Grapalat" w:hAnsi="GHEA Grapalat" w:cs="GHEA Grapalat"/>
          <w:sz w:val="22"/>
          <w:szCs w:val="22"/>
        </w:rPr>
        <w:t xml:space="preserve"> ՀՀ աշխատանքի և սոցիալական հարցերի</w:t>
      </w:r>
      <w:r w:rsidR="004E07A7" w:rsidRPr="00B57DAB">
        <w:rPr>
          <w:rFonts w:ascii="GHEA Grapalat" w:hAnsi="GHEA Grapalat" w:cs="GHEA Grapalat"/>
          <w:sz w:val="22"/>
          <w:szCs w:val="22"/>
        </w:rPr>
        <w:t xml:space="preserve"> (14.2 մլրդ դրամ)</w:t>
      </w:r>
      <w:r w:rsidRPr="00B57DAB">
        <w:rPr>
          <w:rFonts w:ascii="GHEA Grapalat" w:hAnsi="GHEA Grapalat" w:cs="GHEA Grapalat"/>
          <w:sz w:val="22"/>
          <w:szCs w:val="22"/>
        </w:rPr>
        <w:t>, ՀՀ կրթության, գիտության, մշակույթի և սպորտի</w:t>
      </w:r>
      <w:r w:rsidR="004E07A7" w:rsidRPr="00B57DAB">
        <w:rPr>
          <w:rFonts w:ascii="GHEA Grapalat" w:hAnsi="GHEA Grapalat" w:cs="GHEA Grapalat"/>
          <w:sz w:val="22"/>
          <w:szCs w:val="22"/>
        </w:rPr>
        <w:t xml:space="preserve"> (7 մլրդ դրամ)</w:t>
      </w:r>
      <w:r w:rsidRPr="00B57DAB">
        <w:rPr>
          <w:rFonts w:ascii="GHEA Grapalat" w:hAnsi="GHEA Grapalat" w:cs="GHEA Grapalat"/>
          <w:sz w:val="22"/>
          <w:szCs w:val="22"/>
        </w:rPr>
        <w:t xml:space="preserve"> նախարարությունների</w:t>
      </w:r>
      <w:r w:rsidR="00475D63" w:rsidRPr="00B57DAB">
        <w:rPr>
          <w:rFonts w:ascii="GHEA Grapalat" w:hAnsi="GHEA Grapalat" w:cs="GHEA Grapalat"/>
          <w:sz w:val="22"/>
          <w:szCs w:val="22"/>
        </w:rPr>
        <w:t xml:space="preserve"> և ՀՀ ոստիկանության</w:t>
      </w:r>
      <w:r w:rsidR="004E07A7" w:rsidRPr="00B57DAB">
        <w:rPr>
          <w:rFonts w:ascii="GHEA Grapalat" w:hAnsi="GHEA Grapalat" w:cs="GHEA Grapalat"/>
          <w:sz w:val="22"/>
          <w:szCs w:val="22"/>
        </w:rPr>
        <w:t xml:space="preserve"> (4.6 մլրդ դրամ)</w:t>
      </w:r>
      <w:r w:rsidRPr="00B57DAB">
        <w:rPr>
          <w:rFonts w:ascii="GHEA Grapalat" w:hAnsi="GHEA Grapalat" w:cs="GHEA Grapalat"/>
          <w:sz w:val="22"/>
          <w:szCs w:val="22"/>
        </w:rPr>
        <w:t xml:space="preserve"> պատասխանատվությամբ իրականացվող ծրագրերում:</w:t>
      </w:r>
    </w:p>
    <w:p w:rsidR="00A95DFB" w:rsidRPr="00B57DAB" w:rsidRDefault="00A95DFB" w:rsidP="00A95DFB">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Պետական բյուջեի փաստացի ծախսերում ամենամեծ տեսակարար կշիռ</w:t>
      </w:r>
      <w:r w:rsidR="00E45E82" w:rsidRPr="00B57DAB">
        <w:rPr>
          <w:rFonts w:ascii="GHEA Grapalat" w:hAnsi="GHEA Grapalat" w:cs="GHEA Grapalat"/>
          <w:sz w:val="22"/>
          <w:szCs w:val="22"/>
        </w:rPr>
        <w:t>ները՝</w:t>
      </w:r>
      <w:r w:rsidRPr="00B57DAB">
        <w:rPr>
          <w:rFonts w:ascii="GHEA Grapalat" w:hAnsi="GHEA Grapalat" w:cs="GHEA Grapalat"/>
          <w:sz w:val="22"/>
          <w:szCs w:val="22"/>
        </w:rPr>
        <w:t xml:space="preserve"> </w:t>
      </w:r>
      <w:r w:rsidR="00045F1D" w:rsidRPr="00B57DAB">
        <w:rPr>
          <w:rFonts w:ascii="GHEA Grapalat" w:hAnsi="GHEA Grapalat" w:cs="GHEA Grapalat"/>
          <w:sz w:val="22"/>
          <w:szCs w:val="22"/>
        </w:rPr>
        <w:t>36.2</w:t>
      </w:r>
      <w:r w:rsidRPr="00B57DAB">
        <w:rPr>
          <w:rFonts w:ascii="GHEA Grapalat" w:hAnsi="GHEA Grapalat" w:cs="GHEA Grapalat"/>
          <w:sz w:val="22"/>
          <w:szCs w:val="22"/>
        </w:rPr>
        <w:t>%</w:t>
      </w:r>
      <w:r w:rsidR="00E45E82" w:rsidRPr="00B57DAB">
        <w:rPr>
          <w:rFonts w:ascii="GHEA Grapalat" w:hAnsi="GHEA Grapalat" w:cs="GHEA Grapalat"/>
          <w:sz w:val="22"/>
          <w:szCs w:val="22"/>
        </w:rPr>
        <w:t xml:space="preserve"> և </w:t>
      </w:r>
      <w:r w:rsidR="00475D63" w:rsidRPr="00B57DAB">
        <w:rPr>
          <w:rFonts w:ascii="GHEA Grapalat" w:hAnsi="GHEA Grapalat" w:cs="GHEA Grapalat"/>
          <w:sz w:val="22"/>
          <w:szCs w:val="22"/>
        </w:rPr>
        <w:t>17.3</w:t>
      </w:r>
      <w:r w:rsidR="00E45E82" w:rsidRPr="00B57DAB">
        <w:rPr>
          <w:rFonts w:ascii="GHEA Grapalat" w:hAnsi="GHEA Grapalat" w:cs="GHEA Grapalat"/>
          <w:sz w:val="22"/>
          <w:szCs w:val="22"/>
        </w:rPr>
        <w:t>%,</w:t>
      </w:r>
      <w:r w:rsidRPr="00B57DAB">
        <w:rPr>
          <w:rFonts w:ascii="GHEA Grapalat" w:hAnsi="GHEA Grapalat" w:cs="GHEA Grapalat"/>
          <w:sz w:val="22"/>
          <w:szCs w:val="22"/>
        </w:rPr>
        <w:t xml:space="preserve"> ունեցել են </w:t>
      </w:r>
      <w:r w:rsidR="00E45E82" w:rsidRPr="00B57DAB">
        <w:rPr>
          <w:rFonts w:ascii="GHEA Grapalat" w:hAnsi="GHEA Grapalat" w:cs="GHEA Grapalat"/>
          <w:sz w:val="22"/>
          <w:szCs w:val="22"/>
        </w:rPr>
        <w:t>համապատ</w:t>
      </w:r>
      <w:r w:rsidR="00A47F29" w:rsidRPr="00B57DAB">
        <w:rPr>
          <w:rFonts w:ascii="GHEA Grapalat" w:hAnsi="GHEA Grapalat" w:cs="GHEA Grapalat"/>
          <w:sz w:val="22"/>
          <w:szCs w:val="22"/>
        </w:rPr>
        <w:t>ա</w:t>
      </w:r>
      <w:r w:rsidR="00E45E82" w:rsidRPr="00B57DAB">
        <w:rPr>
          <w:rFonts w:ascii="GHEA Grapalat" w:hAnsi="GHEA Grapalat" w:cs="GHEA Grapalat"/>
          <w:sz w:val="22"/>
          <w:szCs w:val="22"/>
        </w:rPr>
        <w:t xml:space="preserve">սխանաբար </w:t>
      </w:r>
      <w:r w:rsidRPr="00B57DAB">
        <w:rPr>
          <w:rFonts w:ascii="GHEA Grapalat" w:hAnsi="GHEA Grapalat" w:cs="GHEA Grapalat"/>
          <w:sz w:val="22"/>
          <w:szCs w:val="22"/>
        </w:rPr>
        <w:t>ՀՀ աշխատանքի և սոցիալական հարցերի նախարարության</w:t>
      </w:r>
      <w:r w:rsidR="00E45E82" w:rsidRPr="00B57DAB">
        <w:rPr>
          <w:rFonts w:ascii="GHEA Grapalat" w:hAnsi="GHEA Grapalat" w:cs="GHEA Grapalat"/>
          <w:sz w:val="22"/>
          <w:szCs w:val="22"/>
        </w:rPr>
        <w:t xml:space="preserve"> և ՀՀ պաշտպանության</w:t>
      </w:r>
      <w:r w:rsidRPr="00B57DAB">
        <w:rPr>
          <w:rFonts w:ascii="GHEA Grapalat" w:hAnsi="GHEA Grapalat" w:cs="GHEA Grapalat"/>
          <w:sz w:val="22"/>
          <w:szCs w:val="22"/>
        </w:rPr>
        <w:t xml:space="preserve"> </w:t>
      </w:r>
      <w:r w:rsidR="00E45E82" w:rsidRPr="00B57DAB">
        <w:rPr>
          <w:rFonts w:ascii="GHEA Grapalat" w:hAnsi="GHEA Grapalat" w:cs="GHEA Grapalat"/>
          <w:sz w:val="22"/>
          <w:szCs w:val="22"/>
        </w:rPr>
        <w:t xml:space="preserve">նախարարության </w:t>
      </w:r>
      <w:r w:rsidRPr="00B57DAB">
        <w:rPr>
          <w:rFonts w:ascii="GHEA Grapalat" w:hAnsi="GHEA Grapalat" w:cs="GHEA Grapalat"/>
          <w:sz w:val="22"/>
          <w:szCs w:val="22"/>
        </w:rPr>
        <w:t>պատասխանատվությամբ իրականացվող ծրագրերը:</w:t>
      </w:r>
    </w:p>
    <w:p w:rsidR="00A47F29" w:rsidRPr="00B57DAB" w:rsidRDefault="00A47F29" w:rsidP="00A95DFB">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202</w:t>
      </w:r>
      <w:r w:rsidR="00475D63" w:rsidRPr="00B57DAB">
        <w:rPr>
          <w:rFonts w:ascii="GHEA Grapalat" w:hAnsi="GHEA Grapalat" w:cs="GHEA Grapalat"/>
          <w:sz w:val="22"/>
          <w:szCs w:val="22"/>
        </w:rPr>
        <w:t>1</w:t>
      </w:r>
      <w:r w:rsidRPr="00B57DAB">
        <w:rPr>
          <w:rFonts w:ascii="GHEA Grapalat" w:hAnsi="GHEA Grapalat" w:cs="GHEA Grapalat"/>
          <w:sz w:val="22"/>
          <w:szCs w:val="22"/>
        </w:rPr>
        <w:t xml:space="preserve"> թվականի առաջին եռամսյակի համեմատ ՀՀ պետական բյուջեի ծախսեր</w:t>
      </w:r>
      <w:r w:rsidR="00475D63" w:rsidRPr="00B57DAB">
        <w:rPr>
          <w:rFonts w:ascii="GHEA Grapalat" w:hAnsi="GHEA Grapalat" w:cs="GHEA Grapalat"/>
          <w:sz w:val="22"/>
          <w:szCs w:val="22"/>
        </w:rPr>
        <w:t>ը նվազել են</w:t>
      </w:r>
      <w:r w:rsidRPr="00B57DAB">
        <w:rPr>
          <w:rFonts w:ascii="GHEA Grapalat" w:hAnsi="GHEA Grapalat" w:cs="GHEA Grapalat"/>
          <w:sz w:val="22"/>
          <w:szCs w:val="22"/>
        </w:rPr>
        <w:t xml:space="preserve"> 2</w:t>
      </w:r>
      <w:r w:rsidR="00475D63" w:rsidRPr="00B57DAB">
        <w:rPr>
          <w:rFonts w:ascii="GHEA Grapalat" w:hAnsi="GHEA Grapalat" w:cs="GHEA Grapalat"/>
          <w:sz w:val="22"/>
          <w:szCs w:val="22"/>
        </w:rPr>
        <w:t>%</w:t>
      </w:r>
      <w:r w:rsidR="00475D63" w:rsidRPr="00B57DAB">
        <w:rPr>
          <w:rFonts w:ascii="GHEA Grapalat" w:hAnsi="GHEA Grapalat" w:cs="GHEA Grapalat"/>
          <w:sz w:val="22"/>
          <w:szCs w:val="22"/>
        </w:rPr>
        <w:noBreakHyphen/>
      </w:r>
      <w:r w:rsidRPr="00B57DAB">
        <w:rPr>
          <w:rFonts w:ascii="GHEA Grapalat" w:hAnsi="GHEA Grapalat" w:cs="GHEA Grapalat"/>
          <w:sz w:val="22"/>
          <w:szCs w:val="22"/>
        </w:rPr>
        <w:t xml:space="preserve">ով կամ </w:t>
      </w:r>
      <w:r w:rsidR="00710E4A" w:rsidRPr="00B57DAB">
        <w:rPr>
          <w:rFonts w:ascii="GHEA Grapalat" w:hAnsi="GHEA Grapalat" w:cs="GHEA Grapalat"/>
          <w:sz w:val="22"/>
          <w:szCs w:val="22"/>
        </w:rPr>
        <w:t>8.1</w:t>
      </w:r>
      <w:r w:rsidRPr="00B57DAB">
        <w:rPr>
          <w:rFonts w:ascii="GHEA Grapalat" w:hAnsi="GHEA Grapalat" w:cs="GHEA Grapalat"/>
          <w:sz w:val="22"/>
          <w:szCs w:val="22"/>
        </w:rPr>
        <w:t xml:space="preserve"> մլրդ դրամով, որը հիմնականում պայմանավորված է </w:t>
      </w:r>
      <w:r w:rsidR="00F92EE2" w:rsidRPr="00B57DAB">
        <w:rPr>
          <w:rFonts w:ascii="GHEA Grapalat" w:hAnsi="GHEA Grapalat" w:cs="GHEA Grapalat"/>
          <w:sz w:val="22"/>
          <w:szCs w:val="22"/>
        </w:rPr>
        <w:t>ՀՀ պաշտպանության նախարարության</w:t>
      </w:r>
      <w:r w:rsidRPr="00B57DAB">
        <w:rPr>
          <w:rFonts w:ascii="GHEA Grapalat" w:hAnsi="GHEA Grapalat" w:cs="GHEA Grapalat"/>
          <w:sz w:val="22"/>
          <w:szCs w:val="22"/>
        </w:rPr>
        <w:t xml:space="preserve"> ծախսերի</w:t>
      </w:r>
      <w:r w:rsidR="00F92EE2" w:rsidRPr="00B57DAB">
        <w:rPr>
          <w:rFonts w:ascii="GHEA Grapalat" w:hAnsi="GHEA Grapalat" w:cs="GHEA Grapalat"/>
          <w:sz w:val="22"/>
          <w:szCs w:val="22"/>
        </w:rPr>
        <w:t xml:space="preserve"> 17.6% (14.6 մլրդ դրամ)</w:t>
      </w:r>
      <w:r w:rsidRPr="00B57DAB">
        <w:rPr>
          <w:rFonts w:ascii="GHEA Grapalat" w:hAnsi="GHEA Grapalat" w:cs="GHEA Grapalat"/>
          <w:sz w:val="22"/>
          <w:szCs w:val="22"/>
        </w:rPr>
        <w:t xml:space="preserve"> </w:t>
      </w:r>
      <w:r w:rsidR="00F92EE2" w:rsidRPr="00B57DAB">
        <w:rPr>
          <w:rFonts w:ascii="GHEA Grapalat" w:hAnsi="GHEA Grapalat" w:cs="GHEA Grapalat"/>
          <w:sz w:val="22"/>
          <w:szCs w:val="22"/>
        </w:rPr>
        <w:t>նվազմամբ</w:t>
      </w:r>
      <w:r w:rsidRPr="00B57DAB">
        <w:rPr>
          <w:rFonts w:ascii="GHEA Grapalat" w:hAnsi="GHEA Grapalat" w:cs="GHEA Grapalat"/>
          <w:sz w:val="22"/>
          <w:szCs w:val="22"/>
        </w:rPr>
        <w:t>:</w:t>
      </w:r>
    </w:p>
    <w:p w:rsidR="004E07A7" w:rsidRDefault="004E07A7" w:rsidP="00A95DFB">
      <w:pPr>
        <w:autoSpaceDE w:val="0"/>
        <w:autoSpaceDN w:val="0"/>
        <w:adjustRightInd w:val="0"/>
        <w:spacing w:line="360" w:lineRule="auto"/>
        <w:ind w:firstLine="567"/>
        <w:jc w:val="both"/>
        <w:rPr>
          <w:rFonts w:ascii="GHEA Grapalat" w:hAnsi="GHEA Grapalat" w:cs="GHEA Grapalat"/>
          <w:sz w:val="22"/>
          <w:szCs w:val="22"/>
        </w:rPr>
      </w:pPr>
    </w:p>
    <w:p w:rsidR="00D06624" w:rsidRDefault="00D06624" w:rsidP="00A95DFB">
      <w:pPr>
        <w:autoSpaceDE w:val="0"/>
        <w:autoSpaceDN w:val="0"/>
        <w:adjustRightInd w:val="0"/>
        <w:spacing w:line="360" w:lineRule="auto"/>
        <w:ind w:firstLine="567"/>
        <w:jc w:val="both"/>
        <w:rPr>
          <w:rFonts w:ascii="GHEA Grapalat" w:hAnsi="GHEA Grapalat" w:cs="GHEA Grapalat"/>
          <w:sz w:val="22"/>
          <w:szCs w:val="22"/>
        </w:rPr>
      </w:pPr>
    </w:p>
    <w:p w:rsidR="00D06624" w:rsidRDefault="00D06624" w:rsidP="00A95DFB">
      <w:pPr>
        <w:autoSpaceDE w:val="0"/>
        <w:autoSpaceDN w:val="0"/>
        <w:adjustRightInd w:val="0"/>
        <w:spacing w:line="360" w:lineRule="auto"/>
        <w:ind w:firstLine="567"/>
        <w:jc w:val="both"/>
        <w:rPr>
          <w:rFonts w:ascii="GHEA Grapalat" w:hAnsi="GHEA Grapalat" w:cs="GHEA Grapalat"/>
          <w:sz w:val="22"/>
          <w:szCs w:val="22"/>
        </w:rPr>
      </w:pPr>
    </w:p>
    <w:p w:rsidR="00D06624" w:rsidRDefault="00D06624" w:rsidP="00A95DFB">
      <w:pPr>
        <w:autoSpaceDE w:val="0"/>
        <w:autoSpaceDN w:val="0"/>
        <w:adjustRightInd w:val="0"/>
        <w:spacing w:line="360" w:lineRule="auto"/>
        <w:ind w:firstLine="567"/>
        <w:jc w:val="both"/>
        <w:rPr>
          <w:rFonts w:ascii="GHEA Grapalat" w:hAnsi="GHEA Grapalat" w:cs="GHEA Grapalat"/>
          <w:sz w:val="22"/>
          <w:szCs w:val="22"/>
        </w:rPr>
      </w:pPr>
    </w:p>
    <w:p w:rsidR="00D06624" w:rsidRPr="00B57DAB" w:rsidRDefault="00D06624" w:rsidP="00A95DFB">
      <w:pPr>
        <w:autoSpaceDE w:val="0"/>
        <w:autoSpaceDN w:val="0"/>
        <w:adjustRightInd w:val="0"/>
        <w:spacing w:line="360" w:lineRule="auto"/>
        <w:ind w:firstLine="567"/>
        <w:jc w:val="both"/>
        <w:rPr>
          <w:rFonts w:ascii="GHEA Grapalat" w:hAnsi="GHEA Grapalat" w:cs="GHEA Grapalat"/>
          <w:sz w:val="22"/>
          <w:szCs w:val="22"/>
        </w:rPr>
      </w:pPr>
    </w:p>
    <w:p w:rsidR="004E07A7" w:rsidRPr="00B57DAB" w:rsidRDefault="004E07A7" w:rsidP="004E07A7">
      <w:pPr>
        <w:pStyle w:val="Caption"/>
        <w:keepNext/>
        <w:numPr>
          <w:ilvl w:val="0"/>
          <w:numId w:val="8"/>
        </w:numPr>
        <w:tabs>
          <w:tab w:val="left" w:pos="1276"/>
        </w:tabs>
        <w:ind w:left="0" w:firstLine="0"/>
        <w:jc w:val="left"/>
        <w:rPr>
          <w:rFonts w:ascii="GHEA Grapalat" w:hAnsi="GHEA Grapalat"/>
          <w:i/>
          <w:sz w:val="18"/>
          <w:szCs w:val="18"/>
          <w:lang w:val="en-US"/>
        </w:rPr>
      </w:pPr>
      <w:r w:rsidRPr="00B57DAB">
        <w:rPr>
          <w:rFonts w:ascii="GHEA Grapalat" w:hAnsi="GHEA Grapalat"/>
          <w:i/>
          <w:sz w:val="18"/>
          <w:szCs w:val="18"/>
          <w:lang w:val="en-US"/>
        </w:rPr>
        <w:lastRenderedPageBreak/>
        <w:t>ՀՀ պետական բյուջեի ծախսերն ըստ պատասխանատու մարմինների (մլրդ դրամ)</w:t>
      </w:r>
    </w:p>
    <w:tbl>
      <w:tblPr>
        <w:tblW w:w="10200" w:type="dxa"/>
        <w:jc w:val="center"/>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1204"/>
        <w:gridCol w:w="1212"/>
        <w:gridCol w:w="1203"/>
        <w:gridCol w:w="1203"/>
        <w:gridCol w:w="1203"/>
        <w:gridCol w:w="1060"/>
      </w:tblGrid>
      <w:tr w:rsidR="00710E4A" w:rsidRPr="00B57DAB" w:rsidTr="002A4B9F">
        <w:trPr>
          <w:trHeight w:val="300"/>
          <w:jc w:val="center"/>
        </w:trPr>
        <w:tc>
          <w:tcPr>
            <w:tcW w:w="3115" w:type="dxa"/>
            <w:shd w:val="clear" w:color="auto" w:fill="auto"/>
            <w:noWrap/>
            <w:vAlign w:val="bottom"/>
            <w:hideMark/>
          </w:tcPr>
          <w:p w:rsidR="00710E4A" w:rsidRPr="00B57DAB" w:rsidRDefault="00710E4A" w:rsidP="002A4B9F">
            <w:pPr>
              <w:rPr>
                <w:rFonts w:ascii="GHEA Grapalat" w:hAnsi="GHEA Grapalat" w:cs="Calibri"/>
                <w:color w:val="000000"/>
                <w:sz w:val="18"/>
                <w:szCs w:val="18"/>
              </w:rPr>
            </w:pPr>
          </w:p>
        </w:tc>
        <w:tc>
          <w:tcPr>
            <w:tcW w:w="1211" w:type="dxa"/>
          </w:tcPr>
          <w:p w:rsidR="00710E4A" w:rsidRPr="00B57DAB" w:rsidRDefault="00710E4A" w:rsidP="00710E4A">
            <w:pPr>
              <w:jc w:val="center"/>
              <w:rPr>
                <w:rFonts w:ascii="GHEA Grapalat" w:hAnsi="GHEA Grapalat" w:cs="Calibri"/>
                <w:b/>
                <w:noProof/>
                <w:color w:val="000000"/>
                <w:sz w:val="18"/>
                <w:szCs w:val="18"/>
              </w:rPr>
            </w:pPr>
            <w:r w:rsidRPr="00B57DAB">
              <w:rPr>
                <w:rFonts w:ascii="GHEA Grapalat" w:hAnsi="GHEA Grapalat" w:cs="Calibri"/>
                <w:b/>
                <w:color w:val="000000"/>
                <w:sz w:val="18"/>
                <w:szCs w:val="18"/>
              </w:rPr>
              <w:t>2021թ. առաջին եռամսյակի փաստ</w:t>
            </w:r>
          </w:p>
        </w:tc>
        <w:tc>
          <w:tcPr>
            <w:tcW w:w="1340" w:type="dxa"/>
          </w:tcPr>
          <w:p w:rsidR="00710E4A" w:rsidRPr="00B57DAB" w:rsidRDefault="00710E4A" w:rsidP="002A4B9F">
            <w:pPr>
              <w:jc w:val="center"/>
              <w:rPr>
                <w:rFonts w:ascii="GHEA Grapalat" w:hAnsi="GHEA Grapalat" w:cs="Calibri"/>
                <w:b/>
                <w:noProof/>
                <w:color w:val="000000"/>
                <w:sz w:val="18"/>
                <w:szCs w:val="18"/>
                <w:lang w:val="hy-AM"/>
              </w:rPr>
            </w:pPr>
            <w:r w:rsidRPr="00B57DAB">
              <w:rPr>
                <w:rFonts w:ascii="GHEA Grapalat" w:hAnsi="GHEA Grapalat" w:cs="Calibri"/>
                <w:b/>
                <w:color w:val="000000"/>
                <w:sz w:val="18"/>
                <w:szCs w:val="18"/>
              </w:rPr>
              <w:t>2022թ. առաջին եռամսյակի ճշտված պլան</w:t>
            </w:r>
          </w:p>
        </w:tc>
        <w:tc>
          <w:tcPr>
            <w:tcW w:w="1156" w:type="dxa"/>
            <w:shd w:val="clear" w:color="auto" w:fill="auto"/>
            <w:noWrap/>
            <w:hideMark/>
          </w:tcPr>
          <w:p w:rsidR="00710E4A" w:rsidRPr="00B57DAB" w:rsidRDefault="00710E4A" w:rsidP="002A4B9F">
            <w:pPr>
              <w:jc w:val="center"/>
              <w:rPr>
                <w:rFonts w:ascii="GHEA Grapalat" w:hAnsi="GHEA Grapalat" w:cs="Calibri"/>
                <w:b/>
                <w:noProof/>
                <w:color w:val="000000"/>
                <w:sz w:val="18"/>
                <w:szCs w:val="18"/>
                <w:lang w:val="hy-AM"/>
              </w:rPr>
            </w:pPr>
            <w:r w:rsidRPr="00B57DAB">
              <w:rPr>
                <w:rFonts w:ascii="GHEA Grapalat" w:hAnsi="GHEA Grapalat" w:cs="Calibri"/>
                <w:b/>
                <w:color w:val="000000"/>
                <w:sz w:val="18"/>
                <w:szCs w:val="18"/>
              </w:rPr>
              <w:t>2022թ. առաջին եռամսյակի փաստ</w:t>
            </w:r>
          </w:p>
        </w:tc>
        <w:tc>
          <w:tcPr>
            <w:tcW w:w="1195" w:type="dxa"/>
          </w:tcPr>
          <w:p w:rsidR="00710E4A" w:rsidRPr="00B57DAB" w:rsidRDefault="00710E4A" w:rsidP="002A4B9F">
            <w:pPr>
              <w:jc w:val="center"/>
              <w:rPr>
                <w:rFonts w:ascii="GHEA Grapalat" w:hAnsi="GHEA Grapalat" w:cs="Calibri"/>
                <w:b/>
                <w:noProof/>
                <w:color w:val="000000"/>
                <w:sz w:val="18"/>
                <w:szCs w:val="18"/>
                <w:lang w:val="hy-AM"/>
              </w:rPr>
            </w:pPr>
            <w:r w:rsidRPr="00B57DAB">
              <w:rPr>
                <w:rFonts w:ascii="GHEA Grapalat" w:hAnsi="GHEA Grapalat" w:cs="Calibri"/>
                <w:b/>
                <w:color w:val="000000"/>
                <w:sz w:val="18"/>
                <w:szCs w:val="18"/>
              </w:rPr>
              <w:t xml:space="preserve">Կատարո-ղականն առաջին եռամսյակի ճշտված պլանի նկատմամբ (%) </w:t>
            </w:r>
          </w:p>
        </w:tc>
        <w:tc>
          <w:tcPr>
            <w:tcW w:w="948" w:type="dxa"/>
          </w:tcPr>
          <w:p w:rsidR="00710E4A" w:rsidRPr="00B57DAB" w:rsidRDefault="00710E4A" w:rsidP="002A4B9F">
            <w:pPr>
              <w:jc w:val="center"/>
              <w:rPr>
                <w:rFonts w:ascii="GHEA Grapalat" w:hAnsi="GHEA Grapalat" w:cs="Calibri"/>
                <w:b/>
                <w:noProof/>
                <w:color w:val="000000"/>
                <w:sz w:val="18"/>
                <w:szCs w:val="18"/>
              </w:rPr>
            </w:pPr>
            <w:r w:rsidRPr="00B57DAB">
              <w:rPr>
                <w:rFonts w:ascii="GHEA Grapalat" w:hAnsi="GHEA Grapalat" w:cs="Calibri"/>
                <w:b/>
                <w:bCs/>
                <w:color w:val="000000"/>
                <w:sz w:val="18"/>
                <w:szCs w:val="18"/>
              </w:rPr>
              <w:t xml:space="preserve">2022թ. </w:t>
            </w:r>
            <w:r w:rsidRPr="00B57DAB">
              <w:rPr>
                <w:rFonts w:ascii="GHEA Grapalat" w:hAnsi="GHEA Grapalat" w:cs="Calibri"/>
                <w:b/>
                <w:color w:val="000000"/>
                <w:sz w:val="18"/>
                <w:szCs w:val="18"/>
              </w:rPr>
              <w:t xml:space="preserve">առաջին եռամսյակը </w:t>
            </w:r>
            <w:r w:rsidRPr="00B57DAB">
              <w:rPr>
                <w:rFonts w:ascii="GHEA Grapalat" w:hAnsi="GHEA Grapalat" w:cs="Calibri"/>
                <w:b/>
                <w:bCs/>
                <w:color w:val="000000"/>
                <w:sz w:val="18"/>
                <w:szCs w:val="18"/>
              </w:rPr>
              <w:t xml:space="preserve">2021թ. </w:t>
            </w:r>
            <w:proofErr w:type="gramStart"/>
            <w:r w:rsidRPr="00B57DAB">
              <w:rPr>
                <w:rFonts w:ascii="GHEA Grapalat" w:hAnsi="GHEA Grapalat" w:cs="Calibri"/>
                <w:b/>
                <w:color w:val="000000"/>
                <w:sz w:val="18"/>
                <w:szCs w:val="18"/>
              </w:rPr>
              <w:t>առաջին</w:t>
            </w:r>
            <w:proofErr w:type="gramEnd"/>
            <w:r w:rsidRPr="00B57DAB">
              <w:rPr>
                <w:rFonts w:ascii="GHEA Grapalat" w:hAnsi="GHEA Grapalat" w:cs="Calibri"/>
                <w:b/>
                <w:color w:val="000000"/>
                <w:sz w:val="18"/>
                <w:szCs w:val="18"/>
              </w:rPr>
              <w:t xml:space="preserve"> եռամսյակի </w:t>
            </w:r>
            <w:r w:rsidRPr="00B57DAB">
              <w:rPr>
                <w:rFonts w:ascii="GHEA Grapalat" w:hAnsi="GHEA Grapalat" w:cs="Calibri"/>
                <w:b/>
                <w:bCs/>
                <w:color w:val="000000"/>
                <w:sz w:val="18"/>
                <w:szCs w:val="18"/>
              </w:rPr>
              <w:t>նկատմամբ (%)</w:t>
            </w:r>
          </w:p>
        </w:tc>
        <w:tc>
          <w:tcPr>
            <w:tcW w:w="1235" w:type="dxa"/>
          </w:tcPr>
          <w:p w:rsidR="00710E4A" w:rsidRPr="00B57DAB" w:rsidRDefault="00710E4A" w:rsidP="002A4B9F">
            <w:pPr>
              <w:jc w:val="center"/>
              <w:rPr>
                <w:rFonts w:ascii="GHEA Grapalat" w:hAnsi="GHEA Grapalat" w:cs="Calibri"/>
                <w:b/>
                <w:noProof/>
                <w:color w:val="000000"/>
                <w:sz w:val="18"/>
                <w:szCs w:val="18"/>
              </w:rPr>
            </w:pPr>
            <w:r w:rsidRPr="00B57DAB">
              <w:rPr>
                <w:rFonts w:ascii="GHEA Grapalat" w:hAnsi="GHEA Grapalat" w:cs="Calibri"/>
                <w:b/>
                <w:bCs/>
                <w:color w:val="000000"/>
                <w:sz w:val="18"/>
                <w:szCs w:val="18"/>
              </w:rPr>
              <w:t>2022թ. և 2021թ. տարբե-րությունը</w:t>
            </w:r>
          </w:p>
        </w:tc>
      </w:tr>
      <w:tr w:rsidR="00710E4A" w:rsidRPr="00B57DAB" w:rsidTr="00710E4A">
        <w:trPr>
          <w:trHeight w:val="331"/>
          <w:jc w:val="center"/>
        </w:trPr>
        <w:tc>
          <w:tcPr>
            <w:tcW w:w="3115" w:type="dxa"/>
            <w:shd w:val="clear" w:color="auto" w:fill="auto"/>
            <w:vAlign w:val="bottom"/>
          </w:tcPr>
          <w:p w:rsidR="00710E4A" w:rsidRPr="00B57DAB" w:rsidRDefault="00710E4A" w:rsidP="00710E4A">
            <w:pPr>
              <w:rPr>
                <w:rFonts w:ascii="GHEA Grapalat" w:hAnsi="GHEA Grapalat" w:cs="Calibri"/>
                <w:b/>
                <w:color w:val="000000"/>
                <w:sz w:val="18"/>
                <w:szCs w:val="18"/>
              </w:rPr>
            </w:pPr>
            <w:r w:rsidRPr="00B57DAB">
              <w:rPr>
                <w:rFonts w:ascii="GHEA Grapalat" w:hAnsi="GHEA Grapalat" w:cs="Calibri"/>
                <w:b/>
                <w:color w:val="000000"/>
                <w:sz w:val="18"/>
                <w:szCs w:val="18"/>
              </w:rPr>
              <w:t>ԸՆԴԱՄԵՆԸ ԾԱԽՍԵՐ</w:t>
            </w:r>
          </w:p>
        </w:tc>
        <w:tc>
          <w:tcPr>
            <w:tcW w:w="1211" w:type="dxa"/>
            <w:vAlign w:val="bottom"/>
          </w:tcPr>
          <w:p w:rsidR="00710E4A" w:rsidRPr="00B57DAB" w:rsidRDefault="00710E4A" w:rsidP="00710E4A">
            <w:pPr>
              <w:jc w:val="right"/>
              <w:rPr>
                <w:rFonts w:ascii="GHEA Grapalat" w:hAnsi="GHEA Grapalat"/>
                <w:b/>
                <w:sz w:val="18"/>
                <w:szCs w:val="18"/>
              </w:rPr>
            </w:pPr>
            <w:r w:rsidRPr="00B57DAB">
              <w:rPr>
                <w:rFonts w:ascii="GHEA Grapalat" w:hAnsi="GHEA Grapalat"/>
                <w:b/>
                <w:sz w:val="18"/>
                <w:szCs w:val="18"/>
              </w:rPr>
              <w:t>404.9</w:t>
            </w:r>
          </w:p>
        </w:tc>
        <w:tc>
          <w:tcPr>
            <w:tcW w:w="1340" w:type="dxa"/>
            <w:vAlign w:val="bottom"/>
          </w:tcPr>
          <w:p w:rsidR="00710E4A" w:rsidRPr="00B57DAB" w:rsidRDefault="00710E4A" w:rsidP="00710E4A">
            <w:pPr>
              <w:jc w:val="right"/>
              <w:rPr>
                <w:rFonts w:ascii="GHEA Grapalat" w:hAnsi="GHEA Grapalat"/>
                <w:b/>
                <w:sz w:val="18"/>
                <w:szCs w:val="18"/>
              </w:rPr>
            </w:pPr>
            <w:r w:rsidRPr="00B57DAB">
              <w:rPr>
                <w:rFonts w:ascii="GHEA Grapalat" w:hAnsi="GHEA Grapalat"/>
                <w:b/>
                <w:sz w:val="18"/>
                <w:szCs w:val="18"/>
              </w:rPr>
              <w:t>486.4</w:t>
            </w:r>
          </w:p>
        </w:tc>
        <w:tc>
          <w:tcPr>
            <w:tcW w:w="1156" w:type="dxa"/>
            <w:shd w:val="clear" w:color="auto" w:fill="auto"/>
            <w:vAlign w:val="bottom"/>
          </w:tcPr>
          <w:p w:rsidR="00710E4A" w:rsidRPr="00B57DAB" w:rsidRDefault="00710E4A" w:rsidP="00710E4A">
            <w:pPr>
              <w:jc w:val="right"/>
              <w:rPr>
                <w:rFonts w:ascii="GHEA Grapalat" w:hAnsi="GHEA Grapalat"/>
                <w:b/>
                <w:sz w:val="18"/>
                <w:szCs w:val="18"/>
              </w:rPr>
            </w:pPr>
            <w:r w:rsidRPr="00B57DAB">
              <w:rPr>
                <w:rFonts w:ascii="GHEA Grapalat" w:hAnsi="GHEA Grapalat"/>
                <w:b/>
                <w:sz w:val="18"/>
                <w:szCs w:val="18"/>
              </w:rPr>
              <w:t>396.8</w:t>
            </w:r>
          </w:p>
        </w:tc>
        <w:tc>
          <w:tcPr>
            <w:tcW w:w="1195" w:type="dxa"/>
            <w:vAlign w:val="bottom"/>
          </w:tcPr>
          <w:p w:rsidR="00710E4A" w:rsidRPr="00B57DAB" w:rsidRDefault="00710E4A" w:rsidP="00710E4A">
            <w:pPr>
              <w:jc w:val="right"/>
              <w:rPr>
                <w:rFonts w:ascii="GHEA Grapalat" w:hAnsi="GHEA Grapalat"/>
                <w:b/>
                <w:sz w:val="18"/>
                <w:szCs w:val="18"/>
              </w:rPr>
            </w:pPr>
            <w:r w:rsidRPr="00B57DAB">
              <w:rPr>
                <w:rFonts w:ascii="GHEA Grapalat" w:hAnsi="GHEA Grapalat"/>
                <w:b/>
                <w:sz w:val="18"/>
                <w:szCs w:val="18"/>
              </w:rPr>
              <w:t>81.6</w:t>
            </w:r>
          </w:p>
        </w:tc>
        <w:tc>
          <w:tcPr>
            <w:tcW w:w="948" w:type="dxa"/>
            <w:vAlign w:val="bottom"/>
          </w:tcPr>
          <w:p w:rsidR="00710E4A" w:rsidRPr="00B57DAB" w:rsidRDefault="00710E4A" w:rsidP="00710E4A">
            <w:pPr>
              <w:jc w:val="right"/>
              <w:rPr>
                <w:rFonts w:ascii="GHEA Grapalat" w:hAnsi="GHEA Grapalat"/>
                <w:b/>
                <w:sz w:val="18"/>
                <w:szCs w:val="18"/>
              </w:rPr>
            </w:pPr>
            <w:r w:rsidRPr="00B57DAB">
              <w:rPr>
                <w:rFonts w:ascii="GHEA Grapalat" w:hAnsi="GHEA Grapalat"/>
                <w:b/>
                <w:sz w:val="18"/>
                <w:szCs w:val="18"/>
              </w:rPr>
              <w:t>81.6</w:t>
            </w:r>
          </w:p>
        </w:tc>
        <w:tc>
          <w:tcPr>
            <w:tcW w:w="1235" w:type="dxa"/>
            <w:vAlign w:val="bottom"/>
          </w:tcPr>
          <w:p w:rsidR="00710E4A" w:rsidRPr="00B57DAB" w:rsidRDefault="00710E4A" w:rsidP="00710E4A">
            <w:pPr>
              <w:jc w:val="right"/>
              <w:rPr>
                <w:rFonts w:ascii="GHEA Grapalat" w:hAnsi="GHEA Grapalat"/>
                <w:b/>
                <w:sz w:val="18"/>
                <w:szCs w:val="18"/>
              </w:rPr>
            </w:pPr>
            <w:r w:rsidRPr="00B57DAB">
              <w:rPr>
                <w:rFonts w:ascii="GHEA Grapalat" w:hAnsi="GHEA Grapalat"/>
                <w:b/>
                <w:sz w:val="18"/>
                <w:szCs w:val="18"/>
              </w:rPr>
              <w:t>(8.1)</w:t>
            </w:r>
          </w:p>
        </w:tc>
      </w:tr>
      <w:tr w:rsidR="00710E4A" w:rsidRPr="00B57DAB" w:rsidTr="00710E4A">
        <w:trPr>
          <w:trHeight w:val="300"/>
          <w:jc w:val="center"/>
        </w:trPr>
        <w:tc>
          <w:tcPr>
            <w:tcW w:w="3115" w:type="dxa"/>
            <w:shd w:val="clear" w:color="auto" w:fill="auto"/>
            <w:vAlign w:val="bottom"/>
            <w:hideMark/>
          </w:tcPr>
          <w:p w:rsidR="00710E4A" w:rsidRPr="00B57DAB" w:rsidRDefault="00710E4A" w:rsidP="00710E4A">
            <w:pPr>
              <w:rPr>
                <w:rFonts w:ascii="GHEA Grapalat" w:hAnsi="GHEA Grapalat" w:cs="Calibri"/>
                <w:color w:val="000000"/>
                <w:sz w:val="18"/>
                <w:szCs w:val="18"/>
              </w:rPr>
            </w:pPr>
            <w:r w:rsidRPr="00B57DAB">
              <w:rPr>
                <w:rFonts w:ascii="GHEA Grapalat" w:hAnsi="GHEA Grapalat" w:cs="Calibri"/>
                <w:color w:val="000000"/>
                <w:sz w:val="18"/>
                <w:szCs w:val="18"/>
              </w:rPr>
              <w:t>ՀՀ ՏԿԵՆ</w:t>
            </w:r>
          </w:p>
        </w:tc>
        <w:tc>
          <w:tcPr>
            <w:tcW w:w="1211" w:type="dxa"/>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26.8</w:t>
            </w:r>
          </w:p>
        </w:tc>
        <w:tc>
          <w:tcPr>
            <w:tcW w:w="1340" w:type="dxa"/>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51.0</w:t>
            </w:r>
          </w:p>
        </w:tc>
        <w:tc>
          <w:tcPr>
            <w:tcW w:w="1156" w:type="dxa"/>
            <w:shd w:val="clear" w:color="auto" w:fill="auto"/>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26.2</w:t>
            </w:r>
          </w:p>
        </w:tc>
        <w:tc>
          <w:tcPr>
            <w:tcW w:w="1195" w:type="dxa"/>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51.4</w:t>
            </w:r>
          </w:p>
        </w:tc>
        <w:tc>
          <w:tcPr>
            <w:tcW w:w="948" w:type="dxa"/>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51.4</w:t>
            </w:r>
          </w:p>
        </w:tc>
        <w:tc>
          <w:tcPr>
            <w:tcW w:w="1235" w:type="dxa"/>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(0.6)</w:t>
            </w:r>
          </w:p>
        </w:tc>
      </w:tr>
      <w:tr w:rsidR="00710E4A" w:rsidRPr="00B57DAB" w:rsidTr="00710E4A">
        <w:trPr>
          <w:trHeight w:val="300"/>
          <w:jc w:val="center"/>
        </w:trPr>
        <w:tc>
          <w:tcPr>
            <w:tcW w:w="3115" w:type="dxa"/>
            <w:shd w:val="clear" w:color="auto" w:fill="auto"/>
            <w:vAlign w:val="bottom"/>
            <w:hideMark/>
          </w:tcPr>
          <w:p w:rsidR="00710E4A" w:rsidRPr="00B57DAB" w:rsidRDefault="00710E4A" w:rsidP="00710E4A">
            <w:pPr>
              <w:rPr>
                <w:rFonts w:ascii="GHEA Grapalat" w:hAnsi="GHEA Grapalat" w:cs="Calibri"/>
                <w:color w:val="000000"/>
                <w:sz w:val="18"/>
                <w:szCs w:val="18"/>
              </w:rPr>
            </w:pPr>
            <w:r w:rsidRPr="00B57DAB">
              <w:rPr>
                <w:rFonts w:ascii="GHEA Grapalat" w:hAnsi="GHEA Grapalat" w:cs="Calibri"/>
                <w:color w:val="000000"/>
                <w:sz w:val="18"/>
                <w:szCs w:val="18"/>
              </w:rPr>
              <w:t>ՀՀ առողջապահության նախարարություն</w:t>
            </w:r>
          </w:p>
        </w:tc>
        <w:tc>
          <w:tcPr>
            <w:tcW w:w="1211" w:type="dxa"/>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23.5</w:t>
            </w:r>
          </w:p>
        </w:tc>
        <w:tc>
          <w:tcPr>
            <w:tcW w:w="1340" w:type="dxa"/>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23.9</w:t>
            </w:r>
          </w:p>
        </w:tc>
        <w:tc>
          <w:tcPr>
            <w:tcW w:w="1156" w:type="dxa"/>
            <w:shd w:val="clear" w:color="auto" w:fill="auto"/>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20.9</w:t>
            </w:r>
          </w:p>
        </w:tc>
        <w:tc>
          <w:tcPr>
            <w:tcW w:w="1195" w:type="dxa"/>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87.4</w:t>
            </w:r>
          </w:p>
        </w:tc>
        <w:tc>
          <w:tcPr>
            <w:tcW w:w="948" w:type="dxa"/>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87.4</w:t>
            </w:r>
          </w:p>
        </w:tc>
        <w:tc>
          <w:tcPr>
            <w:tcW w:w="1235" w:type="dxa"/>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(2.5)</w:t>
            </w:r>
          </w:p>
        </w:tc>
      </w:tr>
      <w:tr w:rsidR="00710E4A" w:rsidRPr="00B57DAB" w:rsidTr="00710E4A">
        <w:trPr>
          <w:trHeight w:val="300"/>
          <w:jc w:val="center"/>
        </w:trPr>
        <w:tc>
          <w:tcPr>
            <w:tcW w:w="3115" w:type="dxa"/>
            <w:shd w:val="clear" w:color="auto" w:fill="auto"/>
            <w:vAlign w:val="bottom"/>
            <w:hideMark/>
          </w:tcPr>
          <w:p w:rsidR="00710E4A" w:rsidRPr="00B57DAB" w:rsidRDefault="00710E4A" w:rsidP="00710E4A">
            <w:pPr>
              <w:rPr>
                <w:rFonts w:ascii="GHEA Grapalat" w:hAnsi="GHEA Grapalat" w:cs="Calibri"/>
                <w:color w:val="000000"/>
                <w:sz w:val="18"/>
                <w:szCs w:val="18"/>
              </w:rPr>
            </w:pPr>
            <w:r w:rsidRPr="00B57DAB">
              <w:rPr>
                <w:rFonts w:ascii="GHEA Grapalat" w:hAnsi="GHEA Grapalat" w:cs="Calibri"/>
                <w:color w:val="000000"/>
                <w:sz w:val="18"/>
                <w:szCs w:val="18"/>
              </w:rPr>
              <w:t>ՀՀ էկոնոմիկայի նախարարություն</w:t>
            </w:r>
          </w:p>
        </w:tc>
        <w:tc>
          <w:tcPr>
            <w:tcW w:w="1211" w:type="dxa"/>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5.6</w:t>
            </w:r>
          </w:p>
        </w:tc>
        <w:tc>
          <w:tcPr>
            <w:tcW w:w="1340" w:type="dxa"/>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11.4</w:t>
            </w:r>
          </w:p>
        </w:tc>
        <w:tc>
          <w:tcPr>
            <w:tcW w:w="1156" w:type="dxa"/>
            <w:shd w:val="clear" w:color="auto" w:fill="auto"/>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8.7</w:t>
            </w:r>
          </w:p>
        </w:tc>
        <w:tc>
          <w:tcPr>
            <w:tcW w:w="1195" w:type="dxa"/>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76.5</w:t>
            </w:r>
          </w:p>
        </w:tc>
        <w:tc>
          <w:tcPr>
            <w:tcW w:w="948" w:type="dxa"/>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76.5</w:t>
            </w:r>
          </w:p>
        </w:tc>
        <w:tc>
          <w:tcPr>
            <w:tcW w:w="1235" w:type="dxa"/>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3.1</w:t>
            </w:r>
          </w:p>
        </w:tc>
      </w:tr>
      <w:tr w:rsidR="00710E4A" w:rsidRPr="00B57DAB" w:rsidTr="00710E4A">
        <w:trPr>
          <w:trHeight w:val="300"/>
          <w:jc w:val="center"/>
        </w:trPr>
        <w:tc>
          <w:tcPr>
            <w:tcW w:w="3115" w:type="dxa"/>
            <w:shd w:val="clear" w:color="auto" w:fill="auto"/>
            <w:vAlign w:val="bottom"/>
          </w:tcPr>
          <w:p w:rsidR="00710E4A" w:rsidRPr="00B57DAB" w:rsidRDefault="00710E4A" w:rsidP="00710E4A">
            <w:pPr>
              <w:rPr>
                <w:rFonts w:ascii="GHEA Grapalat" w:hAnsi="GHEA Grapalat" w:cs="Calibri"/>
                <w:color w:val="000000"/>
                <w:sz w:val="18"/>
                <w:szCs w:val="18"/>
              </w:rPr>
            </w:pPr>
            <w:r w:rsidRPr="00B57DAB">
              <w:rPr>
                <w:rFonts w:ascii="GHEA Grapalat" w:hAnsi="GHEA Grapalat" w:cs="Calibri"/>
                <w:color w:val="000000"/>
                <w:sz w:val="18"/>
                <w:szCs w:val="18"/>
              </w:rPr>
              <w:t>ՀՀ ԿԳՄՍՆ</w:t>
            </w:r>
          </w:p>
        </w:tc>
        <w:tc>
          <w:tcPr>
            <w:tcW w:w="1211" w:type="dxa"/>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32.3</w:t>
            </w:r>
          </w:p>
        </w:tc>
        <w:tc>
          <w:tcPr>
            <w:tcW w:w="1340" w:type="dxa"/>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41.7</w:t>
            </w:r>
          </w:p>
        </w:tc>
        <w:tc>
          <w:tcPr>
            <w:tcW w:w="1156" w:type="dxa"/>
            <w:shd w:val="clear" w:color="auto" w:fill="auto"/>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34.7</w:t>
            </w:r>
          </w:p>
        </w:tc>
        <w:tc>
          <w:tcPr>
            <w:tcW w:w="1195" w:type="dxa"/>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83.1</w:t>
            </w:r>
          </w:p>
        </w:tc>
        <w:tc>
          <w:tcPr>
            <w:tcW w:w="948" w:type="dxa"/>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83.1</w:t>
            </w:r>
          </w:p>
        </w:tc>
        <w:tc>
          <w:tcPr>
            <w:tcW w:w="1235" w:type="dxa"/>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2.4</w:t>
            </w:r>
          </w:p>
        </w:tc>
      </w:tr>
      <w:tr w:rsidR="00710E4A" w:rsidRPr="00B57DAB" w:rsidTr="00710E4A">
        <w:trPr>
          <w:trHeight w:val="300"/>
          <w:jc w:val="center"/>
        </w:trPr>
        <w:tc>
          <w:tcPr>
            <w:tcW w:w="3115" w:type="dxa"/>
            <w:shd w:val="clear" w:color="auto" w:fill="auto"/>
            <w:vAlign w:val="bottom"/>
          </w:tcPr>
          <w:p w:rsidR="00710E4A" w:rsidRPr="00B57DAB" w:rsidRDefault="00710E4A" w:rsidP="00710E4A">
            <w:pPr>
              <w:rPr>
                <w:rFonts w:ascii="GHEA Grapalat" w:hAnsi="GHEA Grapalat" w:cs="Calibri"/>
                <w:color w:val="000000"/>
                <w:sz w:val="18"/>
                <w:szCs w:val="18"/>
              </w:rPr>
            </w:pPr>
            <w:r w:rsidRPr="00B57DAB">
              <w:rPr>
                <w:rFonts w:ascii="GHEA Grapalat" w:hAnsi="GHEA Grapalat" w:cs="Calibri"/>
                <w:color w:val="000000"/>
                <w:sz w:val="18"/>
                <w:szCs w:val="18"/>
              </w:rPr>
              <w:t>ՀՀ պաշտպանության նախարարություն</w:t>
            </w:r>
          </w:p>
        </w:tc>
        <w:tc>
          <w:tcPr>
            <w:tcW w:w="1211" w:type="dxa"/>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83.1</w:t>
            </w:r>
          </w:p>
        </w:tc>
        <w:tc>
          <w:tcPr>
            <w:tcW w:w="1340" w:type="dxa"/>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82.7</w:t>
            </w:r>
          </w:p>
        </w:tc>
        <w:tc>
          <w:tcPr>
            <w:tcW w:w="1156" w:type="dxa"/>
            <w:shd w:val="clear" w:color="auto" w:fill="auto"/>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68.5</w:t>
            </w:r>
          </w:p>
        </w:tc>
        <w:tc>
          <w:tcPr>
            <w:tcW w:w="1195" w:type="dxa"/>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82.8</w:t>
            </w:r>
          </w:p>
        </w:tc>
        <w:tc>
          <w:tcPr>
            <w:tcW w:w="948" w:type="dxa"/>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82.8</w:t>
            </w:r>
          </w:p>
        </w:tc>
        <w:tc>
          <w:tcPr>
            <w:tcW w:w="1235" w:type="dxa"/>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(14.6)</w:t>
            </w:r>
          </w:p>
        </w:tc>
      </w:tr>
      <w:tr w:rsidR="00710E4A" w:rsidRPr="00B57DAB" w:rsidTr="00710E4A">
        <w:trPr>
          <w:trHeight w:val="300"/>
          <w:jc w:val="center"/>
        </w:trPr>
        <w:tc>
          <w:tcPr>
            <w:tcW w:w="3115" w:type="dxa"/>
            <w:shd w:val="clear" w:color="auto" w:fill="auto"/>
            <w:vAlign w:val="bottom"/>
          </w:tcPr>
          <w:p w:rsidR="00710E4A" w:rsidRPr="00B57DAB" w:rsidRDefault="00710E4A" w:rsidP="00710E4A">
            <w:pPr>
              <w:rPr>
                <w:rFonts w:ascii="GHEA Grapalat" w:hAnsi="GHEA Grapalat" w:cs="Calibri"/>
                <w:color w:val="000000"/>
                <w:sz w:val="18"/>
                <w:szCs w:val="18"/>
              </w:rPr>
            </w:pPr>
            <w:r w:rsidRPr="00B57DAB">
              <w:rPr>
                <w:rFonts w:ascii="GHEA Grapalat" w:hAnsi="GHEA Grapalat" w:cs="Calibri"/>
                <w:color w:val="000000"/>
                <w:sz w:val="18"/>
                <w:szCs w:val="18"/>
              </w:rPr>
              <w:t>ՀՀ աշխատանքի և սոցիալական հարցերի նախարարություն</w:t>
            </w:r>
          </w:p>
        </w:tc>
        <w:tc>
          <w:tcPr>
            <w:tcW w:w="1211" w:type="dxa"/>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146.5</w:t>
            </w:r>
          </w:p>
        </w:tc>
        <w:tc>
          <w:tcPr>
            <w:tcW w:w="1340" w:type="dxa"/>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158.0</w:t>
            </w:r>
          </w:p>
        </w:tc>
        <w:tc>
          <w:tcPr>
            <w:tcW w:w="1156" w:type="dxa"/>
            <w:shd w:val="clear" w:color="auto" w:fill="auto"/>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143.8</w:t>
            </w:r>
          </w:p>
        </w:tc>
        <w:tc>
          <w:tcPr>
            <w:tcW w:w="1195" w:type="dxa"/>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91.0</w:t>
            </w:r>
          </w:p>
        </w:tc>
        <w:tc>
          <w:tcPr>
            <w:tcW w:w="948" w:type="dxa"/>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91.0</w:t>
            </w:r>
          </w:p>
        </w:tc>
        <w:tc>
          <w:tcPr>
            <w:tcW w:w="1235" w:type="dxa"/>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(2.7)</w:t>
            </w:r>
          </w:p>
        </w:tc>
      </w:tr>
      <w:tr w:rsidR="00710E4A" w:rsidRPr="00B57DAB" w:rsidTr="00710E4A">
        <w:trPr>
          <w:trHeight w:val="300"/>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bottom"/>
          </w:tcPr>
          <w:p w:rsidR="00710E4A" w:rsidRPr="00B57DAB" w:rsidRDefault="00710E4A" w:rsidP="00710E4A">
            <w:pPr>
              <w:rPr>
                <w:rFonts w:ascii="GHEA Grapalat" w:hAnsi="GHEA Grapalat" w:cs="Calibri"/>
                <w:color w:val="000000"/>
                <w:sz w:val="18"/>
                <w:szCs w:val="18"/>
              </w:rPr>
            </w:pPr>
            <w:r w:rsidRPr="00B57DAB">
              <w:rPr>
                <w:rFonts w:ascii="GHEA Grapalat" w:hAnsi="GHEA Grapalat" w:cs="Calibri"/>
                <w:color w:val="000000"/>
                <w:sz w:val="18"/>
                <w:szCs w:val="18"/>
              </w:rPr>
              <w:t>ՀՀ ֆինանսների նախարարություն</w:t>
            </w:r>
          </w:p>
        </w:tc>
        <w:tc>
          <w:tcPr>
            <w:tcW w:w="1211" w:type="dxa"/>
            <w:tcBorders>
              <w:top w:val="single" w:sz="4" w:space="0" w:color="auto"/>
              <w:left w:val="single" w:sz="4" w:space="0" w:color="auto"/>
              <w:bottom w:val="single" w:sz="4" w:space="0" w:color="auto"/>
              <w:right w:val="single" w:sz="4" w:space="0" w:color="auto"/>
            </w:tcBorders>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38.3</w:t>
            </w:r>
          </w:p>
        </w:tc>
        <w:tc>
          <w:tcPr>
            <w:tcW w:w="1340" w:type="dxa"/>
            <w:tcBorders>
              <w:top w:val="single" w:sz="4" w:space="0" w:color="auto"/>
              <w:left w:val="single" w:sz="4" w:space="0" w:color="auto"/>
              <w:bottom w:val="single" w:sz="4" w:space="0" w:color="auto"/>
              <w:right w:val="single" w:sz="4" w:space="0" w:color="auto"/>
            </w:tcBorders>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41.3</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39.8</w:t>
            </w:r>
          </w:p>
        </w:tc>
        <w:tc>
          <w:tcPr>
            <w:tcW w:w="1195" w:type="dxa"/>
            <w:tcBorders>
              <w:top w:val="single" w:sz="4" w:space="0" w:color="auto"/>
              <w:left w:val="single" w:sz="4" w:space="0" w:color="auto"/>
              <w:bottom w:val="single" w:sz="4" w:space="0" w:color="auto"/>
              <w:right w:val="single" w:sz="4" w:space="0" w:color="auto"/>
            </w:tcBorders>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96.4</w:t>
            </w:r>
          </w:p>
        </w:tc>
        <w:tc>
          <w:tcPr>
            <w:tcW w:w="948" w:type="dxa"/>
            <w:tcBorders>
              <w:top w:val="single" w:sz="4" w:space="0" w:color="auto"/>
              <w:left w:val="single" w:sz="4" w:space="0" w:color="auto"/>
              <w:bottom w:val="single" w:sz="4" w:space="0" w:color="auto"/>
              <w:right w:val="single" w:sz="4" w:space="0" w:color="auto"/>
            </w:tcBorders>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96.4</w:t>
            </w:r>
          </w:p>
        </w:tc>
        <w:tc>
          <w:tcPr>
            <w:tcW w:w="1235" w:type="dxa"/>
            <w:tcBorders>
              <w:top w:val="single" w:sz="4" w:space="0" w:color="auto"/>
              <w:left w:val="single" w:sz="4" w:space="0" w:color="auto"/>
              <w:bottom w:val="single" w:sz="4" w:space="0" w:color="auto"/>
              <w:right w:val="single" w:sz="4" w:space="0" w:color="auto"/>
            </w:tcBorders>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1.5</w:t>
            </w:r>
          </w:p>
        </w:tc>
      </w:tr>
      <w:tr w:rsidR="00710E4A" w:rsidRPr="00B57DAB" w:rsidTr="00710E4A">
        <w:trPr>
          <w:trHeight w:val="300"/>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bottom"/>
          </w:tcPr>
          <w:p w:rsidR="00710E4A" w:rsidRPr="00B57DAB" w:rsidRDefault="00710E4A" w:rsidP="00710E4A">
            <w:pPr>
              <w:rPr>
                <w:rFonts w:ascii="GHEA Grapalat" w:hAnsi="GHEA Grapalat" w:cs="Calibri"/>
                <w:color w:val="000000"/>
                <w:sz w:val="18"/>
                <w:szCs w:val="18"/>
              </w:rPr>
            </w:pPr>
            <w:r w:rsidRPr="00B57DAB">
              <w:rPr>
                <w:rFonts w:ascii="GHEA Grapalat" w:hAnsi="GHEA Grapalat" w:cs="Calibri"/>
                <w:color w:val="000000"/>
                <w:sz w:val="18"/>
                <w:szCs w:val="18"/>
              </w:rPr>
              <w:t>ՀՀ ոստիկանություն</w:t>
            </w:r>
          </w:p>
        </w:tc>
        <w:tc>
          <w:tcPr>
            <w:tcW w:w="1211" w:type="dxa"/>
            <w:tcBorders>
              <w:top w:val="single" w:sz="4" w:space="0" w:color="auto"/>
              <w:left w:val="single" w:sz="4" w:space="0" w:color="auto"/>
              <w:bottom w:val="single" w:sz="4" w:space="0" w:color="auto"/>
              <w:right w:val="single" w:sz="4" w:space="0" w:color="auto"/>
            </w:tcBorders>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13.2</w:t>
            </w:r>
          </w:p>
        </w:tc>
        <w:tc>
          <w:tcPr>
            <w:tcW w:w="1340" w:type="dxa"/>
            <w:tcBorders>
              <w:top w:val="single" w:sz="4" w:space="0" w:color="auto"/>
              <w:left w:val="single" w:sz="4" w:space="0" w:color="auto"/>
              <w:bottom w:val="single" w:sz="4" w:space="0" w:color="auto"/>
              <w:right w:val="single" w:sz="4" w:space="0" w:color="auto"/>
            </w:tcBorders>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19.9</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15.2</w:t>
            </w:r>
          </w:p>
        </w:tc>
        <w:tc>
          <w:tcPr>
            <w:tcW w:w="1195" w:type="dxa"/>
            <w:tcBorders>
              <w:top w:val="single" w:sz="4" w:space="0" w:color="auto"/>
              <w:left w:val="single" w:sz="4" w:space="0" w:color="auto"/>
              <w:bottom w:val="single" w:sz="4" w:space="0" w:color="auto"/>
              <w:right w:val="single" w:sz="4" w:space="0" w:color="auto"/>
            </w:tcBorders>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76.6</w:t>
            </w:r>
          </w:p>
        </w:tc>
        <w:tc>
          <w:tcPr>
            <w:tcW w:w="948" w:type="dxa"/>
            <w:tcBorders>
              <w:top w:val="single" w:sz="4" w:space="0" w:color="auto"/>
              <w:left w:val="single" w:sz="4" w:space="0" w:color="auto"/>
              <w:bottom w:val="single" w:sz="4" w:space="0" w:color="auto"/>
              <w:right w:val="single" w:sz="4" w:space="0" w:color="auto"/>
            </w:tcBorders>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76.6</w:t>
            </w:r>
          </w:p>
        </w:tc>
        <w:tc>
          <w:tcPr>
            <w:tcW w:w="1235" w:type="dxa"/>
            <w:tcBorders>
              <w:top w:val="single" w:sz="4" w:space="0" w:color="auto"/>
              <w:left w:val="single" w:sz="4" w:space="0" w:color="auto"/>
              <w:bottom w:val="single" w:sz="4" w:space="0" w:color="auto"/>
              <w:right w:val="single" w:sz="4" w:space="0" w:color="auto"/>
            </w:tcBorders>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2.1</w:t>
            </w:r>
          </w:p>
        </w:tc>
      </w:tr>
      <w:tr w:rsidR="00710E4A" w:rsidRPr="00B57DAB" w:rsidTr="00710E4A">
        <w:trPr>
          <w:trHeight w:val="300"/>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bottom"/>
          </w:tcPr>
          <w:p w:rsidR="00710E4A" w:rsidRPr="00B57DAB" w:rsidRDefault="00710E4A" w:rsidP="00710E4A">
            <w:pPr>
              <w:rPr>
                <w:rFonts w:ascii="GHEA Grapalat" w:hAnsi="GHEA Grapalat" w:cs="Calibri"/>
                <w:color w:val="000000"/>
                <w:sz w:val="18"/>
                <w:szCs w:val="18"/>
              </w:rPr>
            </w:pPr>
            <w:r w:rsidRPr="00B57DAB">
              <w:rPr>
                <w:rFonts w:ascii="GHEA Grapalat" w:hAnsi="GHEA Grapalat" w:cs="Calibri"/>
                <w:color w:val="000000"/>
                <w:sz w:val="18"/>
                <w:szCs w:val="18"/>
              </w:rPr>
              <w:t>Այլ պետական մարմիններ</w:t>
            </w:r>
          </w:p>
        </w:tc>
        <w:tc>
          <w:tcPr>
            <w:tcW w:w="1211" w:type="dxa"/>
            <w:tcBorders>
              <w:top w:val="single" w:sz="4" w:space="0" w:color="auto"/>
              <w:left w:val="single" w:sz="4" w:space="0" w:color="auto"/>
              <w:bottom w:val="single" w:sz="4" w:space="0" w:color="auto"/>
              <w:right w:val="single" w:sz="4" w:space="0" w:color="auto"/>
            </w:tcBorders>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35.7</w:t>
            </w:r>
          </w:p>
        </w:tc>
        <w:tc>
          <w:tcPr>
            <w:tcW w:w="1340" w:type="dxa"/>
            <w:tcBorders>
              <w:top w:val="single" w:sz="4" w:space="0" w:color="auto"/>
              <w:left w:val="single" w:sz="4" w:space="0" w:color="auto"/>
              <w:bottom w:val="single" w:sz="4" w:space="0" w:color="auto"/>
              <w:right w:val="single" w:sz="4" w:space="0" w:color="auto"/>
            </w:tcBorders>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56.5</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39.0</w:t>
            </w:r>
          </w:p>
        </w:tc>
        <w:tc>
          <w:tcPr>
            <w:tcW w:w="1195" w:type="dxa"/>
            <w:tcBorders>
              <w:top w:val="single" w:sz="4" w:space="0" w:color="auto"/>
              <w:left w:val="single" w:sz="4" w:space="0" w:color="auto"/>
              <w:bottom w:val="single" w:sz="4" w:space="0" w:color="auto"/>
              <w:right w:val="single" w:sz="4" w:space="0" w:color="auto"/>
            </w:tcBorders>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69.1</w:t>
            </w:r>
          </w:p>
        </w:tc>
        <w:tc>
          <w:tcPr>
            <w:tcW w:w="948" w:type="dxa"/>
            <w:tcBorders>
              <w:top w:val="single" w:sz="4" w:space="0" w:color="auto"/>
              <w:left w:val="single" w:sz="4" w:space="0" w:color="auto"/>
              <w:bottom w:val="single" w:sz="4" w:space="0" w:color="auto"/>
              <w:right w:val="single" w:sz="4" w:space="0" w:color="auto"/>
            </w:tcBorders>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69.1</w:t>
            </w:r>
          </w:p>
        </w:tc>
        <w:tc>
          <w:tcPr>
            <w:tcW w:w="1235" w:type="dxa"/>
            <w:tcBorders>
              <w:top w:val="single" w:sz="4" w:space="0" w:color="auto"/>
              <w:left w:val="single" w:sz="4" w:space="0" w:color="auto"/>
              <w:bottom w:val="single" w:sz="4" w:space="0" w:color="auto"/>
              <w:right w:val="single" w:sz="4" w:space="0" w:color="auto"/>
            </w:tcBorders>
            <w:vAlign w:val="bottom"/>
          </w:tcPr>
          <w:p w:rsidR="00710E4A" w:rsidRPr="00B57DAB" w:rsidRDefault="00710E4A" w:rsidP="00710E4A">
            <w:pPr>
              <w:jc w:val="right"/>
              <w:rPr>
                <w:rFonts w:ascii="GHEA Grapalat" w:hAnsi="GHEA Grapalat"/>
                <w:sz w:val="18"/>
                <w:szCs w:val="18"/>
              </w:rPr>
            </w:pPr>
            <w:r w:rsidRPr="00B57DAB">
              <w:rPr>
                <w:rFonts w:ascii="GHEA Grapalat" w:hAnsi="GHEA Grapalat"/>
                <w:sz w:val="18"/>
                <w:szCs w:val="18"/>
              </w:rPr>
              <w:t>3.3</w:t>
            </w:r>
          </w:p>
        </w:tc>
      </w:tr>
    </w:tbl>
    <w:p w:rsidR="004E07A7" w:rsidRPr="00B57DAB" w:rsidRDefault="004E07A7" w:rsidP="00A95DFB">
      <w:pPr>
        <w:autoSpaceDE w:val="0"/>
        <w:autoSpaceDN w:val="0"/>
        <w:adjustRightInd w:val="0"/>
        <w:spacing w:line="360" w:lineRule="auto"/>
        <w:ind w:firstLine="567"/>
        <w:jc w:val="both"/>
        <w:rPr>
          <w:rFonts w:ascii="GHEA Grapalat" w:hAnsi="GHEA Grapalat" w:cs="GHEA Grapalat"/>
          <w:sz w:val="22"/>
          <w:szCs w:val="22"/>
        </w:rPr>
      </w:pPr>
    </w:p>
    <w:p w:rsidR="003F2149" w:rsidRPr="00B57DAB" w:rsidRDefault="003F2149" w:rsidP="003F2149">
      <w:pPr>
        <w:spacing w:line="360" w:lineRule="auto"/>
        <w:ind w:firstLine="561"/>
        <w:jc w:val="both"/>
        <w:rPr>
          <w:rFonts w:ascii="GHEA Grapalat" w:hAnsi="GHEA Grapalat" w:cs="Sylfaen"/>
          <w:sz w:val="22"/>
          <w:szCs w:val="22"/>
        </w:rPr>
      </w:pPr>
      <w:r w:rsidRPr="00B57DAB">
        <w:rPr>
          <w:rFonts w:ascii="GHEA Grapalat" w:hAnsi="GHEA Grapalat" w:cs="Sylfaen"/>
          <w:i/>
          <w:sz w:val="22"/>
          <w:szCs w:val="22"/>
          <w:u w:val="single"/>
          <w:lang w:val="hy-AM"/>
        </w:rPr>
        <w:t>ՀՀ Նախագահի աշխատակազմի</w:t>
      </w:r>
      <w:r w:rsidRPr="00B57DAB">
        <w:rPr>
          <w:rFonts w:ascii="GHEA Grapalat" w:hAnsi="GHEA Grapalat" w:cs="Sylfaen"/>
          <w:sz w:val="22"/>
          <w:szCs w:val="22"/>
        </w:rPr>
        <w:t xml:space="preserve"> </w:t>
      </w:r>
      <w:r w:rsidR="007173F4" w:rsidRPr="00B57DAB">
        <w:rPr>
          <w:rFonts w:ascii="GHEA Grapalat" w:hAnsi="GHEA Grapalat" w:cs="GHEA Grapalat"/>
          <w:sz w:val="22"/>
          <w:szCs w:val="22"/>
        </w:rPr>
        <w:t xml:space="preserve">պատասխանատվությամբ </w:t>
      </w:r>
      <w:r w:rsidR="007173F4" w:rsidRPr="00B57DAB">
        <w:rPr>
          <w:rFonts w:ascii="GHEA Grapalat" w:hAnsi="GHEA Grapalat" w:cs="GHEA Grapalat"/>
          <w:i/>
          <w:sz w:val="22"/>
          <w:szCs w:val="22"/>
        </w:rPr>
        <w:t>Հանրապետության նախագահի լիազորությունների իրականացման ապահովման</w:t>
      </w:r>
      <w:r w:rsidR="007173F4" w:rsidRPr="00B57DAB">
        <w:rPr>
          <w:rFonts w:ascii="GHEA Grapalat" w:hAnsi="GHEA Grapalat" w:cs="GHEA Grapalat"/>
          <w:sz w:val="22"/>
          <w:szCs w:val="22"/>
        </w:rPr>
        <w:t xml:space="preserve"> ծախսերը 2022 թվականի առաջին եռամսյակում կատարվել են 61.6%</w:t>
      </w:r>
      <w:r w:rsidR="007173F4" w:rsidRPr="00B57DAB">
        <w:rPr>
          <w:rFonts w:ascii="GHEA Grapalat" w:hAnsi="GHEA Grapalat" w:cs="GHEA Grapalat"/>
          <w:sz w:val="22"/>
          <w:szCs w:val="22"/>
        </w:rPr>
        <w:noBreakHyphen/>
        <w:t>ով՝ կազմելով 221.7 մլն դրամ: ՀՀ Նախագահի աշխատակազմին հատկացված միջոցների գերակշիռ մասն ուղղվել է Հանրապետության նախագահի գործունեության և ներկայացուցչականության ապահովման միջոցառմանը, որի շրջանակներում օգտագործվել է 221.5</w:t>
      </w:r>
      <w:r w:rsidR="007173F4" w:rsidRPr="00B57DAB">
        <w:rPr>
          <w:rFonts w:ascii="Courier New" w:hAnsi="Courier New" w:cs="Courier New"/>
          <w:sz w:val="22"/>
          <w:szCs w:val="22"/>
        </w:rPr>
        <w:t> </w:t>
      </w:r>
      <w:r w:rsidR="007173F4" w:rsidRPr="00B57DAB">
        <w:rPr>
          <w:rFonts w:ascii="GHEA Grapalat" w:hAnsi="GHEA Grapalat" w:cs="GHEA Grapalat"/>
          <w:sz w:val="22"/>
          <w:szCs w:val="22"/>
        </w:rPr>
        <w:t xml:space="preserve">մլն դրամ՝ ապահովելով 61.8% կատարողական՝ պայմանավորված հաստիքների ոչ լրիվ համալրմամբ և որոշ ծախսային հոդվածների գծով առկա տնտեսումներով: Նախորդ տարվա առաջին եռամսյակի համեմատ ՀՀ Նախագահի աշխատակազմի ծախսերն աճել են 50.3%-ով կամ 74.3 մլն դրամով, որը հիմնականում արձանագրվել է Հանրապետության նախագահի գործունեության և ներկայացուցչականության ապահովման ծախսերում: Վերջիններս աճել են 50.6%-ով (74.4 մլն դրամով)՝ պայմանավորված գործուղումների </w:t>
      </w:r>
      <w:r w:rsidR="00FD00B0" w:rsidRPr="00B57DAB">
        <w:rPr>
          <w:rFonts w:ascii="GHEA Grapalat" w:hAnsi="GHEA Grapalat" w:cs="GHEA Grapalat"/>
          <w:sz w:val="22"/>
          <w:szCs w:val="22"/>
        </w:rPr>
        <w:t>գծով ծախսերի աճով</w:t>
      </w:r>
      <w:r w:rsidR="007173F4" w:rsidRPr="00B57DAB">
        <w:rPr>
          <w:rFonts w:ascii="GHEA Grapalat" w:hAnsi="GHEA Grapalat" w:cs="GHEA Grapalat"/>
          <w:sz w:val="22"/>
          <w:szCs w:val="22"/>
        </w:rPr>
        <w:t>:</w:t>
      </w:r>
    </w:p>
    <w:p w:rsidR="003F2149" w:rsidRPr="00B57DAB" w:rsidRDefault="003F2149" w:rsidP="003F2149">
      <w:pPr>
        <w:spacing w:line="360" w:lineRule="auto"/>
        <w:ind w:firstLine="561"/>
        <w:jc w:val="both"/>
        <w:rPr>
          <w:rFonts w:ascii="GHEA Grapalat" w:hAnsi="GHEA Grapalat" w:cs="Sylfaen"/>
          <w:sz w:val="22"/>
          <w:szCs w:val="22"/>
          <w:lang w:val="hy-AM"/>
        </w:rPr>
      </w:pPr>
    </w:p>
    <w:p w:rsidR="003F2149" w:rsidRPr="00B57DAB" w:rsidRDefault="003F2149" w:rsidP="003F2149">
      <w:pPr>
        <w:spacing w:line="360" w:lineRule="auto"/>
        <w:ind w:firstLine="561"/>
        <w:jc w:val="both"/>
        <w:rPr>
          <w:rFonts w:ascii="GHEA Grapalat" w:hAnsi="GHEA Grapalat" w:cs="Sylfaen"/>
          <w:sz w:val="22"/>
          <w:szCs w:val="22"/>
        </w:rPr>
      </w:pPr>
      <w:r w:rsidRPr="00B57DAB">
        <w:rPr>
          <w:rFonts w:ascii="GHEA Grapalat" w:hAnsi="GHEA Grapalat" w:cs="Sylfaen"/>
          <w:i/>
          <w:sz w:val="22"/>
          <w:szCs w:val="22"/>
          <w:u w:val="single"/>
          <w:lang w:val="hy-AM"/>
        </w:rPr>
        <w:t>ՀՀ Ազգային ժողովի</w:t>
      </w:r>
      <w:r w:rsidRPr="00B57DAB">
        <w:rPr>
          <w:rFonts w:ascii="GHEA Grapalat" w:hAnsi="GHEA Grapalat" w:cs="Sylfaen"/>
          <w:sz w:val="22"/>
          <w:szCs w:val="22"/>
        </w:rPr>
        <w:t xml:space="preserve"> </w:t>
      </w:r>
      <w:r w:rsidR="007173F4" w:rsidRPr="00B57DAB">
        <w:rPr>
          <w:rFonts w:ascii="GHEA Grapalat" w:hAnsi="GHEA Grapalat" w:cs="GHEA Grapalat"/>
          <w:sz w:val="22"/>
          <w:szCs w:val="22"/>
        </w:rPr>
        <w:t xml:space="preserve">ծախսերը 2022 թվականի առաջին եռամսյակում կատարվել են 64.5%-ով՝ կազմելով 934.4 մլն դրամ: ՀՀ Ազգային ժողովի գործունեության ապահովման, օրենսդրական, վերլուծական և ներկայացուցչական ծառայությունների գծով ծախսերի կատարողականը կազմել է 78.3% կամ 897.5 մլն դրամ՝ պայմանավորված որոշ ծախսային հոդվածների գծով առկա տնտեսումներով: Նախորդ տարվա առաջին եռամսյակի համեմատ ՀՀ Ազգային ժողովի ծախսերն աճել են 10.7%-ով՝ հիմնականում պայմանավորված արտասահմանյան գործուղումների գծով </w:t>
      </w:r>
      <w:r w:rsidR="007173F4" w:rsidRPr="00B57DAB">
        <w:rPr>
          <w:rFonts w:ascii="GHEA Grapalat" w:hAnsi="GHEA Grapalat" w:cs="GHEA Grapalat"/>
          <w:sz w:val="22"/>
          <w:szCs w:val="22"/>
        </w:rPr>
        <w:lastRenderedPageBreak/>
        <w:t xml:space="preserve">ծախսերի աճով, «Պետական պաշտոններ և պետական ծառայության պաշտոններ զբաղեցնող անձանց վարձատրության մասին» ՀՀ օրենքի համաձայն պատգամագավորի փոխհատուցման վճարի </w:t>
      </w:r>
      <w:r w:rsidR="00E70C93" w:rsidRPr="00B57DAB">
        <w:rPr>
          <w:rFonts w:ascii="GHEA Grapalat" w:hAnsi="GHEA Grapalat" w:cs="GHEA Grapalat"/>
          <w:sz w:val="22"/>
          <w:szCs w:val="22"/>
        </w:rPr>
        <w:t>ավելաց</w:t>
      </w:r>
      <w:r w:rsidR="007173F4" w:rsidRPr="00B57DAB">
        <w:rPr>
          <w:rFonts w:ascii="GHEA Grapalat" w:hAnsi="GHEA Grapalat" w:cs="GHEA Grapalat"/>
          <w:sz w:val="22"/>
          <w:szCs w:val="22"/>
        </w:rPr>
        <w:t>մամբ, որը</w:t>
      </w:r>
      <w:r w:rsidR="00E70C93" w:rsidRPr="00B57DAB">
        <w:rPr>
          <w:rFonts w:ascii="GHEA Grapalat" w:hAnsi="GHEA Grapalat" w:cs="GHEA Grapalat"/>
          <w:sz w:val="22"/>
          <w:szCs w:val="22"/>
        </w:rPr>
        <w:t xml:space="preserve"> 2021 թվականի</w:t>
      </w:r>
      <w:r w:rsidR="007173F4" w:rsidRPr="00B57DAB">
        <w:rPr>
          <w:rFonts w:ascii="GHEA Grapalat" w:hAnsi="GHEA Grapalat" w:cs="GHEA Grapalat"/>
          <w:sz w:val="22"/>
          <w:szCs w:val="22"/>
        </w:rPr>
        <w:t xml:space="preserve"> սեպտեմբեր ամսից սահմանվել է 250 հազար</w:t>
      </w:r>
      <w:r w:rsidR="007173F4" w:rsidRPr="00B57DAB">
        <w:rPr>
          <w:rFonts w:ascii="Cambria Math" w:hAnsi="Cambria Math" w:cs="Cambria Math"/>
          <w:sz w:val="22"/>
          <w:szCs w:val="22"/>
        </w:rPr>
        <w:t xml:space="preserve"> </w:t>
      </w:r>
      <w:r w:rsidR="007173F4" w:rsidRPr="00B57DAB">
        <w:rPr>
          <w:rFonts w:ascii="GHEA Grapalat" w:hAnsi="GHEA Grapalat" w:cs="GHEA Grapalat"/>
          <w:sz w:val="22"/>
          <w:szCs w:val="22"/>
        </w:rPr>
        <w:t>դրամ՝ նախկինում գործող 50 հազարի փոխարեն, ինչպես նաև</w:t>
      </w:r>
      <w:r w:rsidR="007173F4" w:rsidRPr="00B57DAB">
        <w:t xml:space="preserve"> </w:t>
      </w:r>
      <w:r w:rsidR="007173F4" w:rsidRPr="00B57DAB">
        <w:rPr>
          <w:rFonts w:ascii="GHEA Grapalat" w:hAnsi="GHEA Grapalat" w:cs="GHEA Grapalat"/>
          <w:sz w:val="22"/>
          <w:szCs w:val="22"/>
        </w:rPr>
        <w:t>ներկայացուցչական ծախսերի ավելացմամբ։</w:t>
      </w:r>
    </w:p>
    <w:p w:rsidR="003F2149" w:rsidRPr="00B57DAB" w:rsidRDefault="003F2149" w:rsidP="003F2149">
      <w:pPr>
        <w:spacing w:line="360" w:lineRule="auto"/>
        <w:ind w:firstLine="561"/>
        <w:jc w:val="both"/>
        <w:rPr>
          <w:rFonts w:ascii="GHEA Grapalat" w:hAnsi="GHEA Grapalat" w:cs="Sylfaen"/>
          <w:sz w:val="22"/>
          <w:szCs w:val="22"/>
        </w:rPr>
      </w:pPr>
    </w:p>
    <w:p w:rsidR="004A7CB2" w:rsidRPr="00B57DAB" w:rsidRDefault="003F2149" w:rsidP="004A7CB2">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i/>
          <w:sz w:val="22"/>
          <w:szCs w:val="22"/>
          <w:u w:val="single"/>
        </w:rPr>
        <w:t>ՀՀ Վարչապետի աշխատակազմի</w:t>
      </w:r>
      <w:r w:rsidRPr="00B57DAB">
        <w:rPr>
          <w:rFonts w:ascii="GHEA Grapalat" w:hAnsi="GHEA Grapalat" w:cs="Sylfaen"/>
          <w:sz w:val="22"/>
          <w:szCs w:val="22"/>
        </w:rPr>
        <w:t xml:space="preserve"> </w:t>
      </w:r>
      <w:r w:rsidR="004A7CB2" w:rsidRPr="00B57DAB">
        <w:rPr>
          <w:rFonts w:ascii="GHEA Grapalat" w:hAnsi="GHEA Grapalat" w:cs="Times Armenian"/>
          <w:sz w:val="22"/>
          <w:szCs w:val="22"/>
        </w:rPr>
        <w:t>պատասխանատվությամբ 2022</w:t>
      </w:r>
      <w:r w:rsidR="004A7CB2" w:rsidRPr="00B57DAB">
        <w:rPr>
          <w:rFonts w:ascii="GHEA Grapalat" w:hAnsi="GHEA Grapalat" w:cs="GHEA Grapalat"/>
          <w:sz w:val="22"/>
          <w:szCs w:val="22"/>
        </w:rPr>
        <w:t xml:space="preserve"> թվականի առաջին եռամսյակում կատարվել է պետական բյուջեի 7 ծրագիր՝ նախատեսված 9-ի փոխարեն: Ծախսերը կազմել են շուրջ 2.8 մլրդ դրամ կամ </w:t>
      </w:r>
      <w:r w:rsidR="00953A30" w:rsidRPr="00B57DAB">
        <w:rPr>
          <w:rFonts w:ascii="GHEA Grapalat" w:hAnsi="GHEA Grapalat" w:cs="GHEA Grapalat"/>
          <w:sz w:val="22"/>
          <w:szCs w:val="22"/>
        </w:rPr>
        <w:t>ծրագրի</w:t>
      </w:r>
      <w:r w:rsidR="004A7CB2" w:rsidRPr="00B57DAB">
        <w:rPr>
          <w:rFonts w:ascii="GHEA Grapalat" w:hAnsi="GHEA Grapalat" w:cs="GHEA Grapalat"/>
          <w:sz w:val="22"/>
          <w:szCs w:val="22"/>
        </w:rPr>
        <w:t xml:space="preserve"> </w:t>
      </w:r>
      <w:r w:rsidR="00953A30" w:rsidRPr="00B57DAB">
        <w:rPr>
          <w:rFonts w:ascii="GHEA Grapalat" w:hAnsi="GHEA Grapalat" w:cs="GHEA Grapalat"/>
          <w:sz w:val="22"/>
          <w:szCs w:val="22"/>
        </w:rPr>
        <w:t>49.7</w:t>
      </w:r>
      <w:r w:rsidR="004A7CB2" w:rsidRPr="00B57DAB">
        <w:rPr>
          <w:rFonts w:ascii="GHEA Grapalat" w:hAnsi="GHEA Grapalat" w:cs="GHEA Grapalat"/>
          <w:sz w:val="22"/>
          <w:szCs w:val="22"/>
        </w:rPr>
        <w:t>%</w:t>
      </w:r>
      <w:r w:rsidR="004A7CB2" w:rsidRPr="00B57DAB">
        <w:rPr>
          <w:rFonts w:ascii="GHEA Grapalat" w:hAnsi="GHEA Grapalat" w:cs="GHEA Grapalat"/>
          <w:sz w:val="22"/>
          <w:szCs w:val="22"/>
        </w:rPr>
        <w:noBreakHyphen/>
        <w:t>ը: Ծրագրված ցուցանիշից շեղումը</w:t>
      </w:r>
      <w:r w:rsidR="004A7CB2" w:rsidRPr="00B57DAB">
        <w:rPr>
          <w:rFonts w:ascii="GHEA Grapalat" w:hAnsi="GHEA Grapalat" w:cs="GHEA Grapalat"/>
          <w:sz w:val="22"/>
          <w:szCs w:val="22"/>
          <w:lang w:val="ru-RU"/>
        </w:rPr>
        <w:t xml:space="preserve"> հիմնականում պայմանավորված է </w:t>
      </w:r>
      <w:r w:rsidR="004A7CB2" w:rsidRPr="00B57DAB">
        <w:rPr>
          <w:rFonts w:ascii="GHEA Grapalat" w:hAnsi="GHEA Grapalat" w:cs="GHEA Grapalat"/>
          <w:sz w:val="22"/>
          <w:szCs w:val="22"/>
        </w:rPr>
        <w:t xml:space="preserve">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 ու </w:t>
      </w:r>
      <w:r w:rsidR="004A7CB2" w:rsidRPr="00B57DAB">
        <w:rPr>
          <w:rFonts w:ascii="GHEA Grapalat" w:hAnsi="GHEA Grapalat" w:cs="GHEA Grapalat"/>
          <w:sz w:val="22"/>
          <w:szCs w:val="22"/>
          <w:lang w:val="ru-RU"/>
        </w:rPr>
        <w:t>ՀՀ Վարչապետի լիազորությունների իրականացման</w:t>
      </w:r>
      <w:r w:rsidR="004A7CB2" w:rsidRPr="00B57DAB">
        <w:rPr>
          <w:rFonts w:ascii="GHEA Grapalat" w:hAnsi="GHEA Grapalat" w:cs="GHEA Grapalat"/>
          <w:sz w:val="22"/>
          <w:szCs w:val="22"/>
        </w:rPr>
        <w:t xml:space="preserve"> ապահովման</w:t>
      </w:r>
      <w:r w:rsidR="004A7CB2" w:rsidRPr="00B57DAB">
        <w:rPr>
          <w:rFonts w:ascii="GHEA Grapalat" w:hAnsi="GHEA Grapalat" w:cs="GHEA Grapalat"/>
          <w:sz w:val="22"/>
          <w:szCs w:val="22"/>
          <w:lang w:val="ru-RU"/>
        </w:rPr>
        <w:t xml:space="preserve"> ծրագր</w:t>
      </w:r>
      <w:r w:rsidR="004A7CB2" w:rsidRPr="00B57DAB">
        <w:rPr>
          <w:rFonts w:ascii="GHEA Grapalat" w:hAnsi="GHEA Grapalat" w:cs="GHEA Grapalat"/>
          <w:sz w:val="22"/>
          <w:szCs w:val="22"/>
        </w:rPr>
        <w:t>եր</w:t>
      </w:r>
      <w:r w:rsidR="004A7CB2" w:rsidRPr="00B57DAB">
        <w:rPr>
          <w:rFonts w:ascii="GHEA Grapalat" w:hAnsi="GHEA Grapalat" w:cs="GHEA Grapalat"/>
          <w:sz w:val="22"/>
          <w:szCs w:val="22"/>
          <w:lang w:val="ru-RU"/>
        </w:rPr>
        <w:t>ի կատարողականով:</w:t>
      </w:r>
      <w:r w:rsidR="004A7CB2" w:rsidRPr="00B57DAB">
        <w:rPr>
          <w:rFonts w:ascii="GHEA Grapalat" w:hAnsi="GHEA Grapalat" w:cs="GHEA Grapalat"/>
          <w:sz w:val="22"/>
          <w:szCs w:val="22"/>
        </w:rPr>
        <w:t xml:space="preserve"> Հիմնականում նշված </w:t>
      </w:r>
      <w:r w:rsidR="004A7CB2" w:rsidRPr="00B57DAB">
        <w:rPr>
          <w:rFonts w:ascii="GHEA Grapalat" w:hAnsi="GHEA Grapalat" w:cs="GHEA Grapalat"/>
          <w:sz w:val="22"/>
          <w:szCs w:val="22"/>
          <w:lang w:val="ru-RU"/>
        </w:rPr>
        <w:t xml:space="preserve">ծրագրերի շրջանակներում կատարված ծախսերի </w:t>
      </w:r>
      <w:r w:rsidR="004A7CB2" w:rsidRPr="00B57DAB">
        <w:rPr>
          <w:rFonts w:ascii="GHEA Grapalat" w:hAnsi="GHEA Grapalat" w:cs="GHEA Grapalat"/>
          <w:sz w:val="22"/>
          <w:szCs w:val="22"/>
        </w:rPr>
        <w:t>ն</w:t>
      </w:r>
      <w:r w:rsidR="004A7CB2" w:rsidRPr="00B57DAB">
        <w:rPr>
          <w:rFonts w:ascii="GHEA Grapalat" w:hAnsi="GHEA Grapalat" w:cs="GHEA Grapalat"/>
          <w:sz w:val="22"/>
          <w:szCs w:val="22"/>
          <w:lang w:val="ru-RU"/>
        </w:rPr>
        <w:t>վ</w:t>
      </w:r>
      <w:r w:rsidR="004A7CB2" w:rsidRPr="00B57DAB">
        <w:rPr>
          <w:rFonts w:ascii="GHEA Grapalat" w:hAnsi="GHEA Grapalat" w:cs="GHEA Grapalat"/>
          <w:sz w:val="22"/>
          <w:szCs w:val="22"/>
        </w:rPr>
        <w:t>ազմամբ էլ պայմանավորված է ն</w:t>
      </w:r>
      <w:r w:rsidR="004A7CB2" w:rsidRPr="00B57DAB">
        <w:rPr>
          <w:rFonts w:ascii="GHEA Grapalat" w:hAnsi="GHEA Grapalat" w:cs="GHEA Grapalat"/>
          <w:sz w:val="22"/>
          <w:szCs w:val="22"/>
          <w:lang w:val="ru-RU"/>
        </w:rPr>
        <w:t xml:space="preserve">ախորդ տարվա </w:t>
      </w:r>
      <w:r w:rsidR="004A7CB2" w:rsidRPr="00B57DAB">
        <w:rPr>
          <w:rFonts w:ascii="GHEA Grapalat" w:hAnsi="GHEA Grapalat" w:cs="GHEA Grapalat"/>
          <w:sz w:val="22"/>
          <w:szCs w:val="22"/>
        </w:rPr>
        <w:t xml:space="preserve">առաջին եռամսյակի </w:t>
      </w:r>
      <w:r w:rsidR="004A7CB2" w:rsidRPr="00B57DAB">
        <w:rPr>
          <w:rFonts w:ascii="GHEA Grapalat" w:hAnsi="GHEA Grapalat" w:cs="GHEA Grapalat"/>
          <w:sz w:val="22"/>
          <w:szCs w:val="22"/>
          <w:lang w:val="ru-RU"/>
        </w:rPr>
        <w:t xml:space="preserve">համեմատ ՀՀ </w:t>
      </w:r>
      <w:r w:rsidR="004A7CB2" w:rsidRPr="00B57DAB">
        <w:rPr>
          <w:rFonts w:ascii="GHEA Grapalat" w:hAnsi="GHEA Grapalat" w:cs="GHEA Grapalat"/>
          <w:sz w:val="22"/>
          <w:szCs w:val="22"/>
        </w:rPr>
        <w:t>Վ</w:t>
      </w:r>
      <w:r w:rsidR="004A7CB2" w:rsidRPr="00B57DAB">
        <w:rPr>
          <w:rFonts w:ascii="GHEA Grapalat" w:hAnsi="GHEA Grapalat" w:cs="GHEA Grapalat"/>
          <w:sz w:val="22"/>
          <w:szCs w:val="22"/>
          <w:lang w:val="ru-RU"/>
        </w:rPr>
        <w:t>արչապետի աշխատակազմի պատասխանատվությամբ իրականացվող ծրագրերի գծով ծախսեր</w:t>
      </w:r>
      <w:r w:rsidR="004A7CB2" w:rsidRPr="00B57DAB">
        <w:rPr>
          <w:rFonts w:ascii="GHEA Grapalat" w:hAnsi="GHEA Grapalat" w:cs="GHEA Grapalat"/>
          <w:sz w:val="22"/>
          <w:szCs w:val="22"/>
        </w:rPr>
        <w:t>ի 38.9</w:t>
      </w:r>
      <w:r w:rsidR="004A7CB2" w:rsidRPr="00B57DAB">
        <w:rPr>
          <w:rFonts w:ascii="GHEA Grapalat" w:hAnsi="GHEA Grapalat" w:cs="GHEA Grapalat"/>
          <w:sz w:val="22"/>
          <w:szCs w:val="22"/>
          <w:lang w:val="ru-RU"/>
        </w:rPr>
        <w:t>%</w:t>
      </w:r>
      <w:r w:rsidR="004A7CB2" w:rsidRPr="00B57DAB">
        <w:rPr>
          <w:rFonts w:ascii="GHEA Grapalat" w:hAnsi="GHEA Grapalat" w:cs="GHEA Grapalat"/>
          <w:sz w:val="22"/>
          <w:szCs w:val="22"/>
        </w:rPr>
        <w:t xml:space="preserve"> (1.8</w:t>
      </w:r>
      <w:r w:rsidR="004A7CB2" w:rsidRPr="00B57DAB">
        <w:rPr>
          <w:rFonts w:ascii="GHEA Grapalat" w:hAnsi="GHEA Grapalat" w:cs="GHEA Grapalat"/>
          <w:sz w:val="22"/>
          <w:szCs w:val="22"/>
          <w:lang w:val="ru-RU"/>
        </w:rPr>
        <w:t xml:space="preserve"> մլրդ դրամ</w:t>
      </w:r>
      <w:r w:rsidR="004A7CB2" w:rsidRPr="00B57DAB">
        <w:rPr>
          <w:rFonts w:ascii="GHEA Grapalat" w:hAnsi="GHEA Grapalat" w:cs="GHEA Grapalat"/>
          <w:sz w:val="22"/>
          <w:szCs w:val="22"/>
        </w:rPr>
        <w:t>) ն</w:t>
      </w:r>
      <w:r w:rsidR="004A7CB2" w:rsidRPr="00B57DAB">
        <w:rPr>
          <w:rFonts w:ascii="GHEA Grapalat" w:hAnsi="GHEA Grapalat" w:cs="GHEA Grapalat"/>
          <w:sz w:val="22"/>
          <w:szCs w:val="22"/>
          <w:lang w:val="ru-RU"/>
        </w:rPr>
        <w:t>վ</w:t>
      </w:r>
      <w:r w:rsidR="004A7CB2" w:rsidRPr="00B57DAB">
        <w:rPr>
          <w:rFonts w:ascii="GHEA Grapalat" w:hAnsi="GHEA Grapalat" w:cs="GHEA Grapalat"/>
          <w:sz w:val="22"/>
          <w:szCs w:val="22"/>
        </w:rPr>
        <w:t>ազումը</w:t>
      </w:r>
      <w:r w:rsidR="004A7CB2" w:rsidRPr="00B57DAB">
        <w:rPr>
          <w:rFonts w:ascii="GHEA Grapalat" w:hAnsi="GHEA Grapalat" w:cs="GHEA Grapalat"/>
          <w:sz w:val="22"/>
          <w:szCs w:val="22"/>
          <w:lang w:val="ru-RU"/>
        </w:rPr>
        <w:t>:</w:t>
      </w:r>
      <w:r w:rsidR="004A7CB2" w:rsidRPr="00B57DAB">
        <w:rPr>
          <w:rFonts w:ascii="GHEA Grapalat" w:hAnsi="GHEA Grapalat" w:cs="GHEA Grapalat"/>
          <w:sz w:val="22"/>
          <w:szCs w:val="22"/>
        </w:rPr>
        <w:t xml:space="preserve"> </w:t>
      </w:r>
      <w:r w:rsidR="004A7CB2" w:rsidRPr="00B57DAB">
        <w:rPr>
          <w:rFonts w:ascii="GHEA Grapalat" w:hAnsi="GHEA Grapalat" w:cs="Sylfaen"/>
          <w:sz w:val="22"/>
          <w:szCs w:val="22"/>
        </w:rPr>
        <w:t>Հարկ է նշել, որ 2022 թվականից Համաշխարհային բանկի աջակցությամբ իրականացվող առևտրի և ենթակառուցվածքների զարգացման վարկային ծրագ</w:t>
      </w:r>
      <w:r w:rsidR="00953A30" w:rsidRPr="00B57DAB">
        <w:rPr>
          <w:rFonts w:ascii="GHEA Grapalat" w:hAnsi="GHEA Grapalat" w:cs="Sylfaen"/>
          <w:sz w:val="22"/>
          <w:szCs w:val="22"/>
        </w:rPr>
        <w:t>ի</w:t>
      </w:r>
      <w:r w:rsidR="004A7CB2" w:rsidRPr="00B57DAB">
        <w:rPr>
          <w:rFonts w:ascii="GHEA Grapalat" w:hAnsi="GHEA Grapalat" w:cs="Sylfaen"/>
          <w:sz w:val="22"/>
          <w:szCs w:val="22"/>
        </w:rPr>
        <w:t>րը ՀՀ Վարչապետի լիազորությունների իրականացմա</w:t>
      </w:r>
      <w:r w:rsidR="00953A30" w:rsidRPr="00B57DAB">
        <w:rPr>
          <w:rFonts w:ascii="GHEA Grapalat" w:hAnsi="GHEA Grapalat" w:cs="Sylfaen"/>
          <w:sz w:val="22"/>
          <w:szCs w:val="22"/>
        </w:rPr>
        <w:t>ն ապահովման ծրագրից փոխանցվել է</w:t>
      </w:r>
      <w:r w:rsidR="004A7CB2" w:rsidRPr="00B57DAB">
        <w:rPr>
          <w:rFonts w:ascii="GHEA Grapalat" w:hAnsi="GHEA Grapalat" w:cs="Sylfaen"/>
          <w:sz w:val="22"/>
          <w:szCs w:val="22"/>
        </w:rPr>
        <w:t xml:space="preserve"> ՀՀ բարձր տեխնոլոգիական արդյունաբերության նախարարության պատասխանատվությամբ իրականացվող Բարձր տեխնոլոգիական արդյունաբերության էկոհամակարգի, թվայնացման և շուկայի զարգացման ծրագրին: 2021 թվականի առաջին եռամսյակի համադրելի ցուցանիշի համեմատ ՀՀ Վարչապետի աշխատակազմի պատասխանատվությամբ իրականացվող ծախսերը նվազել են 5.1%</w:t>
      </w:r>
      <w:r w:rsidR="004A7CB2" w:rsidRPr="00B57DAB">
        <w:rPr>
          <w:rFonts w:ascii="GHEA Grapalat" w:hAnsi="GHEA Grapalat" w:cs="Sylfaen"/>
          <w:sz w:val="22"/>
          <w:szCs w:val="22"/>
        </w:rPr>
        <w:noBreakHyphen/>
        <w:t>ով կամ 148.1</w:t>
      </w:r>
      <w:r w:rsidR="004A7CB2" w:rsidRPr="00B57DAB">
        <w:rPr>
          <w:rFonts w:ascii="Courier New" w:hAnsi="Courier New" w:cs="Courier New"/>
          <w:sz w:val="22"/>
          <w:szCs w:val="22"/>
        </w:rPr>
        <w:t> </w:t>
      </w:r>
      <w:r w:rsidR="004A7CB2" w:rsidRPr="00B57DAB">
        <w:rPr>
          <w:rFonts w:ascii="GHEA Grapalat" w:hAnsi="GHEA Grapalat" w:cs="GHEA Grapalat"/>
          <w:sz w:val="22"/>
          <w:szCs w:val="22"/>
        </w:rPr>
        <w:t>մլն</w:t>
      </w:r>
      <w:r w:rsidR="004A7CB2" w:rsidRPr="00B57DAB">
        <w:rPr>
          <w:rFonts w:ascii="GHEA Grapalat" w:hAnsi="GHEA Grapalat" w:cs="Sylfaen"/>
          <w:sz w:val="22"/>
          <w:szCs w:val="22"/>
        </w:rPr>
        <w:t xml:space="preserve"> </w:t>
      </w:r>
      <w:r w:rsidR="004A7CB2" w:rsidRPr="00B57DAB">
        <w:rPr>
          <w:rFonts w:ascii="GHEA Grapalat" w:hAnsi="GHEA Grapalat" w:cs="GHEA Grapalat"/>
          <w:sz w:val="22"/>
          <w:szCs w:val="22"/>
        </w:rPr>
        <w:t>դրամով</w:t>
      </w:r>
      <w:r w:rsidR="004A7CB2" w:rsidRPr="00B57DAB">
        <w:rPr>
          <w:rFonts w:ascii="GHEA Grapalat" w:hAnsi="GHEA Grapalat" w:cs="Sylfaen"/>
          <w:sz w:val="22"/>
          <w:szCs w:val="22"/>
        </w:rPr>
        <w:t xml:space="preserve">, ինչը ձևավորվել է </w:t>
      </w:r>
      <w:r w:rsidR="00953A30" w:rsidRPr="00B57DAB">
        <w:rPr>
          <w:rFonts w:ascii="GHEA Grapalat" w:hAnsi="GHEA Grapalat" w:cs="Sylfaen"/>
          <w:sz w:val="22"/>
          <w:szCs w:val="22"/>
        </w:rPr>
        <w:t xml:space="preserve">հիմնականում </w:t>
      </w:r>
      <w:r w:rsidR="004A7CB2" w:rsidRPr="00B57DAB">
        <w:rPr>
          <w:rFonts w:ascii="GHEA Grapalat" w:hAnsi="GHEA Grapalat" w:cs="Sylfaen"/>
          <w:sz w:val="22"/>
          <w:szCs w:val="22"/>
        </w:rPr>
        <w:t xml:space="preserve">Պետական հատվածի արդիականացման ծրագրի </w:t>
      </w:r>
      <w:r w:rsidR="004A7CB2" w:rsidRPr="00B57DAB">
        <w:rPr>
          <w:rFonts w:ascii="GHEA Grapalat" w:hAnsi="GHEA Grapalat" w:cs="GHEA Grapalat"/>
          <w:sz w:val="22"/>
          <w:szCs w:val="22"/>
          <w:lang w:val="ru-RU"/>
        </w:rPr>
        <w:t>շրջանակներում կատարված ծախսերի</w:t>
      </w:r>
      <w:r w:rsidR="004A7CB2" w:rsidRPr="00B57DAB">
        <w:rPr>
          <w:rFonts w:ascii="GHEA Grapalat" w:hAnsi="GHEA Grapalat" w:cs="GHEA Grapalat"/>
          <w:sz w:val="22"/>
          <w:szCs w:val="22"/>
        </w:rPr>
        <w:t xml:space="preserve"> աճի </w:t>
      </w:r>
      <w:r w:rsidR="004A7CB2" w:rsidRPr="00B57DAB">
        <w:rPr>
          <w:rFonts w:ascii="GHEA Grapalat" w:hAnsi="GHEA Grapalat" w:cs="Sylfaen"/>
          <w:sz w:val="22"/>
          <w:szCs w:val="22"/>
        </w:rPr>
        <w:t xml:space="preserve">ու </w:t>
      </w:r>
      <w:r w:rsidR="004A7CB2" w:rsidRPr="00B57DAB">
        <w:rPr>
          <w:rFonts w:ascii="GHEA Grapalat" w:hAnsi="GHEA Grapalat" w:cs="GHEA Grapalat"/>
          <w:sz w:val="22"/>
          <w:szCs w:val="22"/>
        </w:rPr>
        <w:t xml:space="preserve">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 </w:t>
      </w:r>
      <w:r w:rsidR="004A7CB2" w:rsidRPr="00B57DAB">
        <w:rPr>
          <w:rFonts w:ascii="GHEA Grapalat" w:hAnsi="GHEA Grapalat" w:cs="Sylfaen"/>
          <w:sz w:val="22"/>
          <w:szCs w:val="22"/>
        </w:rPr>
        <w:t>ծրագրի գծով ծախսերի նվազման արդյունքում:</w:t>
      </w:r>
    </w:p>
    <w:p w:rsidR="004A7CB2" w:rsidRDefault="004A7CB2" w:rsidP="004A7CB2">
      <w:pPr>
        <w:autoSpaceDE w:val="0"/>
        <w:autoSpaceDN w:val="0"/>
        <w:adjustRightInd w:val="0"/>
        <w:spacing w:line="360" w:lineRule="auto"/>
        <w:ind w:firstLine="567"/>
        <w:jc w:val="both"/>
        <w:rPr>
          <w:rFonts w:ascii="GHEA Grapalat" w:hAnsi="GHEA Grapalat" w:cs="GHEA Grapalat"/>
          <w:sz w:val="22"/>
          <w:szCs w:val="22"/>
        </w:rPr>
      </w:pPr>
    </w:p>
    <w:p w:rsidR="00D06624" w:rsidRDefault="00D06624" w:rsidP="004A7CB2">
      <w:pPr>
        <w:autoSpaceDE w:val="0"/>
        <w:autoSpaceDN w:val="0"/>
        <w:adjustRightInd w:val="0"/>
        <w:spacing w:line="360" w:lineRule="auto"/>
        <w:ind w:firstLine="567"/>
        <w:jc w:val="both"/>
        <w:rPr>
          <w:rFonts w:ascii="GHEA Grapalat" w:hAnsi="GHEA Grapalat" w:cs="GHEA Grapalat"/>
          <w:sz w:val="22"/>
          <w:szCs w:val="22"/>
        </w:rPr>
      </w:pPr>
    </w:p>
    <w:p w:rsidR="00D06624" w:rsidRPr="00B57DAB" w:rsidRDefault="00D06624" w:rsidP="004A7CB2">
      <w:pPr>
        <w:autoSpaceDE w:val="0"/>
        <w:autoSpaceDN w:val="0"/>
        <w:adjustRightInd w:val="0"/>
        <w:spacing w:line="360" w:lineRule="auto"/>
        <w:ind w:firstLine="567"/>
        <w:jc w:val="both"/>
        <w:rPr>
          <w:rFonts w:ascii="GHEA Grapalat" w:hAnsi="GHEA Grapalat" w:cs="GHEA Grapalat"/>
          <w:sz w:val="22"/>
          <w:szCs w:val="22"/>
        </w:rPr>
      </w:pPr>
    </w:p>
    <w:p w:rsidR="004A7CB2" w:rsidRPr="00B57DAB" w:rsidRDefault="004A7CB2" w:rsidP="00770F24">
      <w:pPr>
        <w:pStyle w:val="Caption"/>
        <w:keepNext/>
        <w:numPr>
          <w:ilvl w:val="0"/>
          <w:numId w:val="11"/>
        </w:numPr>
        <w:tabs>
          <w:tab w:val="left" w:pos="1276"/>
        </w:tabs>
        <w:ind w:left="0" w:firstLine="0"/>
        <w:jc w:val="left"/>
        <w:rPr>
          <w:rFonts w:ascii="GHEA Grapalat" w:hAnsi="GHEA Grapalat"/>
          <w:i/>
          <w:sz w:val="18"/>
          <w:szCs w:val="18"/>
          <w:lang w:val="en-US"/>
        </w:rPr>
      </w:pPr>
      <w:r w:rsidRPr="00B57DAB">
        <w:rPr>
          <w:rFonts w:ascii="GHEA Grapalat" w:hAnsi="GHEA Grapalat"/>
          <w:i/>
          <w:sz w:val="18"/>
          <w:szCs w:val="18"/>
          <w:lang w:val="en-US"/>
        </w:rPr>
        <w:lastRenderedPageBreak/>
        <w:t>2022թ. առաջին եռամսյակում ՀՀ Վարչապետի աշխատակազմի կողմից իրականացված ծրագրերը (մլն դրամ)</w:t>
      </w:r>
    </w:p>
    <w:tbl>
      <w:tblPr>
        <w:tblW w:w="10229" w:type="dxa"/>
        <w:jc w:val="center"/>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1272"/>
        <w:gridCol w:w="1203"/>
        <w:gridCol w:w="1203"/>
        <w:gridCol w:w="1203"/>
        <w:gridCol w:w="1203"/>
        <w:gridCol w:w="1048"/>
      </w:tblGrid>
      <w:tr w:rsidR="004A7CB2" w:rsidRPr="00B57DAB" w:rsidTr="00597AAF">
        <w:trPr>
          <w:trHeight w:val="300"/>
          <w:jc w:val="center"/>
        </w:trPr>
        <w:tc>
          <w:tcPr>
            <w:tcW w:w="3097" w:type="dxa"/>
            <w:tcBorders>
              <w:top w:val="single" w:sz="4" w:space="0" w:color="auto"/>
              <w:left w:val="single" w:sz="4" w:space="0" w:color="auto"/>
              <w:bottom w:val="single" w:sz="4" w:space="0" w:color="auto"/>
              <w:right w:val="single" w:sz="4" w:space="0" w:color="auto"/>
            </w:tcBorders>
            <w:noWrap/>
            <w:vAlign w:val="bottom"/>
            <w:hideMark/>
          </w:tcPr>
          <w:p w:rsidR="004A7CB2" w:rsidRPr="00B57DAB" w:rsidRDefault="004A7CB2">
            <w:pPr>
              <w:rPr>
                <w:sz w:val="20"/>
                <w:szCs w:val="20"/>
              </w:rPr>
            </w:pPr>
          </w:p>
        </w:tc>
        <w:tc>
          <w:tcPr>
            <w:tcW w:w="1272" w:type="dxa"/>
            <w:tcBorders>
              <w:top w:val="single" w:sz="4" w:space="0" w:color="auto"/>
              <w:left w:val="single" w:sz="4" w:space="0" w:color="auto"/>
              <w:bottom w:val="single" w:sz="4" w:space="0" w:color="auto"/>
              <w:right w:val="single" w:sz="4" w:space="0" w:color="auto"/>
            </w:tcBorders>
            <w:hideMark/>
          </w:tcPr>
          <w:p w:rsidR="004A7CB2" w:rsidRPr="00B57DAB" w:rsidRDefault="004A7CB2">
            <w:pPr>
              <w:jc w:val="center"/>
              <w:rPr>
                <w:rFonts w:ascii="GHEA Grapalat" w:hAnsi="GHEA Grapalat" w:cs="Calibri"/>
                <w:b/>
                <w:noProof/>
                <w:color w:val="000000"/>
                <w:sz w:val="18"/>
                <w:szCs w:val="18"/>
              </w:rPr>
            </w:pPr>
            <w:r w:rsidRPr="00B57DAB">
              <w:rPr>
                <w:rFonts w:ascii="GHEA Grapalat" w:hAnsi="GHEA Grapalat" w:cs="Calibri"/>
                <w:b/>
                <w:color w:val="000000"/>
                <w:sz w:val="18"/>
                <w:szCs w:val="18"/>
              </w:rPr>
              <w:t>2021թ. առաջին եռամսյակի փաստ</w:t>
            </w:r>
          </w:p>
          <w:p w:rsidR="004A7CB2" w:rsidRPr="00B57DAB" w:rsidRDefault="004A7CB2" w:rsidP="00953A30">
            <w:pPr>
              <w:jc w:val="center"/>
              <w:rPr>
                <w:rFonts w:ascii="GHEA Grapalat" w:hAnsi="GHEA Grapalat" w:cs="Calibri"/>
                <w:b/>
                <w:noProof/>
                <w:color w:val="000000"/>
                <w:sz w:val="18"/>
                <w:szCs w:val="18"/>
                <w:lang w:val="hy-AM"/>
              </w:rPr>
            </w:pPr>
            <w:r w:rsidRPr="00B57DAB">
              <w:rPr>
                <w:rFonts w:ascii="GHEA Grapalat" w:hAnsi="GHEA Grapalat" w:cs="Calibri"/>
                <w:b/>
                <w:color w:val="000000"/>
                <w:sz w:val="18"/>
                <w:szCs w:val="18"/>
              </w:rPr>
              <w:t xml:space="preserve">(2022թ. </w:t>
            </w:r>
            <w:r w:rsidR="00953A30" w:rsidRPr="00B57DAB">
              <w:rPr>
                <w:rFonts w:ascii="GHEA Grapalat" w:hAnsi="GHEA Grapalat" w:cs="Calibri"/>
                <w:b/>
                <w:color w:val="000000"/>
                <w:sz w:val="18"/>
                <w:szCs w:val="18"/>
              </w:rPr>
              <w:t xml:space="preserve">հետ </w:t>
            </w:r>
            <w:r w:rsidRPr="00B57DAB">
              <w:rPr>
                <w:rFonts w:ascii="GHEA Grapalat" w:hAnsi="GHEA Grapalat" w:cs="Calibri"/>
                <w:b/>
                <w:color w:val="000000"/>
                <w:sz w:val="18"/>
                <w:szCs w:val="18"/>
              </w:rPr>
              <w:t>համադրելի)</w:t>
            </w:r>
          </w:p>
        </w:tc>
        <w:tc>
          <w:tcPr>
            <w:tcW w:w="1203" w:type="dxa"/>
            <w:tcBorders>
              <w:top w:val="single" w:sz="4" w:space="0" w:color="auto"/>
              <w:left w:val="single" w:sz="4" w:space="0" w:color="auto"/>
              <w:bottom w:val="single" w:sz="4" w:space="0" w:color="auto"/>
              <w:right w:val="single" w:sz="4" w:space="0" w:color="auto"/>
            </w:tcBorders>
            <w:hideMark/>
          </w:tcPr>
          <w:p w:rsidR="004A7CB2" w:rsidRPr="00B57DAB" w:rsidRDefault="004A7CB2">
            <w:pPr>
              <w:jc w:val="center"/>
              <w:rPr>
                <w:rFonts w:ascii="GHEA Grapalat" w:hAnsi="GHEA Grapalat" w:cs="Calibri"/>
                <w:b/>
                <w:noProof/>
                <w:color w:val="000000"/>
                <w:sz w:val="18"/>
                <w:szCs w:val="18"/>
                <w:lang w:val="hy-AM"/>
              </w:rPr>
            </w:pPr>
            <w:r w:rsidRPr="00B57DAB">
              <w:rPr>
                <w:rFonts w:ascii="GHEA Grapalat" w:hAnsi="GHEA Grapalat" w:cs="Calibri"/>
                <w:b/>
                <w:color w:val="000000"/>
                <w:sz w:val="18"/>
                <w:szCs w:val="18"/>
              </w:rPr>
              <w:t>2022թ. առաջին եռամսյակի ճշտված պլան</w:t>
            </w:r>
          </w:p>
        </w:tc>
        <w:tc>
          <w:tcPr>
            <w:tcW w:w="1203" w:type="dxa"/>
            <w:tcBorders>
              <w:top w:val="single" w:sz="4" w:space="0" w:color="auto"/>
              <w:left w:val="single" w:sz="4" w:space="0" w:color="auto"/>
              <w:bottom w:val="single" w:sz="4" w:space="0" w:color="auto"/>
              <w:right w:val="single" w:sz="4" w:space="0" w:color="auto"/>
            </w:tcBorders>
            <w:noWrap/>
            <w:hideMark/>
          </w:tcPr>
          <w:p w:rsidR="004A7CB2" w:rsidRPr="00B57DAB" w:rsidRDefault="004A7CB2">
            <w:pPr>
              <w:jc w:val="center"/>
              <w:rPr>
                <w:rFonts w:ascii="GHEA Grapalat" w:hAnsi="GHEA Grapalat" w:cs="Calibri"/>
                <w:b/>
                <w:noProof/>
                <w:color w:val="000000"/>
                <w:sz w:val="18"/>
                <w:szCs w:val="18"/>
                <w:lang w:val="hy-AM"/>
              </w:rPr>
            </w:pPr>
            <w:r w:rsidRPr="00B57DAB">
              <w:rPr>
                <w:rFonts w:ascii="GHEA Grapalat" w:hAnsi="GHEA Grapalat" w:cs="Calibri"/>
                <w:b/>
                <w:color w:val="000000"/>
                <w:sz w:val="18"/>
                <w:szCs w:val="18"/>
              </w:rPr>
              <w:t>2022թ. առաջին եռամսյակի փաստ</w:t>
            </w:r>
          </w:p>
        </w:tc>
        <w:tc>
          <w:tcPr>
            <w:tcW w:w="1203" w:type="dxa"/>
            <w:tcBorders>
              <w:top w:val="single" w:sz="4" w:space="0" w:color="auto"/>
              <w:left w:val="single" w:sz="4" w:space="0" w:color="auto"/>
              <w:bottom w:val="single" w:sz="4" w:space="0" w:color="auto"/>
              <w:right w:val="single" w:sz="4" w:space="0" w:color="auto"/>
            </w:tcBorders>
            <w:hideMark/>
          </w:tcPr>
          <w:p w:rsidR="004A7CB2" w:rsidRPr="00B57DAB" w:rsidRDefault="00953A30">
            <w:pPr>
              <w:jc w:val="center"/>
              <w:rPr>
                <w:rFonts w:ascii="GHEA Grapalat" w:hAnsi="GHEA Grapalat" w:cs="Calibri"/>
                <w:b/>
                <w:noProof/>
                <w:color w:val="000000"/>
                <w:sz w:val="18"/>
                <w:szCs w:val="18"/>
                <w:lang w:val="hy-AM"/>
              </w:rPr>
            </w:pPr>
            <w:r w:rsidRPr="00B57DAB">
              <w:rPr>
                <w:rFonts w:ascii="GHEA Grapalat" w:hAnsi="GHEA Grapalat" w:cs="Calibri"/>
                <w:b/>
                <w:color w:val="000000"/>
                <w:sz w:val="18"/>
                <w:szCs w:val="18"/>
              </w:rPr>
              <w:t>Կատարո-ղականն</w:t>
            </w:r>
            <w:r w:rsidR="004A7CB2" w:rsidRPr="00B57DAB">
              <w:rPr>
                <w:rFonts w:ascii="GHEA Grapalat" w:hAnsi="GHEA Grapalat" w:cs="Calibri"/>
                <w:b/>
                <w:color w:val="000000"/>
                <w:sz w:val="18"/>
                <w:szCs w:val="18"/>
              </w:rPr>
              <w:t xml:space="preserve"> առաջին եռամսյակի ճշտված պլանի նկատմամբ (%) </w:t>
            </w:r>
          </w:p>
        </w:tc>
        <w:tc>
          <w:tcPr>
            <w:tcW w:w="1203" w:type="dxa"/>
            <w:tcBorders>
              <w:top w:val="single" w:sz="4" w:space="0" w:color="auto"/>
              <w:left w:val="single" w:sz="4" w:space="0" w:color="auto"/>
              <w:bottom w:val="single" w:sz="4" w:space="0" w:color="auto"/>
              <w:right w:val="single" w:sz="4" w:space="0" w:color="auto"/>
            </w:tcBorders>
            <w:hideMark/>
          </w:tcPr>
          <w:p w:rsidR="004A7CB2" w:rsidRPr="00B57DAB" w:rsidRDefault="004A7CB2">
            <w:pPr>
              <w:jc w:val="center"/>
              <w:rPr>
                <w:rFonts w:ascii="GHEA Grapalat" w:hAnsi="GHEA Grapalat" w:cs="Calibri"/>
                <w:b/>
                <w:noProof/>
                <w:color w:val="000000"/>
                <w:sz w:val="18"/>
                <w:szCs w:val="18"/>
              </w:rPr>
            </w:pPr>
            <w:r w:rsidRPr="00B57DAB">
              <w:rPr>
                <w:rFonts w:ascii="GHEA Grapalat" w:hAnsi="GHEA Grapalat" w:cs="Calibri"/>
                <w:b/>
                <w:bCs/>
                <w:color w:val="000000"/>
                <w:sz w:val="18"/>
                <w:szCs w:val="18"/>
              </w:rPr>
              <w:t xml:space="preserve">2022թ. </w:t>
            </w:r>
            <w:r w:rsidRPr="00B57DAB">
              <w:rPr>
                <w:rFonts w:ascii="GHEA Grapalat" w:hAnsi="GHEA Grapalat" w:cs="Calibri"/>
                <w:b/>
                <w:color w:val="000000"/>
                <w:sz w:val="18"/>
                <w:szCs w:val="18"/>
              </w:rPr>
              <w:t xml:space="preserve">առաջին եռամսյակը </w:t>
            </w:r>
            <w:r w:rsidR="00953A30" w:rsidRPr="00B57DAB">
              <w:rPr>
                <w:rFonts w:ascii="GHEA Grapalat" w:hAnsi="GHEA Grapalat" w:cs="Calibri"/>
                <w:b/>
                <w:bCs/>
                <w:color w:val="000000"/>
                <w:sz w:val="18"/>
                <w:szCs w:val="18"/>
              </w:rPr>
              <w:t>2021թ.</w:t>
            </w:r>
            <w:r w:rsidRPr="00B57DAB">
              <w:rPr>
                <w:rFonts w:ascii="GHEA Grapalat" w:hAnsi="GHEA Grapalat" w:cs="Calibri"/>
                <w:b/>
                <w:bCs/>
                <w:color w:val="000000"/>
                <w:sz w:val="18"/>
                <w:szCs w:val="18"/>
              </w:rPr>
              <w:t xml:space="preserve"> </w:t>
            </w:r>
            <w:proofErr w:type="gramStart"/>
            <w:r w:rsidRPr="00B57DAB">
              <w:rPr>
                <w:rFonts w:ascii="GHEA Grapalat" w:hAnsi="GHEA Grapalat" w:cs="Calibri"/>
                <w:b/>
                <w:color w:val="000000"/>
                <w:sz w:val="18"/>
                <w:szCs w:val="18"/>
              </w:rPr>
              <w:t>առաջին</w:t>
            </w:r>
            <w:proofErr w:type="gramEnd"/>
            <w:r w:rsidRPr="00B57DAB">
              <w:rPr>
                <w:rFonts w:ascii="GHEA Grapalat" w:hAnsi="GHEA Grapalat" w:cs="Calibri"/>
                <w:b/>
                <w:color w:val="000000"/>
                <w:sz w:val="18"/>
                <w:szCs w:val="18"/>
              </w:rPr>
              <w:t xml:space="preserve"> եռամսյակի </w:t>
            </w:r>
            <w:r w:rsidRPr="00B57DAB">
              <w:rPr>
                <w:rFonts w:ascii="GHEA Grapalat" w:hAnsi="GHEA Grapalat" w:cs="Calibri"/>
                <w:b/>
                <w:bCs/>
                <w:color w:val="000000"/>
                <w:sz w:val="18"/>
                <w:szCs w:val="18"/>
              </w:rPr>
              <w:t>նկատմամբ (%)</w:t>
            </w:r>
          </w:p>
        </w:tc>
        <w:tc>
          <w:tcPr>
            <w:tcW w:w="1048" w:type="dxa"/>
            <w:tcBorders>
              <w:top w:val="single" w:sz="4" w:space="0" w:color="auto"/>
              <w:left w:val="single" w:sz="4" w:space="0" w:color="auto"/>
              <w:bottom w:val="single" w:sz="4" w:space="0" w:color="auto"/>
              <w:right w:val="single" w:sz="4" w:space="0" w:color="auto"/>
            </w:tcBorders>
            <w:hideMark/>
          </w:tcPr>
          <w:p w:rsidR="004A7CB2" w:rsidRPr="00B57DAB" w:rsidRDefault="004A7CB2">
            <w:pPr>
              <w:jc w:val="center"/>
              <w:rPr>
                <w:rFonts w:ascii="GHEA Grapalat" w:hAnsi="GHEA Grapalat" w:cs="Calibri"/>
                <w:b/>
                <w:noProof/>
                <w:color w:val="000000"/>
                <w:sz w:val="18"/>
                <w:szCs w:val="18"/>
              </w:rPr>
            </w:pPr>
            <w:r w:rsidRPr="00B57DAB">
              <w:rPr>
                <w:rFonts w:ascii="GHEA Grapalat" w:hAnsi="GHEA Grapalat" w:cs="Calibri"/>
                <w:b/>
                <w:bCs/>
                <w:color w:val="000000"/>
                <w:sz w:val="18"/>
                <w:szCs w:val="18"/>
              </w:rPr>
              <w:t>2022թ. և 2021թ. տարբե-րությունը</w:t>
            </w:r>
          </w:p>
        </w:tc>
      </w:tr>
      <w:tr w:rsidR="004A7CB2" w:rsidRPr="00B57DAB" w:rsidTr="00597AAF">
        <w:trPr>
          <w:trHeight w:val="331"/>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4A7CB2" w:rsidRPr="00B57DAB" w:rsidRDefault="004A7CB2" w:rsidP="00953A30">
            <w:pPr>
              <w:rPr>
                <w:rFonts w:ascii="GHEA Grapalat" w:hAnsi="GHEA Grapalat" w:cs="Calibri"/>
                <w:b/>
                <w:noProof/>
                <w:color w:val="000000"/>
                <w:sz w:val="18"/>
                <w:szCs w:val="18"/>
                <w:lang w:val="hy-AM"/>
              </w:rPr>
            </w:pPr>
            <w:r w:rsidRPr="00B57DAB">
              <w:rPr>
                <w:rFonts w:ascii="GHEA Grapalat" w:hAnsi="GHEA Grapalat" w:cs="Calibri"/>
                <w:b/>
                <w:color w:val="000000"/>
                <w:sz w:val="18"/>
                <w:szCs w:val="18"/>
              </w:rPr>
              <w:t>ԸՆԴԱՄԵՆԸ</w:t>
            </w:r>
          </w:p>
        </w:tc>
        <w:tc>
          <w:tcPr>
            <w:tcW w:w="1272" w:type="dxa"/>
            <w:tcBorders>
              <w:top w:val="single" w:sz="4" w:space="0" w:color="auto"/>
              <w:left w:val="single" w:sz="4" w:space="0" w:color="auto"/>
              <w:bottom w:val="single" w:sz="4" w:space="0" w:color="auto"/>
              <w:right w:val="single" w:sz="4" w:space="0" w:color="auto"/>
            </w:tcBorders>
            <w:vAlign w:val="bottom"/>
            <w:hideMark/>
          </w:tcPr>
          <w:p w:rsidR="004A7CB2" w:rsidRPr="00B57DAB" w:rsidRDefault="004A7CB2" w:rsidP="00953A30">
            <w:pPr>
              <w:jc w:val="right"/>
              <w:rPr>
                <w:rFonts w:ascii="GHEA Grapalat" w:hAnsi="GHEA Grapalat"/>
                <w:b/>
                <w:bCs/>
                <w:noProof/>
                <w:sz w:val="18"/>
                <w:szCs w:val="18"/>
                <w:lang w:val="hy-AM"/>
              </w:rPr>
            </w:pPr>
            <w:r w:rsidRPr="00B57DAB">
              <w:rPr>
                <w:rFonts w:ascii="GHEA Grapalat" w:hAnsi="GHEA Grapalat"/>
                <w:b/>
                <w:bCs/>
                <w:sz w:val="18"/>
                <w:szCs w:val="18"/>
              </w:rPr>
              <w:t>2,910.4</w:t>
            </w:r>
          </w:p>
        </w:tc>
        <w:tc>
          <w:tcPr>
            <w:tcW w:w="1203" w:type="dxa"/>
            <w:tcBorders>
              <w:top w:val="single" w:sz="4" w:space="0" w:color="auto"/>
              <w:left w:val="single" w:sz="4" w:space="0" w:color="auto"/>
              <w:bottom w:val="single" w:sz="4" w:space="0" w:color="auto"/>
              <w:right w:val="single" w:sz="4" w:space="0" w:color="auto"/>
            </w:tcBorders>
            <w:vAlign w:val="bottom"/>
            <w:hideMark/>
          </w:tcPr>
          <w:p w:rsidR="004A7CB2" w:rsidRPr="00B57DAB" w:rsidRDefault="004A7CB2" w:rsidP="00953A30">
            <w:pPr>
              <w:jc w:val="right"/>
              <w:rPr>
                <w:rFonts w:ascii="GHEA Grapalat" w:hAnsi="GHEA Grapalat"/>
                <w:b/>
                <w:bCs/>
                <w:noProof/>
                <w:sz w:val="18"/>
                <w:szCs w:val="18"/>
                <w:lang w:val="hy-AM"/>
              </w:rPr>
            </w:pPr>
            <w:r w:rsidRPr="00B57DAB">
              <w:rPr>
                <w:rFonts w:ascii="GHEA Grapalat" w:hAnsi="GHEA Grapalat"/>
                <w:b/>
                <w:bCs/>
                <w:sz w:val="18"/>
                <w:szCs w:val="18"/>
              </w:rPr>
              <w:t>5,558.3</w:t>
            </w:r>
          </w:p>
        </w:tc>
        <w:tc>
          <w:tcPr>
            <w:tcW w:w="1203" w:type="dxa"/>
            <w:tcBorders>
              <w:top w:val="single" w:sz="4" w:space="0" w:color="auto"/>
              <w:left w:val="single" w:sz="4" w:space="0" w:color="auto"/>
              <w:bottom w:val="single" w:sz="4" w:space="0" w:color="auto"/>
              <w:right w:val="single" w:sz="4" w:space="0" w:color="auto"/>
            </w:tcBorders>
            <w:vAlign w:val="bottom"/>
            <w:hideMark/>
          </w:tcPr>
          <w:p w:rsidR="004A7CB2" w:rsidRPr="00B57DAB" w:rsidRDefault="004A7CB2" w:rsidP="00953A30">
            <w:pPr>
              <w:jc w:val="right"/>
              <w:rPr>
                <w:rFonts w:ascii="GHEA Grapalat" w:hAnsi="GHEA Grapalat"/>
                <w:b/>
                <w:bCs/>
                <w:noProof/>
                <w:sz w:val="18"/>
                <w:szCs w:val="18"/>
                <w:lang w:val="hy-AM"/>
              </w:rPr>
            </w:pPr>
            <w:r w:rsidRPr="00B57DAB">
              <w:rPr>
                <w:rFonts w:ascii="GHEA Grapalat" w:hAnsi="GHEA Grapalat"/>
                <w:b/>
                <w:bCs/>
                <w:sz w:val="18"/>
                <w:szCs w:val="18"/>
              </w:rPr>
              <w:t>2,762.3</w:t>
            </w:r>
          </w:p>
        </w:tc>
        <w:tc>
          <w:tcPr>
            <w:tcW w:w="1203" w:type="dxa"/>
            <w:tcBorders>
              <w:top w:val="single" w:sz="4" w:space="0" w:color="auto"/>
              <w:left w:val="single" w:sz="4" w:space="0" w:color="auto"/>
              <w:bottom w:val="single" w:sz="4" w:space="0" w:color="auto"/>
              <w:right w:val="single" w:sz="4" w:space="0" w:color="auto"/>
            </w:tcBorders>
            <w:vAlign w:val="bottom"/>
            <w:hideMark/>
          </w:tcPr>
          <w:p w:rsidR="004A7CB2" w:rsidRPr="00B57DAB" w:rsidRDefault="004A7CB2" w:rsidP="00953A30">
            <w:pPr>
              <w:jc w:val="right"/>
              <w:rPr>
                <w:rFonts w:ascii="GHEA Grapalat" w:hAnsi="GHEA Grapalat"/>
                <w:b/>
                <w:bCs/>
                <w:noProof/>
                <w:sz w:val="18"/>
                <w:szCs w:val="18"/>
                <w:lang w:val="hy-AM"/>
              </w:rPr>
            </w:pPr>
            <w:r w:rsidRPr="00B57DAB">
              <w:rPr>
                <w:rFonts w:ascii="GHEA Grapalat" w:hAnsi="GHEA Grapalat"/>
                <w:b/>
                <w:bCs/>
                <w:sz w:val="18"/>
                <w:szCs w:val="18"/>
              </w:rPr>
              <w:t>49.7</w:t>
            </w:r>
          </w:p>
        </w:tc>
        <w:tc>
          <w:tcPr>
            <w:tcW w:w="1203" w:type="dxa"/>
            <w:tcBorders>
              <w:top w:val="single" w:sz="4" w:space="0" w:color="auto"/>
              <w:left w:val="single" w:sz="4" w:space="0" w:color="auto"/>
              <w:bottom w:val="single" w:sz="4" w:space="0" w:color="auto"/>
              <w:right w:val="single" w:sz="4" w:space="0" w:color="auto"/>
            </w:tcBorders>
            <w:vAlign w:val="bottom"/>
            <w:hideMark/>
          </w:tcPr>
          <w:p w:rsidR="004A7CB2" w:rsidRPr="00B57DAB" w:rsidRDefault="004A7CB2" w:rsidP="00953A30">
            <w:pPr>
              <w:jc w:val="right"/>
              <w:rPr>
                <w:rFonts w:ascii="GHEA Grapalat" w:hAnsi="GHEA Grapalat"/>
                <w:b/>
                <w:bCs/>
                <w:noProof/>
                <w:sz w:val="18"/>
                <w:szCs w:val="18"/>
                <w:lang w:val="hy-AM"/>
              </w:rPr>
            </w:pPr>
            <w:r w:rsidRPr="00B57DAB">
              <w:rPr>
                <w:rFonts w:ascii="GHEA Grapalat" w:hAnsi="GHEA Grapalat"/>
                <w:b/>
                <w:bCs/>
                <w:sz w:val="18"/>
                <w:szCs w:val="18"/>
              </w:rPr>
              <w:t>94.9</w:t>
            </w:r>
          </w:p>
        </w:tc>
        <w:tc>
          <w:tcPr>
            <w:tcW w:w="1048" w:type="dxa"/>
            <w:tcBorders>
              <w:top w:val="single" w:sz="4" w:space="0" w:color="auto"/>
              <w:left w:val="single" w:sz="4" w:space="0" w:color="auto"/>
              <w:bottom w:val="single" w:sz="4" w:space="0" w:color="auto"/>
              <w:right w:val="single" w:sz="4" w:space="0" w:color="auto"/>
            </w:tcBorders>
            <w:vAlign w:val="bottom"/>
            <w:hideMark/>
          </w:tcPr>
          <w:p w:rsidR="004A7CB2" w:rsidRPr="00B57DAB" w:rsidRDefault="004A7CB2" w:rsidP="00953A30">
            <w:pPr>
              <w:jc w:val="right"/>
              <w:rPr>
                <w:rFonts w:ascii="GHEA Grapalat" w:hAnsi="GHEA Grapalat"/>
                <w:b/>
                <w:bCs/>
                <w:noProof/>
                <w:sz w:val="18"/>
                <w:szCs w:val="18"/>
                <w:lang w:val="hy-AM"/>
              </w:rPr>
            </w:pPr>
            <w:r w:rsidRPr="00B57DAB">
              <w:rPr>
                <w:rFonts w:ascii="GHEA Grapalat" w:hAnsi="GHEA Grapalat"/>
                <w:b/>
                <w:bCs/>
                <w:sz w:val="18"/>
                <w:szCs w:val="18"/>
              </w:rPr>
              <w:t>(148.1)</w:t>
            </w:r>
          </w:p>
        </w:tc>
      </w:tr>
      <w:tr w:rsidR="004A7CB2" w:rsidRPr="00B57DAB" w:rsidTr="00597AAF">
        <w:trPr>
          <w:trHeight w:val="331"/>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4A7CB2" w:rsidRPr="00B57DAB" w:rsidRDefault="004A7CB2" w:rsidP="00953A30">
            <w:pPr>
              <w:rPr>
                <w:rFonts w:ascii="GHEA Grapalat" w:hAnsi="GHEA Grapalat"/>
                <w:noProof/>
                <w:sz w:val="18"/>
                <w:szCs w:val="18"/>
                <w:lang w:val="hy-AM"/>
              </w:rPr>
            </w:pPr>
            <w:r w:rsidRPr="00B57DAB">
              <w:rPr>
                <w:rFonts w:ascii="GHEA Grapalat" w:hAnsi="GHEA Grapalat"/>
                <w:sz w:val="18"/>
                <w:szCs w:val="18"/>
              </w:rPr>
              <w:t>Պետական հատվածի արդիականացման ծրագիր</w:t>
            </w:r>
          </w:p>
        </w:tc>
        <w:tc>
          <w:tcPr>
            <w:tcW w:w="1272" w:type="dxa"/>
            <w:tcBorders>
              <w:top w:val="single" w:sz="4" w:space="0" w:color="auto"/>
              <w:left w:val="single" w:sz="4" w:space="0" w:color="auto"/>
              <w:bottom w:val="single" w:sz="4" w:space="0" w:color="auto"/>
              <w:right w:val="single" w:sz="4" w:space="0" w:color="auto"/>
            </w:tcBorders>
            <w:vAlign w:val="bottom"/>
            <w:hideMark/>
          </w:tcPr>
          <w:p w:rsidR="004A7CB2" w:rsidRPr="00B57DAB" w:rsidRDefault="004A7CB2" w:rsidP="00953A30">
            <w:pPr>
              <w:jc w:val="right"/>
              <w:rPr>
                <w:rFonts w:ascii="GHEA Grapalat" w:hAnsi="GHEA Grapalat"/>
                <w:noProof/>
                <w:sz w:val="18"/>
                <w:szCs w:val="18"/>
                <w:lang w:val="hy-AM"/>
              </w:rPr>
            </w:pPr>
            <w:r w:rsidRPr="00B57DAB">
              <w:rPr>
                <w:rFonts w:ascii="GHEA Grapalat" w:hAnsi="GHEA Grapalat"/>
                <w:sz w:val="18"/>
                <w:szCs w:val="18"/>
              </w:rPr>
              <w:t>343.3</w:t>
            </w:r>
          </w:p>
        </w:tc>
        <w:tc>
          <w:tcPr>
            <w:tcW w:w="1203" w:type="dxa"/>
            <w:tcBorders>
              <w:top w:val="single" w:sz="4" w:space="0" w:color="auto"/>
              <w:left w:val="single" w:sz="4" w:space="0" w:color="auto"/>
              <w:bottom w:val="single" w:sz="4" w:space="0" w:color="auto"/>
              <w:right w:val="single" w:sz="4" w:space="0" w:color="auto"/>
            </w:tcBorders>
            <w:vAlign w:val="bottom"/>
            <w:hideMark/>
          </w:tcPr>
          <w:p w:rsidR="004A7CB2" w:rsidRPr="00B57DAB" w:rsidRDefault="004A7CB2" w:rsidP="00953A30">
            <w:pPr>
              <w:jc w:val="right"/>
              <w:rPr>
                <w:rFonts w:ascii="GHEA Grapalat" w:hAnsi="GHEA Grapalat"/>
                <w:noProof/>
                <w:sz w:val="18"/>
                <w:szCs w:val="18"/>
                <w:lang w:val="hy-AM"/>
              </w:rPr>
            </w:pPr>
            <w:r w:rsidRPr="00B57DAB">
              <w:rPr>
                <w:rFonts w:ascii="GHEA Grapalat" w:hAnsi="GHEA Grapalat"/>
                <w:sz w:val="18"/>
                <w:szCs w:val="18"/>
              </w:rPr>
              <w:t>989.3</w:t>
            </w:r>
          </w:p>
        </w:tc>
        <w:tc>
          <w:tcPr>
            <w:tcW w:w="1203" w:type="dxa"/>
            <w:tcBorders>
              <w:top w:val="single" w:sz="4" w:space="0" w:color="auto"/>
              <w:left w:val="single" w:sz="4" w:space="0" w:color="auto"/>
              <w:bottom w:val="single" w:sz="4" w:space="0" w:color="auto"/>
              <w:right w:val="single" w:sz="4" w:space="0" w:color="auto"/>
            </w:tcBorders>
            <w:vAlign w:val="bottom"/>
            <w:hideMark/>
          </w:tcPr>
          <w:p w:rsidR="004A7CB2" w:rsidRPr="00B57DAB" w:rsidRDefault="004A7CB2" w:rsidP="00953A30">
            <w:pPr>
              <w:jc w:val="right"/>
              <w:rPr>
                <w:rFonts w:ascii="GHEA Grapalat" w:hAnsi="GHEA Grapalat"/>
                <w:noProof/>
                <w:sz w:val="18"/>
                <w:szCs w:val="18"/>
                <w:lang w:val="hy-AM"/>
              </w:rPr>
            </w:pPr>
            <w:r w:rsidRPr="00B57DAB">
              <w:rPr>
                <w:rFonts w:ascii="GHEA Grapalat" w:hAnsi="GHEA Grapalat"/>
                <w:sz w:val="18"/>
                <w:szCs w:val="18"/>
              </w:rPr>
              <w:t>633.7</w:t>
            </w:r>
          </w:p>
        </w:tc>
        <w:tc>
          <w:tcPr>
            <w:tcW w:w="1203" w:type="dxa"/>
            <w:tcBorders>
              <w:top w:val="single" w:sz="4" w:space="0" w:color="auto"/>
              <w:left w:val="single" w:sz="4" w:space="0" w:color="auto"/>
              <w:bottom w:val="single" w:sz="4" w:space="0" w:color="auto"/>
              <w:right w:val="single" w:sz="4" w:space="0" w:color="auto"/>
            </w:tcBorders>
            <w:vAlign w:val="bottom"/>
            <w:hideMark/>
          </w:tcPr>
          <w:p w:rsidR="004A7CB2" w:rsidRPr="00B57DAB" w:rsidRDefault="004A7CB2" w:rsidP="00953A30">
            <w:pPr>
              <w:jc w:val="right"/>
              <w:rPr>
                <w:rFonts w:ascii="GHEA Grapalat" w:hAnsi="GHEA Grapalat"/>
                <w:noProof/>
                <w:sz w:val="18"/>
                <w:szCs w:val="18"/>
                <w:lang w:val="hy-AM"/>
              </w:rPr>
            </w:pPr>
            <w:r w:rsidRPr="00B57DAB">
              <w:rPr>
                <w:rFonts w:ascii="GHEA Grapalat" w:hAnsi="GHEA Grapalat"/>
                <w:sz w:val="18"/>
                <w:szCs w:val="18"/>
              </w:rPr>
              <w:t>64.1</w:t>
            </w:r>
          </w:p>
        </w:tc>
        <w:tc>
          <w:tcPr>
            <w:tcW w:w="1203" w:type="dxa"/>
            <w:tcBorders>
              <w:top w:val="single" w:sz="4" w:space="0" w:color="auto"/>
              <w:left w:val="single" w:sz="4" w:space="0" w:color="auto"/>
              <w:bottom w:val="single" w:sz="4" w:space="0" w:color="auto"/>
              <w:right w:val="single" w:sz="4" w:space="0" w:color="auto"/>
            </w:tcBorders>
            <w:vAlign w:val="bottom"/>
            <w:hideMark/>
          </w:tcPr>
          <w:p w:rsidR="004A7CB2" w:rsidRPr="00B57DAB" w:rsidRDefault="004A7CB2" w:rsidP="00953A30">
            <w:pPr>
              <w:jc w:val="right"/>
              <w:rPr>
                <w:rFonts w:ascii="GHEA Grapalat" w:hAnsi="GHEA Grapalat"/>
                <w:noProof/>
                <w:sz w:val="18"/>
                <w:szCs w:val="18"/>
              </w:rPr>
            </w:pPr>
            <w:r w:rsidRPr="00B57DAB">
              <w:rPr>
                <w:rFonts w:ascii="GHEA Grapalat" w:hAnsi="GHEA Grapalat"/>
                <w:sz w:val="18"/>
                <w:szCs w:val="18"/>
              </w:rPr>
              <w:t>184.6</w:t>
            </w:r>
          </w:p>
        </w:tc>
        <w:tc>
          <w:tcPr>
            <w:tcW w:w="1048" w:type="dxa"/>
            <w:tcBorders>
              <w:top w:val="single" w:sz="4" w:space="0" w:color="auto"/>
              <w:left w:val="single" w:sz="4" w:space="0" w:color="auto"/>
              <w:bottom w:val="single" w:sz="4" w:space="0" w:color="auto"/>
              <w:right w:val="single" w:sz="4" w:space="0" w:color="auto"/>
            </w:tcBorders>
            <w:vAlign w:val="bottom"/>
            <w:hideMark/>
          </w:tcPr>
          <w:p w:rsidR="004A7CB2" w:rsidRPr="00B57DAB" w:rsidRDefault="004A7CB2" w:rsidP="00953A30">
            <w:pPr>
              <w:jc w:val="right"/>
              <w:rPr>
                <w:rFonts w:ascii="GHEA Grapalat" w:hAnsi="GHEA Grapalat"/>
                <w:noProof/>
                <w:sz w:val="18"/>
                <w:szCs w:val="18"/>
                <w:lang w:val="hy-AM"/>
              </w:rPr>
            </w:pPr>
            <w:r w:rsidRPr="00B57DAB">
              <w:rPr>
                <w:rFonts w:ascii="GHEA Grapalat" w:hAnsi="GHEA Grapalat"/>
                <w:sz w:val="18"/>
                <w:szCs w:val="18"/>
              </w:rPr>
              <w:t>290.5</w:t>
            </w:r>
          </w:p>
        </w:tc>
      </w:tr>
      <w:tr w:rsidR="004A7CB2" w:rsidRPr="00B57DAB" w:rsidTr="00597AAF">
        <w:trPr>
          <w:trHeight w:val="300"/>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4A7CB2" w:rsidRPr="00B57DAB" w:rsidRDefault="004A7CB2" w:rsidP="00953A30">
            <w:pPr>
              <w:rPr>
                <w:rFonts w:ascii="GHEA Grapalat" w:hAnsi="GHEA Grapalat"/>
                <w:noProof/>
                <w:sz w:val="18"/>
                <w:szCs w:val="18"/>
                <w:lang w:val="hy-AM"/>
              </w:rPr>
            </w:pPr>
            <w:r w:rsidRPr="00B57DAB">
              <w:rPr>
                <w:rFonts w:ascii="GHEA Grapalat" w:hAnsi="GHEA Grapalat"/>
                <w:sz w:val="18"/>
                <w:szCs w:val="18"/>
              </w:rPr>
              <w:t>ՀՀ Վարչապետի լիազորությունների իրականացման ապահովում</w:t>
            </w:r>
          </w:p>
        </w:tc>
        <w:tc>
          <w:tcPr>
            <w:tcW w:w="1272" w:type="dxa"/>
            <w:tcBorders>
              <w:top w:val="single" w:sz="4" w:space="0" w:color="auto"/>
              <w:left w:val="single" w:sz="4" w:space="0" w:color="auto"/>
              <w:bottom w:val="single" w:sz="4" w:space="0" w:color="auto"/>
              <w:right w:val="single" w:sz="4" w:space="0" w:color="auto"/>
            </w:tcBorders>
            <w:vAlign w:val="bottom"/>
            <w:hideMark/>
          </w:tcPr>
          <w:p w:rsidR="004A7CB2" w:rsidRPr="00B57DAB" w:rsidRDefault="004A7CB2" w:rsidP="00953A30">
            <w:pPr>
              <w:jc w:val="right"/>
              <w:rPr>
                <w:rFonts w:ascii="GHEA Grapalat" w:hAnsi="GHEA Grapalat"/>
                <w:noProof/>
                <w:sz w:val="18"/>
                <w:szCs w:val="18"/>
                <w:lang w:val="hy-AM"/>
              </w:rPr>
            </w:pPr>
            <w:r w:rsidRPr="00B57DAB">
              <w:rPr>
                <w:rFonts w:ascii="GHEA Grapalat" w:hAnsi="GHEA Grapalat"/>
                <w:sz w:val="18"/>
                <w:szCs w:val="18"/>
              </w:rPr>
              <w:t>1,056.9</w:t>
            </w:r>
          </w:p>
        </w:tc>
        <w:tc>
          <w:tcPr>
            <w:tcW w:w="1203" w:type="dxa"/>
            <w:tcBorders>
              <w:top w:val="single" w:sz="4" w:space="0" w:color="auto"/>
              <w:left w:val="single" w:sz="4" w:space="0" w:color="auto"/>
              <w:bottom w:val="single" w:sz="4" w:space="0" w:color="auto"/>
              <w:right w:val="single" w:sz="4" w:space="0" w:color="auto"/>
            </w:tcBorders>
            <w:vAlign w:val="bottom"/>
            <w:hideMark/>
          </w:tcPr>
          <w:p w:rsidR="004A7CB2" w:rsidRPr="00B57DAB" w:rsidRDefault="004A7CB2" w:rsidP="00953A30">
            <w:pPr>
              <w:jc w:val="right"/>
              <w:rPr>
                <w:rFonts w:ascii="GHEA Grapalat" w:hAnsi="GHEA Grapalat"/>
                <w:noProof/>
                <w:sz w:val="18"/>
                <w:szCs w:val="18"/>
                <w:lang w:val="hy-AM"/>
              </w:rPr>
            </w:pPr>
            <w:r w:rsidRPr="00B57DAB">
              <w:rPr>
                <w:rFonts w:ascii="GHEA Grapalat" w:hAnsi="GHEA Grapalat"/>
                <w:sz w:val="18"/>
                <w:szCs w:val="18"/>
              </w:rPr>
              <w:t>1,721.5</w:t>
            </w:r>
          </w:p>
        </w:tc>
        <w:tc>
          <w:tcPr>
            <w:tcW w:w="1203" w:type="dxa"/>
            <w:tcBorders>
              <w:top w:val="single" w:sz="4" w:space="0" w:color="auto"/>
              <w:left w:val="single" w:sz="4" w:space="0" w:color="auto"/>
              <w:bottom w:val="single" w:sz="4" w:space="0" w:color="auto"/>
              <w:right w:val="single" w:sz="4" w:space="0" w:color="auto"/>
            </w:tcBorders>
            <w:vAlign w:val="bottom"/>
            <w:hideMark/>
          </w:tcPr>
          <w:p w:rsidR="004A7CB2" w:rsidRPr="00B57DAB" w:rsidRDefault="004A7CB2" w:rsidP="00953A30">
            <w:pPr>
              <w:jc w:val="right"/>
              <w:rPr>
                <w:rFonts w:ascii="GHEA Grapalat" w:hAnsi="GHEA Grapalat"/>
                <w:noProof/>
                <w:sz w:val="18"/>
                <w:szCs w:val="18"/>
                <w:lang w:val="hy-AM"/>
              </w:rPr>
            </w:pPr>
            <w:r w:rsidRPr="00B57DAB">
              <w:rPr>
                <w:rFonts w:ascii="GHEA Grapalat" w:hAnsi="GHEA Grapalat"/>
                <w:sz w:val="18"/>
                <w:szCs w:val="18"/>
              </w:rPr>
              <w:t>1,022.4</w:t>
            </w:r>
          </w:p>
        </w:tc>
        <w:tc>
          <w:tcPr>
            <w:tcW w:w="1203" w:type="dxa"/>
            <w:tcBorders>
              <w:top w:val="single" w:sz="4" w:space="0" w:color="auto"/>
              <w:left w:val="single" w:sz="4" w:space="0" w:color="auto"/>
              <w:bottom w:val="single" w:sz="4" w:space="0" w:color="auto"/>
              <w:right w:val="single" w:sz="4" w:space="0" w:color="auto"/>
            </w:tcBorders>
            <w:vAlign w:val="bottom"/>
            <w:hideMark/>
          </w:tcPr>
          <w:p w:rsidR="004A7CB2" w:rsidRPr="00B57DAB" w:rsidRDefault="004A7CB2" w:rsidP="00953A30">
            <w:pPr>
              <w:jc w:val="right"/>
              <w:rPr>
                <w:rFonts w:ascii="GHEA Grapalat" w:hAnsi="GHEA Grapalat"/>
                <w:noProof/>
                <w:sz w:val="18"/>
                <w:szCs w:val="18"/>
                <w:lang w:val="hy-AM"/>
              </w:rPr>
            </w:pPr>
            <w:r w:rsidRPr="00B57DAB">
              <w:rPr>
                <w:rFonts w:ascii="GHEA Grapalat" w:hAnsi="GHEA Grapalat"/>
                <w:sz w:val="18"/>
                <w:szCs w:val="18"/>
              </w:rPr>
              <w:t>59.4</w:t>
            </w:r>
          </w:p>
        </w:tc>
        <w:tc>
          <w:tcPr>
            <w:tcW w:w="1203" w:type="dxa"/>
            <w:tcBorders>
              <w:top w:val="single" w:sz="4" w:space="0" w:color="auto"/>
              <w:left w:val="single" w:sz="4" w:space="0" w:color="auto"/>
              <w:bottom w:val="single" w:sz="4" w:space="0" w:color="auto"/>
              <w:right w:val="single" w:sz="4" w:space="0" w:color="auto"/>
            </w:tcBorders>
            <w:vAlign w:val="bottom"/>
            <w:hideMark/>
          </w:tcPr>
          <w:p w:rsidR="004A7CB2" w:rsidRPr="00B57DAB" w:rsidRDefault="004A7CB2" w:rsidP="00953A30">
            <w:pPr>
              <w:jc w:val="right"/>
              <w:rPr>
                <w:rFonts w:ascii="GHEA Grapalat" w:hAnsi="GHEA Grapalat"/>
                <w:noProof/>
                <w:sz w:val="18"/>
                <w:szCs w:val="18"/>
                <w:lang w:val="hy-AM"/>
              </w:rPr>
            </w:pPr>
            <w:r w:rsidRPr="00B57DAB">
              <w:rPr>
                <w:rFonts w:ascii="GHEA Grapalat" w:hAnsi="GHEA Grapalat"/>
                <w:sz w:val="18"/>
                <w:szCs w:val="18"/>
              </w:rPr>
              <w:t>96.7</w:t>
            </w:r>
          </w:p>
        </w:tc>
        <w:tc>
          <w:tcPr>
            <w:tcW w:w="1048" w:type="dxa"/>
            <w:tcBorders>
              <w:top w:val="single" w:sz="4" w:space="0" w:color="auto"/>
              <w:left w:val="single" w:sz="4" w:space="0" w:color="auto"/>
              <w:bottom w:val="single" w:sz="4" w:space="0" w:color="auto"/>
              <w:right w:val="single" w:sz="4" w:space="0" w:color="auto"/>
            </w:tcBorders>
            <w:vAlign w:val="bottom"/>
            <w:hideMark/>
          </w:tcPr>
          <w:p w:rsidR="004A7CB2" w:rsidRPr="00B57DAB" w:rsidRDefault="004A7CB2" w:rsidP="00953A30">
            <w:pPr>
              <w:jc w:val="right"/>
              <w:rPr>
                <w:rFonts w:ascii="GHEA Grapalat" w:hAnsi="GHEA Grapalat"/>
                <w:noProof/>
                <w:sz w:val="18"/>
                <w:szCs w:val="18"/>
                <w:lang w:val="hy-AM"/>
              </w:rPr>
            </w:pPr>
            <w:r w:rsidRPr="00B57DAB">
              <w:rPr>
                <w:rFonts w:ascii="GHEA Grapalat" w:hAnsi="GHEA Grapalat"/>
                <w:sz w:val="18"/>
                <w:szCs w:val="18"/>
              </w:rPr>
              <w:t>(34.5)</w:t>
            </w:r>
          </w:p>
        </w:tc>
      </w:tr>
      <w:tr w:rsidR="004A7CB2" w:rsidRPr="00B57DAB" w:rsidTr="00597AAF">
        <w:trPr>
          <w:trHeight w:val="300"/>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4A7CB2" w:rsidRPr="00B57DAB" w:rsidRDefault="004A7CB2" w:rsidP="00953A30">
            <w:pPr>
              <w:rPr>
                <w:rFonts w:ascii="GHEA Grapalat" w:hAnsi="GHEA Grapalat"/>
                <w:noProof/>
                <w:sz w:val="18"/>
                <w:szCs w:val="18"/>
                <w:lang w:val="hy-AM"/>
              </w:rPr>
            </w:pPr>
            <w:r w:rsidRPr="00B57DAB">
              <w:rPr>
                <w:rFonts w:ascii="GHEA Grapalat" w:hAnsi="GHEA Grapalat"/>
                <w:sz w:val="18"/>
                <w:szCs w:val="18"/>
              </w:rPr>
              <w:t>Տեսչական վերահսկողության ծրագիր</w:t>
            </w:r>
          </w:p>
        </w:tc>
        <w:tc>
          <w:tcPr>
            <w:tcW w:w="1272" w:type="dxa"/>
            <w:tcBorders>
              <w:top w:val="single" w:sz="4" w:space="0" w:color="auto"/>
              <w:left w:val="single" w:sz="4" w:space="0" w:color="auto"/>
              <w:bottom w:val="single" w:sz="4" w:space="0" w:color="auto"/>
              <w:right w:val="single" w:sz="4" w:space="0" w:color="auto"/>
            </w:tcBorders>
            <w:vAlign w:val="bottom"/>
            <w:hideMark/>
          </w:tcPr>
          <w:p w:rsidR="004A7CB2" w:rsidRPr="00B57DAB" w:rsidRDefault="004A7CB2" w:rsidP="00953A30">
            <w:pPr>
              <w:jc w:val="right"/>
              <w:rPr>
                <w:rFonts w:ascii="GHEA Grapalat" w:hAnsi="GHEA Grapalat"/>
                <w:noProof/>
                <w:sz w:val="18"/>
                <w:szCs w:val="18"/>
                <w:lang w:val="hy-AM"/>
              </w:rPr>
            </w:pPr>
            <w:r w:rsidRPr="00B57DAB">
              <w:rPr>
                <w:rFonts w:ascii="GHEA Grapalat" w:hAnsi="GHEA Grapalat"/>
                <w:sz w:val="18"/>
                <w:szCs w:val="18"/>
              </w:rPr>
              <w:t>760.5</w:t>
            </w:r>
          </w:p>
        </w:tc>
        <w:tc>
          <w:tcPr>
            <w:tcW w:w="1203" w:type="dxa"/>
            <w:tcBorders>
              <w:top w:val="single" w:sz="4" w:space="0" w:color="auto"/>
              <w:left w:val="single" w:sz="4" w:space="0" w:color="auto"/>
              <w:bottom w:val="single" w:sz="4" w:space="0" w:color="auto"/>
              <w:right w:val="single" w:sz="4" w:space="0" w:color="auto"/>
            </w:tcBorders>
            <w:vAlign w:val="bottom"/>
            <w:hideMark/>
          </w:tcPr>
          <w:p w:rsidR="004A7CB2" w:rsidRPr="00B57DAB" w:rsidRDefault="004A7CB2" w:rsidP="00953A30">
            <w:pPr>
              <w:jc w:val="right"/>
              <w:rPr>
                <w:rFonts w:ascii="GHEA Grapalat" w:hAnsi="GHEA Grapalat"/>
                <w:noProof/>
                <w:sz w:val="18"/>
                <w:szCs w:val="18"/>
                <w:lang w:val="hy-AM"/>
              </w:rPr>
            </w:pPr>
            <w:r w:rsidRPr="00B57DAB">
              <w:rPr>
                <w:rFonts w:ascii="GHEA Grapalat" w:hAnsi="GHEA Grapalat"/>
                <w:sz w:val="18"/>
                <w:szCs w:val="18"/>
              </w:rPr>
              <w:t>1,064.7</w:t>
            </w:r>
          </w:p>
        </w:tc>
        <w:tc>
          <w:tcPr>
            <w:tcW w:w="1203" w:type="dxa"/>
            <w:tcBorders>
              <w:top w:val="single" w:sz="4" w:space="0" w:color="auto"/>
              <w:left w:val="single" w:sz="4" w:space="0" w:color="auto"/>
              <w:bottom w:val="single" w:sz="4" w:space="0" w:color="auto"/>
              <w:right w:val="single" w:sz="4" w:space="0" w:color="auto"/>
            </w:tcBorders>
            <w:vAlign w:val="bottom"/>
            <w:hideMark/>
          </w:tcPr>
          <w:p w:rsidR="004A7CB2" w:rsidRPr="00B57DAB" w:rsidRDefault="004A7CB2" w:rsidP="00953A30">
            <w:pPr>
              <w:jc w:val="right"/>
              <w:rPr>
                <w:rFonts w:ascii="GHEA Grapalat" w:hAnsi="GHEA Grapalat"/>
                <w:noProof/>
                <w:sz w:val="18"/>
                <w:szCs w:val="18"/>
                <w:lang w:val="hy-AM"/>
              </w:rPr>
            </w:pPr>
            <w:r w:rsidRPr="00B57DAB">
              <w:rPr>
                <w:rFonts w:ascii="GHEA Grapalat" w:hAnsi="GHEA Grapalat"/>
                <w:sz w:val="18"/>
                <w:szCs w:val="18"/>
              </w:rPr>
              <w:t>856.4</w:t>
            </w:r>
          </w:p>
        </w:tc>
        <w:tc>
          <w:tcPr>
            <w:tcW w:w="1203" w:type="dxa"/>
            <w:tcBorders>
              <w:top w:val="single" w:sz="4" w:space="0" w:color="auto"/>
              <w:left w:val="single" w:sz="4" w:space="0" w:color="auto"/>
              <w:bottom w:val="single" w:sz="4" w:space="0" w:color="auto"/>
              <w:right w:val="single" w:sz="4" w:space="0" w:color="auto"/>
            </w:tcBorders>
            <w:vAlign w:val="bottom"/>
            <w:hideMark/>
          </w:tcPr>
          <w:p w:rsidR="004A7CB2" w:rsidRPr="00B57DAB" w:rsidRDefault="004A7CB2" w:rsidP="00953A30">
            <w:pPr>
              <w:jc w:val="right"/>
              <w:rPr>
                <w:rFonts w:ascii="GHEA Grapalat" w:hAnsi="GHEA Grapalat"/>
                <w:noProof/>
                <w:sz w:val="18"/>
                <w:szCs w:val="18"/>
                <w:lang w:val="hy-AM"/>
              </w:rPr>
            </w:pPr>
            <w:r w:rsidRPr="00B57DAB">
              <w:rPr>
                <w:rFonts w:ascii="GHEA Grapalat" w:hAnsi="GHEA Grapalat"/>
                <w:sz w:val="18"/>
                <w:szCs w:val="18"/>
              </w:rPr>
              <w:t>80.4</w:t>
            </w:r>
          </w:p>
        </w:tc>
        <w:tc>
          <w:tcPr>
            <w:tcW w:w="1203" w:type="dxa"/>
            <w:tcBorders>
              <w:top w:val="single" w:sz="4" w:space="0" w:color="auto"/>
              <w:left w:val="single" w:sz="4" w:space="0" w:color="auto"/>
              <w:bottom w:val="single" w:sz="4" w:space="0" w:color="auto"/>
              <w:right w:val="single" w:sz="4" w:space="0" w:color="auto"/>
            </w:tcBorders>
            <w:vAlign w:val="bottom"/>
            <w:hideMark/>
          </w:tcPr>
          <w:p w:rsidR="004A7CB2" w:rsidRPr="00B57DAB" w:rsidRDefault="004A7CB2" w:rsidP="00953A30">
            <w:pPr>
              <w:jc w:val="right"/>
              <w:rPr>
                <w:rFonts w:ascii="GHEA Grapalat" w:hAnsi="GHEA Grapalat"/>
                <w:noProof/>
                <w:sz w:val="18"/>
                <w:szCs w:val="18"/>
                <w:lang w:val="hy-AM"/>
              </w:rPr>
            </w:pPr>
            <w:r w:rsidRPr="00B57DAB">
              <w:rPr>
                <w:rFonts w:ascii="GHEA Grapalat" w:hAnsi="GHEA Grapalat"/>
                <w:sz w:val="18"/>
                <w:szCs w:val="18"/>
              </w:rPr>
              <w:t>112.6</w:t>
            </w:r>
          </w:p>
        </w:tc>
        <w:tc>
          <w:tcPr>
            <w:tcW w:w="1048" w:type="dxa"/>
            <w:tcBorders>
              <w:top w:val="single" w:sz="4" w:space="0" w:color="auto"/>
              <w:left w:val="single" w:sz="4" w:space="0" w:color="auto"/>
              <w:bottom w:val="single" w:sz="4" w:space="0" w:color="auto"/>
              <w:right w:val="single" w:sz="4" w:space="0" w:color="auto"/>
            </w:tcBorders>
            <w:vAlign w:val="bottom"/>
            <w:hideMark/>
          </w:tcPr>
          <w:p w:rsidR="004A7CB2" w:rsidRPr="00B57DAB" w:rsidRDefault="004A7CB2" w:rsidP="00953A30">
            <w:pPr>
              <w:jc w:val="right"/>
              <w:rPr>
                <w:rFonts w:ascii="GHEA Grapalat" w:hAnsi="GHEA Grapalat"/>
                <w:noProof/>
                <w:sz w:val="18"/>
                <w:szCs w:val="18"/>
                <w:lang w:val="hy-AM"/>
              </w:rPr>
            </w:pPr>
            <w:r w:rsidRPr="00B57DAB">
              <w:rPr>
                <w:rFonts w:ascii="GHEA Grapalat" w:hAnsi="GHEA Grapalat"/>
                <w:sz w:val="18"/>
                <w:szCs w:val="18"/>
              </w:rPr>
              <w:t>95.9</w:t>
            </w:r>
          </w:p>
        </w:tc>
      </w:tr>
      <w:tr w:rsidR="004A7CB2" w:rsidRPr="00B57DAB" w:rsidTr="00597AAF">
        <w:trPr>
          <w:trHeight w:val="300"/>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4A7CB2" w:rsidRPr="00B57DAB" w:rsidRDefault="004A7CB2" w:rsidP="00953A30">
            <w:pPr>
              <w:rPr>
                <w:rFonts w:ascii="GHEA Grapalat" w:hAnsi="GHEA Grapalat"/>
                <w:noProof/>
                <w:sz w:val="18"/>
                <w:szCs w:val="18"/>
              </w:rPr>
            </w:pPr>
            <w:r w:rsidRPr="00B57DAB">
              <w:rPr>
                <w:rFonts w:ascii="GHEA Grapalat" w:hAnsi="GHEA Grapalat"/>
                <w:sz w:val="18"/>
                <w:szCs w:val="18"/>
              </w:rPr>
              <w:t>Այլ ծրագրեր</w:t>
            </w:r>
          </w:p>
        </w:tc>
        <w:tc>
          <w:tcPr>
            <w:tcW w:w="1272" w:type="dxa"/>
            <w:tcBorders>
              <w:top w:val="single" w:sz="4" w:space="0" w:color="auto"/>
              <w:left w:val="single" w:sz="4" w:space="0" w:color="auto"/>
              <w:bottom w:val="single" w:sz="4" w:space="0" w:color="auto"/>
              <w:right w:val="single" w:sz="4" w:space="0" w:color="auto"/>
            </w:tcBorders>
            <w:vAlign w:val="bottom"/>
            <w:hideMark/>
          </w:tcPr>
          <w:p w:rsidR="004A7CB2" w:rsidRPr="00B57DAB" w:rsidRDefault="004A7CB2" w:rsidP="00953A30">
            <w:pPr>
              <w:jc w:val="right"/>
              <w:rPr>
                <w:rFonts w:ascii="GHEA Grapalat" w:hAnsi="GHEA Grapalat"/>
                <w:noProof/>
                <w:sz w:val="18"/>
                <w:szCs w:val="18"/>
                <w:lang w:val="hy-AM"/>
              </w:rPr>
            </w:pPr>
            <w:r w:rsidRPr="00B57DAB">
              <w:rPr>
                <w:rFonts w:ascii="GHEA Grapalat" w:hAnsi="GHEA Grapalat"/>
                <w:sz w:val="18"/>
                <w:szCs w:val="18"/>
              </w:rPr>
              <w:t>749.7</w:t>
            </w:r>
          </w:p>
        </w:tc>
        <w:tc>
          <w:tcPr>
            <w:tcW w:w="1203" w:type="dxa"/>
            <w:tcBorders>
              <w:top w:val="single" w:sz="4" w:space="0" w:color="auto"/>
              <w:left w:val="single" w:sz="4" w:space="0" w:color="auto"/>
              <w:bottom w:val="single" w:sz="4" w:space="0" w:color="auto"/>
              <w:right w:val="single" w:sz="4" w:space="0" w:color="auto"/>
            </w:tcBorders>
            <w:vAlign w:val="bottom"/>
            <w:hideMark/>
          </w:tcPr>
          <w:p w:rsidR="004A7CB2" w:rsidRPr="00B57DAB" w:rsidRDefault="004A7CB2" w:rsidP="00953A30">
            <w:pPr>
              <w:jc w:val="right"/>
              <w:rPr>
                <w:rFonts w:ascii="GHEA Grapalat" w:hAnsi="GHEA Grapalat"/>
                <w:noProof/>
                <w:sz w:val="18"/>
                <w:szCs w:val="18"/>
                <w:lang w:val="hy-AM"/>
              </w:rPr>
            </w:pPr>
            <w:r w:rsidRPr="00B57DAB">
              <w:rPr>
                <w:rFonts w:ascii="GHEA Grapalat" w:hAnsi="GHEA Grapalat"/>
                <w:sz w:val="18"/>
                <w:szCs w:val="18"/>
              </w:rPr>
              <w:t>1,782.8</w:t>
            </w:r>
          </w:p>
        </w:tc>
        <w:tc>
          <w:tcPr>
            <w:tcW w:w="1203" w:type="dxa"/>
            <w:tcBorders>
              <w:top w:val="single" w:sz="4" w:space="0" w:color="auto"/>
              <w:left w:val="single" w:sz="4" w:space="0" w:color="auto"/>
              <w:bottom w:val="single" w:sz="4" w:space="0" w:color="auto"/>
              <w:right w:val="single" w:sz="4" w:space="0" w:color="auto"/>
            </w:tcBorders>
            <w:vAlign w:val="bottom"/>
            <w:hideMark/>
          </w:tcPr>
          <w:p w:rsidR="004A7CB2" w:rsidRPr="00B57DAB" w:rsidRDefault="004A7CB2" w:rsidP="00953A30">
            <w:pPr>
              <w:jc w:val="right"/>
              <w:rPr>
                <w:rFonts w:ascii="GHEA Grapalat" w:hAnsi="GHEA Grapalat"/>
                <w:noProof/>
                <w:sz w:val="18"/>
                <w:szCs w:val="18"/>
                <w:lang w:val="hy-AM"/>
              </w:rPr>
            </w:pPr>
            <w:r w:rsidRPr="00B57DAB">
              <w:rPr>
                <w:rFonts w:ascii="GHEA Grapalat" w:hAnsi="GHEA Grapalat"/>
                <w:sz w:val="18"/>
                <w:szCs w:val="18"/>
              </w:rPr>
              <w:t>249.7</w:t>
            </w:r>
          </w:p>
        </w:tc>
        <w:tc>
          <w:tcPr>
            <w:tcW w:w="1203" w:type="dxa"/>
            <w:tcBorders>
              <w:top w:val="single" w:sz="4" w:space="0" w:color="auto"/>
              <w:left w:val="single" w:sz="4" w:space="0" w:color="auto"/>
              <w:bottom w:val="single" w:sz="4" w:space="0" w:color="auto"/>
              <w:right w:val="single" w:sz="4" w:space="0" w:color="auto"/>
            </w:tcBorders>
            <w:vAlign w:val="bottom"/>
            <w:hideMark/>
          </w:tcPr>
          <w:p w:rsidR="004A7CB2" w:rsidRPr="00B57DAB" w:rsidRDefault="004A7CB2" w:rsidP="00953A30">
            <w:pPr>
              <w:jc w:val="right"/>
              <w:rPr>
                <w:rFonts w:ascii="GHEA Grapalat" w:hAnsi="GHEA Grapalat"/>
                <w:noProof/>
                <w:sz w:val="18"/>
                <w:szCs w:val="18"/>
                <w:lang w:val="hy-AM"/>
              </w:rPr>
            </w:pPr>
            <w:r w:rsidRPr="00B57DAB">
              <w:rPr>
                <w:rFonts w:ascii="GHEA Grapalat" w:hAnsi="GHEA Grapalat"/>
                <w:sz w:val="18"/>
                <w:szCs w:val="18"/>
              </w:rPr>
              <w:t>14.0</w:t>
            </w:r>
          </w:p>
        </w:tc>
        <w:tc>
          <w:tcPr>
            <w:tcW w:w="1203" w:type="dxa"/>
            <w:tcBorders>
              <w:top w:val="single" w:sz="4" w:space="0" w:color="auto"/>
              <w:left w:val="single" w:sz="4" w:space="0" w:color="auto"/>
              <w:bottom w:val="single" w:sz="4" w:space="0" w:color="auto"/>
              <w:right w:val="single" w:sz="4" w:space="0" w:color="auto"/>
            </w:tcBorders>
            <w:vAlign w:val="bottom"/>
            <w:hideMark/>
          </w:tcPr>
          <w:p w:rsidR="004A7CB2" w:rsidRPr="00B57DAB" w:rsidRDefault="004A7CB2" w:rsidP="00953A30">
            <w:pPr>
              <w:jc w:val="right"/>
              <w:rPr>
                <w:rFonts w:ascii="GHEA Grapalat" w:hAnsi="GHEA Grapalat"/>
                <w:noProof/>
                <w:sz w:val="18"/>
                <w:szCs w:val="18"/>
              </w:rPr>
            </w:pPr>
            <w:r w:rsidRPr="00B57DAB">
              <w:rPr>
                <w:rFonts w:ascii="GHEA Grapalat" w:hAnsi="GHEA Grapalat"/>
                <w:sz w:val="18"/>
                <w:szCs w:val="18"/>
              </w:rPr>
              <w:t>33.3</w:t>
            </w:r>
          </w:p>
        </w:tc>
        <w:tc>
          <w:tcPr>
            <w:tcW w:w="1048" w:type="dxa"/>
            <w:tcBorders>
              <w:top w:val="single" w:sz="4" w:space="0" w:color="auto"/>
              <w:left w:val="single" w:sz="4" w:space="0" w:color="auto"/>
              <w:bottom w:val="single" w:sz="4" w:space="0" w:color="auto"/>
              <w:right w:val="single" w:sz="4" w:space="0" w:color="auto"/>
            </w:tcBorders>
            <w:vAlign w:val="bottom"/>
            <w:hideMark/>
          </w:tcPr>
          <w:p w:rsidR="004A7CB2" w:rsidRPr="00B57DAB" w:rsidRDefault="004A7CB2" w:rsidP="00953A30">
            <w:pPr>
              <w:jc w:val="right"/>
              <w:rPr>
                <w:rFonts w:ascii="GHEA Grapalat" w:hAnsi="GHEA Grapalat"/>
                <w:noProof/>
                <w:sz w:val="18"/>
                <w:szCs w:val="18"/>
                <w:lang w:val="hy-AM"/>
              </w:rPr>
            </w:pPr>
            <w:r w:rsidRPr="00B57DAB">
              <w:rPr>
                <w:rFonts w:ascii="GHEA Grapalat" w:hAnsi="GHEA Grapalat"/>
                <w:sz w:val="18"/>
                <w:szCs w:val="18"/>
              </w:rPr>
              <w:t>(500.0)</w:t>
            </w:r>
          </w:p>
        </w:tc>
      </w:tr>
    </w:tbl>
    <w:p w:rsidR="004A7CB2" w:rsidRPr="00B57DAB" w:rsidRDefault="004A7CB2" w:rsidP="004A7CB2">
      <w:pPr>
        <w:autoSpaceDE w:val="0"/>
        <w:autoSpaceDN w:val="0"/>
        <w:adjustRightInd w:val="0"/>
        <w:spacing w:line="360" w:lineRule="auto"/>
        <w:ind w:firstLine="567"/>
        <w:jc w:val="both"/>
        <w:rPr>
          <w:rFonts w:ascii="GHEA Grapalat" w:hAnsi="GHEA Grapalat"/>
          <w:noProof/>
          <w:sz w:val="20"/>
          <w:szCs w:val="20"/>
          <w:lang w:val="hy-AM"/>
        </w:rPr>
      </w:pPr>
    </w:p>
    <w:p w:rsidR="004A7CB2" w:rsidRPr="00B57DAB" w:rsidRDefault="004A7CB2" w:rsidP="004A7CB2">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sz w:val="22"/>
          <w:szCs w:val="22"/>
        </w:rPr>
        <w:t xml:space="preserve">2022 թվականի առաջին եռամսյակում </w:t>
      </w:r>
      <w:r w:rsidRPr="00B57DAB">
        <w:rPr>
          <w:rFonts w:ascii="GHEA Grapalat" w:hAnsi="GHEA Grapalat" w:cs="GHEA Grapalat"/>
          <w:i/>
          <w:sz w:val="22"/>
          <w:szCs w:val="22"/>
        </w:rPr>
        <w:t>Պետական հատվածի արդիականացման</w:t>
      </w:r>
      <w:r w:rsidRPr="00B57DAB">
        <w:rPr>
          <w:rFonts w:ascii="GHEA Grapalat" w:hAnsi="GHEA Grapalat"/>
          <w:i/>
          <w:sz w:val="22"/>
          <w:szCs w:val="22"/>
        </w:rPr>
        <w:t xml:space="preserve"> ծրագրի</w:t>
      </w:r>
      <w:r w:rsidRPr="00B57DAB">
        <w:rPr>
          <w:rFonts w:ascii="GHEA Grapalat" w:hAnsi="GHEA Grapalat"/>
          <w:sz w:val="22"/>
          <w:szCs w:val="22"/>
        </w:rPr>
        <w:t xml:space="preserve"> շրջանակներում օգտագործվել է 633.7 մլն դրամ կամ նախատեսված միջոցների 64.1%-ը: Միջոցներն օգտագործվել են Համաշխարհային բանկի աջակցությամբ իրականացվող Պետական հատվածի արդիականացման երրորդ ծրագրի շրջանակներում: </w:t>
      </w:r>
      <w:r w:rsidR="0014378E" w:rsidRPr="00B57DAB">
        <w:rPr>
          <w:rFonts w:ascii="GHEA Grapalat" w:hAnsi="GHEA Grapalat"/>
          <w:sz w:val="22"/>
          <w:szCs w:val="22"/>
        </w:rPr>
        <w:t>Ցածր կատարողականը</w:t>
      </w:r>
      <w:r w:rsidRPr="00B57DAB">
        <w:rPr>
          <w:rFonts w:ascii="GHEA Grapalat" w:hAnsi="GHEA Grapalat"/>
          <w:sz w:val="22"/>
          <w:szCs w:val="22"/>
        </w:rPr>
        <w:t xml:space="preserve"> հիմնականում պայմանավորված է ծրագրի շրջանակներում էլեկտրոնային կառավարման համակարգերի և սարքավորումների ձեռքբերման միջոցառման կատարողականով</w:t>
      </w:r>
      <w:r w:rsidR="005534B3" w:rsidRPr="00B57DAB">
        <w:rPr>
          <w:rFonts w:ascii="GHEA Grapalat" w:hAnsi="GHEA Grapalat"/>
          <w:sz w:val="22"/>
          <w:szCs w:val="22"/>
        </w:rPr>
        <w:t>, որի շրջանակներում օ</w:t>
      </w:r>
      <w:r w:rsidR="005534B3" w:rsidRPr="00B57DAB">
        <w:rPr>
          <w:rFonts w:ascii="GHEA Grapalat" w:hAnsi="GHEA Grapalat" w:cs="Sylfaen"/>
          <w:sz w:val="22"/>
          <w:szCs w:val="22"/>
        </w:rPr>
        <w:t>գտագործվել է նախատեսված մի</w:t>
      </w:r>
      <w:r w:rsidR="0014378E" w:rsidRPr="00B57DAB">
        <w:rPr>
          <w:rFonts w:ascii="GHEA Grapalat" w:hAnsi="GHEA Grapalat" w:cs="Sylfaen"/>
          <w:sz w:val="22"/>
          <w:szCs w:val="22"/>
        </w:rPr>
        <w:t>ջոցների 64.1%-ը՝ 575.6 մլն դրամ: Շեղումը</w:t>
      </w:r>
      <w:r w:rsidR="005534B3" w:rsidRPr="00B57DAB">
        <w:rPr>
          <w:rFonts w:ascii="GHEA Grapalat" w:hAnsi="GHEA Grapalat" w:cs="Sylfaen"/>
          <w:sz w:val="22"/>
          <w:szCs w:val="22"/>
        </w:rPr>
        <w:t xml:space="preserve"> հիմնականում պայմանավորված </w:t>
      </w:r>
      <w:r w:rsidR="0014378E" w:rsidRPr="00B57DAB">
        <w:rPr>
          <w:rFonts w:ascii="GHEA Grapalat" w:hAnsi="GHEA Grapalat" w:cs="Sylfaen"/>
          <w:sz w:val="22"/>
          <w:szCs w:val="22"/>
        </w:rPr>
        <w:t xml:space="preserve">է </w:t>
      </w:r>
      <w:r w:rsidR="005534B3" w:rsidRPr="00B57DAB">
        <w:rPr>
          <w:rFonts w:ascii="GHEA Grapalat" w:hAnsi="GHEA Grapalat" w:cs="Sylfaen"/>
          <w:sz w:val="22"/>
          <w:szCs w:val="22"/>
        </w:rPr>
        <w:t xml:space="preserve">Հայաստանի քրեական գործերի մինչդատական վարույթի էլեկտրոնային կառավարման hամակարգի մատակարարման և տեղադրման պայմանագրում կատարված փոփոխությամբ, որի հետևանքով երկրորդ փուլի աշխատանքներն իրականացվել են ուշացմամբ: </w:t>
      </w:r>
      <w:r w:rsidRPr="00B57DAB">
        <w:rPr>
          <w:rFonts w:ascii="GHEA Grapalat" w:hAnsi="GHEA Grapalat"/>
          <w:sz w:val="22"/>
          <w:szCs w:val="22"/>
        </w:rPr>
        <w:t xml:space="preserve">58.1 մլն դրամ ուղղվել է ծրագրի շրջանակներում ՀՀ հանրային հատվածի ֆինանսական կառավարման բարեփոխումների մշակման և իրականացման խորհրդատվական ծառայությունների ձեռքբերմանը, որը կազմել է ծրագրային ցուցանիշի 63.2%-ը: Վերջինս պայմանավորված է նրանով, որ Հարկադիր կատարումն ապահովող ծառայության էլեկտրոնային հարթակի մշակման առաջին փուլի աշխատանքները պահանջել են նախատեսվածից ավելի երկար ժամկետ: Արդյունքում նախատեսված երկրորդ փուլի աշխատանքների իրականացումն ու համապատասխան վճարումները տեղափոխվել են երկրորդ եռամսյակ: </w:t>
      </w:r>
      <w:r w:rsidRPr="00B57DAB">
        <w:rPr>
          <w:rFonts w:ascii="GHEA Grapalat" w:hAnsi="GHEA Grapalat" w:cs="Sylfaen"/>
          <w:sz w:val="22"/>
          <w:szCs w:val="22"/>
        </w:rPr>
        <w:t xml:space="preserve">Նախորդ տարվա առաջին եռամսյակի համեմատ </w:t>
      </w:r>
      <w:r w:rsidRPr="00B57DAB">
        <w:rPr>
          <w:rFonts w:ascii="GHEA Grapalat" w:hAnsi="GHEA Grapalat"/>
          <w:sz w:val="22"/>
          <w:szCs w:val="22"/>
        </w:rPr>
        <w:t>Պետական հատվածի արդիականացման</w:t>
      </w:r>
      <w:r w:rsidRPr="00B57DAB">
        <w:rPr>
          <w:rFonts w:ascii="GHEA Grapalat" w:hAnsi="GHEA Grapalat" w:cs="Sylfaen"/>
          <w:sz w:val="22"/>
          <w:szCs w:val="22"/>
        </w:rPr>
        <w:t xml:space="preserve"> ծրագրի գծով ծախսերն աճել են 84.6%-ով կամ շուրջ 290.5 մլն դրամով:</w:t>
      </w:r>
    </w:p>
    <w:p w:rsidR="004A7CB2" w:rsidRPr="00B57DAB" w:rsidRDefault="004A7CB2" w:rsidP="004A7CB2">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sz w:val="22"/>
          <w:szCs w:val="22"/>
        </w:rPr>
        <w:t xml:space="preserve">Հաշվետու եռամսյակում </w:t>
      </w:r>
      <w:r w:rsidRPr="00B57DAB">
        <w:rPr>
          <w:rFonts w:ascii="GHEA Grapalat" w:hAnsi="GHEA Grapalat" w:cs="Sylfaen"/>
          <w:i/>
          <w:sz w:val="22"/>
          <w:szCs w:val="22"/>
        </w:rPr>
        <w:t>ՀՀ</w:t>
      </w:r>
      <w:r w:rsidRPr="00B57DAB">
        <w:rPr>
          <w:rFonts w:ascii="GHEA Grapalat" w:hAnsi="GHEA Grapalat" w:cs="Sylfaen"/>
          <w:i/>
          <w:sz w:val="22"/>
          <w:szCs w:val="22"/>
          <w:lang w:val="ru-RU"/>
        </w:rPr>
        <w:t xml:space="preserve"> </w:t>
      </w:r>
      <w:r w:rsidRPr="00B57DAB">
        <w:rPr>
          <w:rFonts w:ascii="GHEA Grapalat" w:hAnsi="GHEA Grapalat" w:cs="Sylfaen"/>
          <w:i/>
          <w:sz w:val="22"/>
          <w:szCs w:val="22"/>
        </w:rPr>
        <w:t>Վարչապետի</w:t>
      </w:r>
      <w:r w:rsidRPr="00B57DAB">
        <w:rPr>
          <w:rFonts w:ascii="GHEA Grapalat" w:hAnsi="GHEA Grapalat" w:cs="Sylfaen"/>
          <w:i/>
          <w:sz w:val="22"/>
          <w:szCs w:val="22"/>
          <w:lang w:val="ru-RU"/>
        </w:rPr>
        <w:t xml:space="preserve"> </w:t>
      </w:r>
      <w:r w:rsidRPr="00B57DAB">
        <w:rPr>
          <w:rFonts w:ascii="GHEA Grapalat" w:hAnsi="GHEA Grapalat" w:cs="Sylfaen"/>
          <w:i/>
          <w:sz w:val="22"/>
          <w:szCs w:val="22"/>
        </w:rPr>
        <w:t>լիազորությունների</w:t>
      </w:r>
      <w:r w:rsidRPr="00B57DAB">
        <w:rPr>
          <w:rFonts w:ascii="GHEA Grapalat" w:hAnsi="GHEA Grapalat" w:cs="Sylfaen"/>
          <w:i/>
          <w:sz w:val="22"/>
          <w:szCs w:val="22"/>
          <w:lang w:val="ru-RU"/>
        </w:rPr>
        <w:t xml:space="preserve"> </w:t>
      </w:r>
      <w:r w:rsidRPr="00B57DAB">
        <w:rPr>
          <w:rFonts w:ascii="GHEA Grapalat" w:hAnsi="GHEA Grapalat" w:cs="Sylfaen"/>
          <w:i/>
          <w:sz w:val="22"/>
          <w:szCs w:val="22"/>
        </w:rPr>
        <w:t>իրականացման</w:t>
      </w:r>
      <w:r w:rsidRPr="00B57DAB">
        <w:rPr>
          <w:rFonts w:ascii="GHEA Grapalat" w:hAnsi="GHEA Grapalat" w:cs="Sylfaen"/>
          <w:i/>
          <w:sz w:val="22"/>
          <w:szCs w:val="22"/>
          <w:lang w:val="ru-RU"/>
        </w:rPr>
        <w:t xml:space="preserve"> </w:t>
      </w:r>
      <w:r w:rsidRPr="00B57DAB">
        <w:rPr>
          <w:rFonts w:ascii="GHEA Grapalat" w:hAnsi="GHEA Grapalat" w:cs="Sylfaen"/>
          <w:i/>
          <w:sz w:val="22"/>
          <w:szCs w:val="22"/>
        </w:rPr>
        <w:t>ապահովման</w:t>
      </w:r>
      <w:r w:rsidRPr="00B57DAB">
        <w:rPr>
          <w:rFonts w:ascii="GHEA Grapalat" w:hAnsi="GHEA Grapalat" w:cs="Sylfaen"/>
          <w:i/>
          <w:sz w:val="22"/>
          <w:szCs w:val="22"/>
          <w:lang w:val="ru-RU"/>
        </w:rPr>
        <w:t xml:space="preserve"> </w:t>
      </w:r>
      <w:r w:rsidRPr="00B57DAB">
        <w:rPr>
          <w:rFonts w:ascii="GHEA Grapalat" w:hAnsi="GHEA Grapalat" w:cs="Sylfaen"/>
          <w:i/>
          <w:sz w:val="22"/>
          <w:szCs w:val="22"/>
        </w:rPr>
        <w:t>ծրագրի</w:t>
      </w:r>
      <w:r w:rsidRPr="00B57DAB">
        <w:rPr>
          <w:rFonts w:ascii="GHEA Grapalat" w:hAnsi="GHEA Grapalat" w:cs="Sylfaen"/>
          <w:sz w:val="22"/>
          <w:szCs w:val="22"/>
          <w:lang w:val="ru-RU"/>
        </w:rPr>
        <w:t xml:space="preserve"> </w:t>
      </w:r>
      <w:r w:rsidRPr="00B57DAB">
        <w:rPr>
          <w:rFonts w:ascii="GHEA Grapalat" w:hAnsi="GHEA Grapalat" w:cs="Sylfaen"/>
          <w:sz w:val="22"/>
          <w:szCs w:val="22"/>
        </w:rPr>
        <w:t>շրջանակներում</w:t>
      </w:r>
      <w:r w:rsidRPr="00B57DAB">
        <w:rPr>
          <w:rFonts w:ascii="GHEA Grapalat" w:hAnsi="GHEA Grapalat" w:cs="Sylfaen"/>
          <w:sz w:val="22"/>
          <w:szCs w:val="22"/>
          <w:lang w:val="ru-RU"/>
        </w:rPr>
        <w:t xml:space="preserve"> օգտագործ</w:t>
      </w:r>
      <w:r w:rsidRPr="00B57DAB">
        <w:rPr>
          <w:rFonts w:ascii="GHEA Grapalat" w:hAnsi="GHEA Grapalat" w:cs="Sylfaen"/>
          <w:sz w:val="22"/>
          <w:szCs w:val="22"/>
        </w:rPr>
        <w:t>վել</w:t>
      </w:r>
      <w:r w:rsidRPr="00B57DAB">
        <w:rPr>
          <w:rFonts w:ascii="GHEA Grapalat" w:hAnsi="GHEA Grapalat" w:cs="Sylfaen"/>
          <w:sz w:val="22"/>
          <w:szCs w:val="22"/>
          <w:lang w:val="ru-RU"/>
        </w:rPr>
        <w:t xml:space="preserve"> </w:t>
      </w:r>
      <w:r w:rsidRPr="00B57DAB">
        <w:rPr>
          <w:rFonts w:ascii="GHEA Grapalat" w:hAnsi="GHEA Grapalat" w:cs="Sylfaen"/>
          <w:sz w:val="22"/>
          <w:szCs w:val="22"/>
        </w:rPr>
        <w:t>է</w:t>
      </w:r>
      <w:r w:rsidRPr="00B57DAB">
        <w:rPr>
          <w:rFonts w:ascii="GHEA Grapalat" w:hAnsi="GHEA Grapalat" w:cs="Sylfaen"/>
          <w:sz w:val="22"/>
          <w:szCs w:val="22"/>
          <w:lang w:val="ru-RU"/>
        </w:rPr>
        <w:t xml:space="preserve"> </w:t>
      </w:r>
      <w:r w:rsidRPr="00B57DAB">
        <w:rPr>
          <w:rFonts w:ascii="GHEA Grapalat" w:hAnsi="GHEA Grapalat" w:cs="Sylfaen"/>
          <w:sz w:val="22"/>
          <w:szCs w:val="22"/>
        </w:rPr>
        <w:t xml:space="preserve">ավելի քան </w:t>
      </w:r>
      <w:r w:rsidRPr="00B57DAB">
        <w:rPr>
          <w:rFonts w:ascii="GHEA Grapalat" w:hAnsi="GHEA Grapalat" w:cs="Sylfaen"/>
          <w:sz w:val="22"/>
          <w:szCs w:val="22"/>
          <w:lang w:val="ru-RU"/>
        </w:rPr>
        <w:t>1</w:t>
      </w:r>
      <w:r w:rsidRPr="00B57DAB">
        <w:rPr>
          <w:rFonts w:ascii="GHEA Grapalat" w:hAnsi="GHEA Grapalat" w:cs="Sylfaen"/>
          <w:sz w:val="22"/>
          <w:szCs w:val="22"/>
        </w:rPr>
        <w:t xml:space="preserve"> մլրդ</w:t>
      </w:r>
      <w:r w:rsidRPr="00B57DAB">
        <w:rPr>
          <w:rFonts w:ascii="GHEA Grapalat" w:hAnsi="GHEA Grapalat" w:cs="Sylfaen"/>
          <w:sz w:val="22"/>
          <w:szCs w:val="22"/>
          <w:lang w:val="ru-RU"/>
        </w:rPr>
        <w:t xml:space="preserve"> </w:t>
      </w:r>
      <w:r w:rsidRPr="00B57DAB">
        <w:rPr>
          <w:rFonts w:ascii="GHEA Grapalat" w:hAnsi="GHEA Grapalat" w:cs="Sylfaen"/>
          <w:sz w:val="22"/>
          <w:szCs w:val="22"/>
        </w:rPr>
        <w:t>դրամ</w:t>
      </w:r>
      <w:r w:rsidRPr="00B57DAB">
        <w:rPr>
          <w:rFonts w:ascii="GHEA Grapalat" w:hAnsi="GHEA Grapalat" w:cs="Sylfaen"/>
          <w:sz w:val="22"/>
          <w:szCs w:val="22"/>
          <w:lang w:val="ru-RU"/>
        </w:rPr>
        <w:t xml:space="preserve">՝ </w:t>
      </w:r>
      <w:r w:rsidRPr="00B57DAB">
        <w:rPr>
          <w:rFonts w:ascii="GHEA Grapalat" w:hAnsi="GHEA Grapalat" w:cs="Sylfaen"/>
          <w:sz w:val="22"/>
          <w:szCs w:val="22"/>
        </w:rPr>
        <w:t>ապահովելով</w:t>
      </w:r>
      <w:r w:rsidRPr="00B57DAB">
        <w:rPr>
          <w:rFonts w:ascii="GHEA Grapalat" w:hAnsi="GHEA Grapalat" w:cs="Sylfaen"/>
          <w:sz w:val="22"/>
          <w:szCs w:val="22"/>
          <w:lang w:val="ru-RU"/>
        </w:rPr>
        <w:t xml:space="preserve"> 5</w:t>
      </w:r>
      <w:r w:rsidRPr="00B57DAB">
        <w:rPr>
          <w:rFonts w:ascii="GHEA Grapalat" w:hAnsi="GHEA Grapalat" w:cs="Sylfaen"/>
          <w:sz w:val="22"/>
          <w:szCs w:val="22"/>
        </w:rPr>
        <w:t>9.4</w:t>
      </w:r>
      <w:r w:rsidRPr="00B57DAB">
        <w:rPr>
          <w:rFonts w:ascii="GHEA Grapalat" w:hAnsi="GHEA Grapalat" w:cs="Sylfaen"/>
          <w:sz w:val="22"/>
          <w:szCs w:val="22"/>
          <w:lang w:val="ru-RU"/>
        </w:rPr>
        <w:t xml:space="preserve">% </w:t>
      </w:r>
      <w:r w:rsidRPr="00B57DAB">
        <w:rPr>
          <w:rFonts w:ascii="GHEA Grapalat" w:hAnsi="GHEA Grapalat" w:cs="Sylfaen"/>
          <w:sz w:val="22"/>
          <w:szCs w:val="22"/>
        </w:rPr>
        <w:lastRenderedPageBreak/>
        <w:t>կատարողական</w:t>
      </w:r>
      <w:r w:rsidRPr="00B57DAB">
        <w:rPr>
          <w:rFonts w:ascii="GHEA Grapalat" w:hAnsi="GHEA Grapalat" w:cs="Sylfaen"/>
          <w:sz w:val="22"/>
          <w:szCs w:val="22"/>
          <w:lang w:val="ru-RU"/>
        </w:rPr>
        <w:t xml:space="preserve">: </w:t>
      </w:r>
      <w:r w:rsidRPr="00B57DAB">
        <w:rPr>
          <w:rFonts w:ascii="GHEA Grapalat" w:hAnsi="GHEA Grapalat" w:cs="Sylfaen"/>
          <w:sz w:val="22"/>
          <w:szCs w:val="22"/>
        </w:rPr>
        <w:t>Շեղումը</w:t>
      </w:r>
      <w:r w:rsidRPr="00B57DAB">
        <w:rPr>
          <w:rFonts w:ascii="GHEA Grapalat" w:hAnsi="GHEA Grapalat" w:cs="Sylfaen"/>
          <w:sz w:val="22"/>
          <w:szCs w:val="22"/>
          <w:lang w:val="ru-RU"/>
        </w:rPr>
        <w:t xml:space="preserve"> </w:t>
      </w:r>
      <w:r w:rsidRPr="00B57DAB">
        <w:rPr>
          <w:rFonts w:ascii="GHEA Grapalat" w:hAnsi="GHEA Grapalat" w:cs="Sylfaen"/>
          <w:sz w:val="22"/>
          <w:szCs w:val="22"/>
        </w:rPr>
        <w:t>հիմնականում</w:t>
      </w:r>
      <w:r w:rsidRPr="00B57DAB">
        <w:rPr>
          <w:rFonts w:ascii="GHEA Grapalat" w:hAnsi="GHEA Grapalat" w:cs="Sylfaen"/>
          <w:sz w:val="22"/>
          <w:szCs w:val="22"/>
          <w:lang w:val="ru-RU"/>
        </w:rPr>
        <w:t xml:space="preserve"> </w:t>
      </w:r>
      <w:r w:rsidRPr="00B57DAB">
        <w:rPr>
          <w:rFonts w:ascii="GHEA Grapalat" w:hAnsi="GHEA Grapalat" w:cs="Sylfaen"/>
          <w:sz w:val="22"/>
          <w:szCs w:val="22"/>
        </w:rPr>
        <w:t>պայմանավորված</w:t>
      </w:r>
      <w:r w:rsidRPr="00B57DAB">
        <w:rPr>
          <w:rFonts w:ascii="GHEA Grapalat" w:hAnsi="GHEA Grapalat" w:cs="Sylfaen"/>
          <w:sz w:val="22"/>
          <w:szCs w:val="22"/>
          <w:lang w:val="ru-RU"/>
        </w:rPr>
        <w:t xml:space="preserve"> </w:t>
      </w:r>
      <w:r w:rsidRPr="00B57DAB">
        <w:rPr>
          <w:rFonts w:ascii="GHEA Grapalat" w:hAnsi="GHEA Grapalat" w:cs="Sylfaen"/>
          <w:sz w:val="22"/>
          <w:szCs w:val="22"/>
        </w:rPr>
        <w:t>է Հայաստանի Հանրապետությունում և արտերկրում ներդրումային և ՊՄԳ ծրագրերի իրականացման</w:t>
      </w:r>
      <w:r w:rsidR="005534B3" w:rsidRPr="00B57DAB">
        <w:rPr>
          <w:rFonts w:ascii="GHEA Grapalat" w:hAnsi="GHEA Grapalat" w:cs="Sylfaen"/>
          <w:sz w:val="22"/>
          <w:szCs w:val="22"/>
        </w:rPr>
        <w:t>ը</w:t>
      </w:r>
      <w:r w:rsidRPr="00B57DAB">
        <w:rPr>
          <w:rFonts w:ascii="GHEA Grapalat" w:hAnsi="GHEA Grapalat" w:cs="Sylfaen"/>
          <w:sz w:val="22"/>
          <w:szCs w:val="22"/>
        </w:rPr>
        <w:t xml:space="preserve"> պետական աջակցության համար նախատեսված 519.9 մլն դրամ միջոցները չօգտագործելու հանգամանքով:</w:t>
      </w:r>
      <w:r w:rsidRPr="00B57DAB">
        <w:rPr>
          <w:rFonts w:ascii="GHEA Grapalat" w:hAnsi="GHEA Grapalat"/>
          <w:sz w:val="22"/>
          <w:szCs w:val="22"/>
        </w:rPr>
        <w:t xml:space="preserve"> Վերջինս պայմանավորված է </w:t>
      </w:r>
      <w:r w:rsidRPr="00B57DAB">
        <w:rPr>
          <w:rFonts w:ascii="GHEA Grapalat" w:hAnsi="GHEA Grapalat" w:cs="Sylfaen"/>
          <w:sz w:val="22"/>
          <w:szCs w:val="22"/>
        </w:rPr>
        <w:t>գործընկեր կազմակերպո</w:t>
      </w:r>
      <w:r w:rsidR="005534B3" w:rsidRPr="00B57DAB">
        <w:rPr>
          <w:rFonts w:ascii="GHEA Grapalat" w:hAnsi="GHEA Grapalat" w:cs="Sylfaen"/>
          <w:sz w:val="22"/>
          <w:szCs w:val="22"/>
        </w:rPr>
        <w:t>ւթյան հետ երկարատև քննարկումներով, որի</w:t>
      </w:r>
      <w:r w:rsidRPr="00B57DAB">
        <w:rPr>
          <w:rFonts w:ascii="GHEA Grapalat" w:hAnsi="GHEA Grapalat" w:cs="Sylfaen"/>
          <w:sz w:val="22"/>
          <w:szCs w:val="22"/>
        </w:rPr>
        <w:t xml:space="preserve"> հետևանքով կնքվող պայմանագրի նախագիծը </w:t>
      </w:r>
      <w:r w:rsidR="005534B3" w:rsidRPr="00B57DAB">
        <w:rPr>
          <w:rFonts w:ascii="GHEA Grapalat" w:hAnsi="GHEA Grapalat" w:cs="Sylfaen"/>
          <w:sz w:val="22"/>
          <w:szCs w:val="22"/>
        </w:rPr>
        <w:t xml:space="preserve">հաշվետու ժամանակահատվածում </w:t>
      </w:r>
      <w:r w:rsidRPr="00B57DAB">
        <w:rPr>
          <w:rFonts w:ascii="GHEA Grapalat" w:hAnsi="GHEA Grapalat" w:cs="Sylfaen"/>
          <w:sz w:val="22"/>
          <w:szCs w:val="22"/>
        </w:rPr>
        <w:t>դեռևս գտնվ</w:t>
      </w:r>
      <w:r w:rsidR="005534B3" w:rsidRPr="00B57DAB">
        <w:rPr>
          <w:rFonts w:ascii="GHEA Grapalat" w:hAnsi="GHEA Grapalat" w:cs="Sylfaen"/>
          <w:sz w:val="22"/>
          <w:szCs w:val="22"/>
        </w:rPr>
        <w:t>ել</w:t>
      </w:r>
      <w:r w:rsidRPr="00B57DAB">
        <w:rPr>
          <w:rFonts w:ascii="GHEA Grapalat" w:hAnsi="GHEA Grapalat" w:cs="Sylfaen"/>
          <w:sz w:val="22"/>
          <w:szCs w:val="22"/>
        </w:rPr>
        <w:t xml:space="preserve"> է մշակման փուլում: Նշված ծրագրի շրջանակներում հատկացված միջոցներն ուղղվել են թվով ութ միջոցառումների իրականացմանը:</w:t>
      </w:r>
    </w:p>
    <w:p w:rsidR="004A7CB2" w:rsidRPr="00B57DAB" w:rsidRDefault="004A7CB2" w:rsidP="004A7CB2">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 xml:space="preserve">Վարչապետի լիազորությունների իրականացման ապահովման ծրագրում ընդգրկված ծառայությունների, ծրագրերի համակարգման միջոցառման ծախսերը կազմել են 721.7 մլն դրամ կամ ծրագրված ցուցանիշի 81.2%-ը՝ պայմանավորված ապրանքների և ծառայությունների գնման մրցույթների ոչ ամբողջ ծավալով իրականացմամբ, մրցույթների արդյունքում ապրանքների և ծառայությունների՝ նախատեսվածից ցածր գներով ձեռքբերմամբ, ինչպես նաև հաստիքների ոչ լրիվ համալրմամբ: </w:t>
      </w:r>
    </w:p>
    <w:p w:rsidR="004A7CB2" w:rsidRPr="00B57DAB" w:rsidRDefault="004A7CB2" w:rsidP="004A7CB2">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2021 թվականի առաջին եռամսյակի համադրելի ցուցանիշի համեմատ ՀՀ Վարչապետի լիազորությունների իրականացման ապահովման ծրագրի ծախսերը նվազել են 3.3%</w:t>
      </w:r>
      <w:r w:rsidRPr="00B57DAB">
        <w:rPr>
          <w:rFonts w:ascii="GHEA Grapalat" w:hAnsi="GHEA Grapalat" w:cs="Sylfaen"/>
          <w:sz w:val="22"/>
          <w:szCs w:val="22"/>
        </w:rPr>
        <w:noBreakHyphen/>
        <w:t>ով կամ 34.5</w:t>
      </w:r>
      <w:r w:rsidRPr="00B57DAB">
        <w:rPr>
          <w:rFonts w:ascii="Courier New" w:hAnsi="Courier New" w:cs="Courier New"/>
          <w:sz w:val="22"/>
          <w:szCs w:val="22"/>
        </w:rPr>
        <w:t> </w:t>
      </w:r>
      <w:r w:rsidRPr="00B57DAB">
        <w:rPr>
          <w:rFonts w:ascii="GHEA Grapalat" w:hAnsi="GHEA Grapalat" w:cs="GHEA Grapalat"/>
          <w:sz w:val="22"/>
          <w:szCs w:val="22"/>
        </w:rPr>
        <w:t>մլն</w:t>
      </w:r>
      <w:r w:rsidRPr="00B57DAB">
        <w:rPr>
          <w:rFonts w:ascii="GHEA Grapalat" w:hAnsi="GHEA Grapalat" w:cs="Sylfaen"/>
          <w:sz w:val="22"/>
          <w:szCs w:val="22"/>
        </w:rPr>
        <w:t xml:space="preserve"> </w:t>
      </w:r>
      <w:r w:rsidRPr="00B57DAB">
        <w:rPr>
          <w:rFonts w:ascii="GHEA Grapalat" w:hAnsi="GHEA Grapalat" w:cs="GHEA Grapalat"/>
          <w:sz w:val="22"/>
          <w:szCs w:val="22"/>
        </w:rPr>
        <w:t>դրամով</w:t>
      </w:r>
      <w:r w:rsidRPr="00B57DAB">
        <w:rPr>
          <w:rFonts w:ascii="GHEA Grapalat" w:hAnsi="GHEA Grapalat" w:cs="Sylfaen"/>
          <w:sz w:val="22"/>
          <w:szCs w:val="22"/>
        </w:rPr>
        <w:t>:</w:t>
      </w:r>
    </w:p>
    <w:p w:rsidR="004A7CB2" w:rsidRPr="00B57DAB" w:rsidRDefault="004A7CB2" w:rsidP="004A7CB2">
      <w:pPr>
        <w:autoSpaceDE w:val="0"/>
        <w:autoSpaceDN w:val="0"/>
        <w:adjustRightInd w:val="0"/>
        <w:spacing w:line="360" w:lineRule="auto"/>
        <w:ind w:firstLine="567"/>
        <w:jc w:val="both"/>
        <w:rPr>
          <w:rFonts w:ascii="GHEA Grapalat" w:hAnsi="GHEA Grapalat" w:cs="Sylfaen"/>
          <w:sz w:val="22"/>
          <w:szCs w:val="22"/>
          <w:lang w:val="hy-AM"/>
        </w:rPr>
      </w:pPr>
      <w:r w:rsidRPr="00B57DAB">
        <w:rPr>
          <w:rFonts w:ascii="GHEA Grapalat" w:hAnsi="GHEA Grapalat" w:cs="Sylfaen"/>
          <w:i/>
          <w:sz w:val="22"/>
          <w:szCs w:val="22"/>
        </w:rPr>
        <w:t>Տեսչական վերահսկողության</w:t>
      </w:r>
      <w:r w:rsidRPr="00B57DAB">
        <w:rPr>
          <w:rFonts w:ascii="GHEA Grapalat" w:hAnsi="GHEA Grapalat" w:cs="Sylfaen"/>
          <w:sz w:val="22"/>
          <w:szCs w:val="22"/>
        </w:rPr>
        <w:t xml:space="preserve"> ծրագրի շրջանակներում հաշվետու ժամանակահատվածում օգտագործվել է 856.4 մլն դրամ կամ նախատեսված</w:t>
      </w:r>
      <w:r w:rsidR="003D769D" w:rsidRPr="00B57DAB">
        <w:rPr>
          <w:rFonts w:ascii="GHEA Grapalat" w:hAnsi="GHEA Grapalat" w:cs="Sylfaen"/>
          <w:sz w:val="22"/>
          <w:szCs w:val="22"/>
        </w:rPr>
        <w:t xml:space="preserve"> միջոցներ</w:t>
      </w:r>
      <w:r w:rsidRPr="00B57DAB">
        <w:rPr>
          <w:rFonts w:ascii="GHEA Grapalat" w:hAnsi="GHEA Grapalat" w:cs="Sylfaen"/>
          <w:sz w:val="22"/>
          <w:szCs w:val="22"/>
        </w:rPr>
        <w:t xml:space="preserve">ի 80.4%-ը: </w:t>
      </w:r>
      <w:r w:rsidRPr="00B57DAB">
        <w:rPr>
          <w:rFonts w:ascii="GHEA Grapalat" w:hAnsi="GHEA Grapalat"/>
          <w:sz w:val="22"/>
          <w:szCs w:val="22"/>
        </w:rPr>
        <w:t>Ծրագրի շրջանակներում իրականացվել են վեց միջոցառումներ</w:t>
      </w:r>
      <w:r w:rsidRPr="00B57DAB">
        <w:rPr>
          <w:rFonts w:ascii="GHEA Grapalat" w:hAnsi="GHEA Grapalat" w:cs="Sylfaen"/>
          <w:sz w:val="22"/>
          <w:szCs w:val="22"/>
        </w:rPr>
        <w:t xml:space="preserve">, որոնք ուղղվել են տարբեր բնագավառներում տեսչական մարմինների պահպանմանը: Շեղումը հիմնականում </w:t>
      </w:r>
      <w:r w:rsidR="003D769D" w:rsidRPr="00B57DAB">
        <w:rPr>
          <w:rFonts w:ascii="GHEA Grapalat" w:hAnsi="GHEA Grapalat" w:cs="Sylfaen"/>
          <w:sz w:val="22"/>
          <w:szCs w:val="22"/>
        </w:rPr>
        <w:t xml:space="preserve">առաջացել </w:t>
      </w:r>
      <w:r w:rsidRPr="00B57DAB">
        <w:rPr>
          <w:rFonts w:ascii="GHEA Grapalat" w:hAnsi="GHEA Grapalat" w:cs="Sylfaen"/>
          <w:sz w:val="22"/>
          <w:szCs w:val="22"/>
        </w:rPr>
        <w:t>է առողջապահության, սննդամթերքի անվտանգության, քաղաքաշինության և ճարտարապետության ու բնապահպանության բնագավառներում վերահսկողության ծառայությունների գծով ծախսեր</w:t>
      </w:r>
      <w:r w:rsidR="003D769D" w:rsidRPr="00B57DAB">
        <w:rPr>
          <w:rFonts w:ascii="GHEA Grapalat" w:hAnsi="GHEA Grapalat" w:cs="Sylfaen"/>
          <w:sz w:val="22"/>
          <w:szCs w:val="22"/>
        </w:rPr>
        <w:t>ում</w:t>
      </w:r>
      <w:r w:rsidRPr="00B57DAB">
        <w:rPr>
          <w:rFonts w:ascii="GHEA Grapalat" w:hAnsi="GHEA Grapalat" w:cs="Sylfaen"/>
          <w:sz w:val="22"/>
          <w:szCs w:val="22"/>
        </w:rPr>
        <w:t>՝ պայմանավորված տեսչական մարմինների աշխատակազմերի հաստիքների ոչ լրիվ համալրմամբ, ապրանքների և ծառայությունների գնման մրցույթների ոչ ամբողջ ծավալով իրականացմամբ, մրցույթների արդյունքում ապրանքների և ծառայությունների՝ նախատեսվածից ցածր գներով ձեռքբերմամբ, ինչպես նաև անբարենպաստ եղանակային պայմանների հետևանքով գործուղումների</w:t>
      </w:r>
      <w:r w:rsidR="003D769D" w:rsidRPr="00B57DAB">
        <w:rPr>
          <w:rFonts w:ascii="GHEA Grapalat" w:hAnsi="GHEA Grapalat" w:cs="Sylfaen"/>
          <w:sz w:val="22"/>
          <w:szCs w:val="22"/>
        </w:rPr>
        <w:t>՝</w:t>
      </w:r>
      <w:r w:rsidRPr="00B57DAB">
        <w:rPr>
          <w:rFonts w:ascii="GHEA Grapalat" w:hAnsi="GHEA Grapalat" w:cs="Sylfaen"/>
          <w:sz w:val="22"/>
          <w:szCs w:val="22"/>
        </w:rPr>
        <w:t xml:space="preserve"> նախատեսվածից պակաս քանակով: Նախորդ տարվա առաջին եռամսյակի համեմատ Տեսչական վերահսկողության ծրագրի գծով ծախսերն աճել</w:t>
      </w:r>
      <w:r w:rsidRPr="00B57DAB">
        <w:rPr>
          <w:rFonts w:ascii="Courier New" w:hAnsi="Courier New" w:cs="Courier New"/>
          <w:sz w:val="22"/>
          <w:szCs w:val="22"/>
        </w:rPr>
        <w:t> </w:t>
      </w:r>
      <w:r w:rsidRPr="00B57DAB">
        <w:rPr>
          <w:rFonts w:ascii="GHEA Grapalat" w:hAnsi="GHEA Grapalat" w:cs="GHEA Grapalat"/>
          <w:sz w:val="22"/>
          <w:szCs w:val="22"/>
        </w:rPr>
        <w:t>են</w:t>
      </w:r>
      <w:r w:rsidRPr="00B57DAB">
        <w:rPr>
          <w:rFonts w:ascii="GHEA Grapalat" w:hAnsi="GHEA Grapalat" w:cs="Sylfaen"/>
          <w:sz w:val="22"/>
          <w:szCs w:val="22"/>
        </w:rPr>
        <w:t xml:space="preserve"> 12.6%</w:t>
      </w:r>
      <w:r w:rsidRPr="00B57DAB">
        <w:rPr>
          <w:rFonts w:ascii="GHEA Grapalat" w:hAnsi="GHEA Grapalat" w:cs="Sylfaen"/>
          <w:sz w:val="22"/>
          <w:szCs w:val="22"/>
        </w:rPr>
        <w:noBreakHyphen/>
        <w:t>ով կամ 95.9 մլն դրամով, որը հիմնականում պայմանավորված է սննդամթերքի անվտանգության ու քաղաքաշինության և ճարտարապետության բնագավառներում վերահսկողության ծառայությունների գծով ծա</w:t>
      </w:r>
      <w:r w:rsidR="00F00040" w:rsidRPr="00B57DAB">
        <w:rPr>
          <w:rFonts w:ascii="GHEA Grapalat" w:hAnsi="GHEA Grapalat" w:cs="Sylfaen"/>
          <w:sz w:val="22"/>
          <w:szCs w:val="22"/>
        </w:rPr>
        <w:t>խսերի համապատասխանաբար 17% (</w:t>
      </w:r>
      <w:r w:rsidRPr="00B57DAB">
        <w:rPr>
          <w:rFonts w:ascii="GHEA Grapalat" w:hAnsi="GHEA Grapalat" w:cs="Sylfaen"/>
          <w:sz w:val="22"/>
          <w:szCs w:val="22"/>
        </w:rPr>
        <w:t xml:space="preserve">34.3 մլն դրամ) և 18% (26.7 </w:t>
      </w:r>
      <w:r w:rsidRPr="00B57DAB">
        <w:rPr>
          <w:rFonts w:ascii="GHEA Grapalat" w:hAnsi="GHEA Grapalat" w:cs="GHEA Grapalat"/>
          <w:sz w:val="22"/>
          <w:szCs w:val="22"/>
        </w:rPr>
        <w:t>մլն</w:t>
      </w:r>
      <w:r w:rsidRPr="00B57DAB">
        <w:rPr>
          <w:rFonts w:ascii="GHEA Grapalat" w:hAnsi="GHEA Grapalat" w:cs="Sylfaen"/>
          <w:sz w:val="22"/>
          <w:szCs w:val="22"/>
        </w:rPr>
        <w:t xml:space="preserve"> </w:t>
      </w:r>
      <w:r w:rsidRPr="00B57DAB">
        <w:rPr>
          <w:rFonts w:ascii="GHEA Grapalat" w:hAnsi="GHEA Grapalat" w:cs="GHEA Grapalat"/>
          <w:sz w:val="22"/>
          <w:szCs w:val="22"/>
        </w:rPr>
        <w:t>դրամ</w:t>
      </w:r>
      <w:r w:rsidRPr="00B57DAB">
        <w:rPr>
          <w:rFonts w:ascii="GHEA Grapalat" w:hAnsi="GHEA Grapalat" w:cs="Sylfaen"/>
          <w:sz w:val="22"/>
          <w:szCs w:val="22"/>
        </w:rPr>
        <w:t xml:space="preserve">) </w:t>
      </w:r>
      <w:r w:rsidRPr="00B57DAB">
        <w:rPr>
          <w:rFonts w:ascii="GHEA Grapalat" w:hAnsi="GHEA Grapalat" w:cs="GHEA Grapalat"/>
          <w:sz w:val="22"/>
          <w:szCs w:val="22"/>
        </w:rPr>
        <w:t>աճով</w:t>
      </w:r>
      <w:r w:rsidRPr="00B57DAB">
        <w:rPr>
          <w:rFonts w:ascii="GHEA Grapalat" w:hAnsi="GHEA Grapalat" w:cs="Sylfaen"/>
          <w:sz w:val="22"/>
          <w:szCs w:val="22"/>
        </w:rPr>
        <w:t>:</w:t>
      </w:r>
    </w:p>
    <w:p w:rsidR="004A7CB2" w:rsidRPr="00B57DAB" w:rsidRDefault="004A7CB2" w:rsidP="004A7CB2">
      <w:pPr>
        <w:autoSpaceDE w:val="0"/>
        <w:autoSpaceDN w:val="0"/>
        <w:adjustRightInd w:val="0"/>
        <w:spacing w:line="360" w:lineRule="auto"/>
        <w:ind w:firstLine="567"/>
        <w:jc w:val="both"/>
        <w:rPr>
          <w:rFonts w:ascii="GHEA Grapalat" w:hAnsi="GHEA Grapalat" w:cs="Arial"/>
          <w:sz w:val="22"/>
          <w:szCs w:val="22"/>
          <w:lang w:val="hy-AM"/>
        </w:rPr>
      </w:pPr>
      <w:r w:rsidRPr="00B57DAB">
        <w:rPr>
          <w:rFonts w:ascii="GHEA Grapalat" w:hAnsi="GHEA Grapalat" w:cs="Sylfaen"/>
          <w:sz w:val="22"/>
          <w:szCs w:val="22"/>
        </w:rPr>
        <w:lastRenderedPageBreak/>
        <w:t>ՀՀ Վարչապետի աշխատակազմի կողմից իրականացված</w:t>
      </w:r>
      <w:r w:rsidRPr="00B57DAB">
        <w:rPr>
          <w:rFonts w:ascii="GHEA Grapalat" w:hAnsi="GHEA Grapalat" w:cs="GHEA Grapalat"/>
          <w:sz w:val="22"/>
          <w:szCs w:val="22"/>
        </w:rPr>
        <w:t xml:space="preserve"> այլ ծրագրերից </w:t>
      </w:r>
      <w:r w:rsidRPr="00B57DAB">
        <w:rPr>
          <w:rFonts w:ascii="GHEA Grapalat" w:hAnsi="GHEA Grapalat"/>
          <w:sz w:val="22"/>
          <w:szCs w:val="22"/>
        </w:rPr>
        <w:t xml:space="preserve">2022 թվականի առաջին եռամսյակում </w:t>
      </w:r>
      <w:r w:rsidRPr="00B57DAB">
        <w:rPr>
          <w:rFonts w:ascii="GHEA Grapalat" w:hAnsi="GHEA Grapalat"/>
          <w:i/>
          <w:sz w:val="22"/>
          <w:szCs w:val="22"/>
        </w:rPr>
        <w:t>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w:t>
      </w:r>
      <w:r w:rsidRPr="00B57DAB">
        <w:rPr>
          <w:rFonts w:ascii="GHEA Grapalat" w:hAnsi="GHEA Grapalat"/>
          <w:sz w:val="22"/>
          <w:szCs w:val="22"/>
        </w:rPr>
        <w:t xml:space="preserve"> ծրագրի ծախսերը նախատեսված 1.4 մլրդ դրամի դիմաց</w:t>
      </w:r>
      <w:r w:rsidRPr="00B57DAB">
        <w:rPr>
          <w:rFonts w:ascii="GHEA Grapalat" w:hAnsi="GHEA Grapalat" w:cs="Sylfaen"/>
          <w:sz w:val="22"/>
          <w:szCs w:val="22"/>
        </w:rPr>
        <w:t xml:space="preserve"> կազմել են 27.2 մլն դրամ կամ ծրագրային ցուցանիշի 1.9%-ը: Ցածր կատարողականը հիմնականում պայմանավորված է Հայաստանի Հանրապետության շահերի ներկայացմանն ու պաշտպանությանն ուղղված փաստաբանական, իրավաբանական ծառայությունների գծով ծախսերի կատարողականով: Հաշվետու ժամանակահատվածում նշված միջոցառման շրջանակներում տրամադրվող իրավական խորհրդատվական և տեղեկատվական ծառայությունները կազմել են թվով 2 հատ՝</w:t>
      </w:r>
      <w:r w:rsidR="006A4207" w:rsidRPr="00B57DAB">
        <w:rPr>
          <w:rFonts w:ascii="GHEA Grapalat" w:hAnsi="GHEA Grapalat" w:cs="Sylfaen"/>
          <w:sz w:val="22"/>
          <w:szCs w:val="22"/>
        </w:rPr>
        <w:t xml:space="preserve"> </w:t>
      </w:r>
      <w:r w:rsidRPr="00B57DAB">
        <w:rPr>
          <w:rFonts w:ascii="GHEA Grapalat" w:hAnsi="GHEA Grapalat" w:cs="Sylfaen"/>
          <w:sz w:val="22"/>
          <w:szCs w:val="22"/>
        </w:rPr>
        <w:t xml:space="preserve">նախատեսված 7-ի դիմաց: Վերջինս պայմանավորված է նրանով, որ հաշվետու ժամանակահատվածում ներկայացվել են 2 կնքված պայմանագրերի շրջանականերում փոխանցումներ կատարելու համար անհրաժեշտ փաստաթղթեր: Նշված միջոցառման շրջանակներում օգտագործվել է շուրջ 20.4 մլն դրամ </w:t>
      </w:r>
      <w:r w:rsidR="0019294F" w:rsidRPr="00B57DAB">
        <w:rPr>
          <w:rFonts w:ascii="GHEA Grapalat" w:hAnsi="GHEA Grapalat" w:cs="Sylfaen"/>
          <w:sz w:val="22"/>
          <w:szCs w:val="22"/>
        </w:rPr>
        <w:t>կամ նախատեսված միջոցների 1.6%-ը</w:t>
      </w:r>
      <w:r w:rsidRPr="00B57DAB">
        <w:rPr>
          <w:rFonts w:ascii="GHEA Grapalat" w:hAnsi="GHEA Grapalat" w:cs="Sylfaen"/>
          <w:sz w:val="22"/>
          <w:szCs w:val="22"/>
        </w:rPr>
        <w:t xml:space="preserve">: </w:t>
      </w:r>
      <w:r w:rsidRPr="00B57DAB">
        <w:rPr>
          <w:rFonts w:ascii="GHEA Grapalat" w:hAnsi="GHEA Grapalat" w:cs="Arial"/>
          <w:sz w:val="22"/>
          <w:szCs w:val="22"/>
        </w:rPr>
        <w:t>Հիմնականում նշված միջոցառման ծախսերի նվազմամբ է պայմանավորված նախորդ տարվա առաջին եռամսյակի համեմատ 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 ծրագրի ծախսերի 94.6% (471.7 մլն դրամ) նվազումը:</w:t>
      </w:r>
    </w:p>
    <w:p w:rsidR="003F2149" w:rsidRPr="00B57DAB" w:rsidRDefault="003F2149" w:rsidP="003F2149">
      <w:pPr>
        <w:spacing w:line="360" w:lineRule="auto"/>
        <w:ind w:firstLine="561"/>
        <w:jc w:val="both"/>
        <w:rPr>
          <w:rFonts w:ascii="GHEA Grapalat" w:hAnsi="GHEA Grapalat"/>
          <w:sz w:val="22"/>
          <w:szCs w:val="22"/>
          <w:lang w:val="hy-AM"/>
        </w:rPr>
      </w:pPr>
    </w:p>
    <w:p w:rsidR="007173F4" w:rsidRPr="00B57DAB" w:rsidRDefault="003F2149" w:rsidP="007173F4">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Sylfaen"/>
          <w:i/>
          <w:sz w:val="22"/>
          <w:szCs w:val="22"/>
          <w:u w:val="single"/>
        </w:rPr>
        <w:t>ՀՀ սահմանադրական դատարանի</w:t>
      </w:r>
      <w:r w:rsidRPr="00B57DAB">
        <w:rPr>
          <w:rFonts w:ascii="GHEA Grapalat" w:hAnsi="GHEA Grapalat" w:cs="Sylfaen"/>
          <w:sz w:val="22"/>
          <w:szCs w:val="22"/>
        </w:rPr>
        <w:t xml:space="preserve"> </w:t>
      </w:r>
      <w:r w:rsidR="007173F4" w:rsidRPr="00B57DAB">
        <w:rPr>
          <w:rFonts w:ascii="GHEA Grapalat" w:hAnsi="GHEA Grapalat" w:cs="GHEA Grapalat"/>
          <w:i/>
          <w:sz w:val="22"/>
          <w:szCs w:val="22"/>
        </w:rPr>
        <w:t>գործունեության ապահովմանը</w:t>
      </w:r>
      <w:r w:rsidR="007173F4" w:rsidRPr="00B57DAB">
        <w:rPr>
          <w:rFonts w:ascii="GHEA Grapalat" w:hAnsi="GHEA Grapalat" w:cs="GHEA Grapalat"/>
          <w:sz w:val="22"/>
          <w:szCs w:val="22"/>
        </w:rPr>
        <w:t xml:space="preserve"> 2022 թվականի առաջին եռամսյակում տրամադրվել է 125 մլն դրամ՝ ապահովելով 95.9% կատարողական: Միջոցները հիմնականում ուղղվել են ՀՀ սահմանադրական դատարանի գործունեության և սահմանադրական արդարադատության ապահովման միջոցառմանը, որի ծախսերը կազմել են 124.1 մլն դրամ կամ ծրագրված ցուցանիշի 96.2%-ը: 2021 թվականի համեմատ ՀՀ սահմանադրական դատարանի ծախսերն աճել են 20.5%-ով կամ 21.3 մլն դրամով՝ </w:t>
      </w:r>
      <w:r w:rsidR="00E259C9" w:rsidRPr="00B57DAB">
        <w:rPr>
          <w:rFonts w:ascii="GHEA Grapalat" w:hAnsi="GHEA Grapalat" w:cs="GHEA Grapalat"/>
          <w:sz w:val="22"/>
          <w:szCs w:val="22"/>
        </w:rPr>
        <w:t>մեծ մասամբ</w:t>
      </w:r>
      <w:r w:rsidR="007173F4" w:rsidRPr="00B57DAB">
        <w:rPr>
          <w:rFonts w:ascii="GHEA Grapalat" w:hAnsi="GHEA Grapalat" w:cs="GHEA Grapalat"/>
          <w:sz w:val="22"/>
          <w:szCs w:val="22"/>
        </w:rPr>
        <w:t xml:space="preserve"> պայմանավորված աշխատանքի վարձատրության ծախսերի աճով՝</w:t>
      </w:r>
      <w:r w:rsidR="00E259C9" w:rsidRPr="00B57DAB">
        <w:rPr>
          <w:rFonts w:ascii="GHEA Grapalat" w:hAnsi="GHEA Grapalat" w:cs="GHEA Grapalat"/>
          <w:sz w:val="22"/>
          <w:szCs w:val="22"/>
        </w:rPr>
        <w:t xml:space="preserve"> հիմնականում</w:t>
      </w:r>
      <w:r w:rsidR="007173F4" w:rsidRPr="00B57DAB">
        <w:rPr>
          <w:rFonts w:ascii="GHEA Grapalat" w:hAnsi="GHEA Grapalat" w:cs="GHEA Grapalat"/>
          <w:sz w:val="22"/>
          <w:szCs w:val="22"/>
        </w:rPr>
        <w:t xml:space="preserve"> կապված աշխատողների թվաքանակի ավելացման հետ:</w:t>
      </w:r>
    </w:p>
    <w:p w:rsidR="003F2149" w:rsidRPr="00B57DAB" w:rsidRDefault="003F2149" w:rsidP="003F2149">
      <w:pPr>
        <w:spacing w:line="360" w:lineRule="auto"/>
        <w:ind w:firstLine="561"/>
        <w:jc w:val="both"/>
        <w:rPr>
          <w:rFonts w:ascii="GHEA Grapalat" w:hAnsi="GHEA Grapalat" w:cs="Times Armenian"/>
          <w:sz w:val="22"/>
          <w:szCs w:val="22"/>
          <w:lang w:val="hy-AM"/>
        </w:rPr>
      </w:pPr>
    </w:p>
    <w:p w:rsidR="003F2149" w:rsidRPr="00B57DAB" w:rsidRDefault="003F2149" w:rsidP="003F2149">
      <w:pPr>
        <w:spacing w:line="360" w:lineRule="auto"/>
        <w:ind w:firstLine="561"/>
        <w:jc w:val="both"/>
        <w:rPr>
          <w:rFonts w:ascii="GHEA Grapalat" w:hAnsi="GHEA Grapalat" w:cs="Times Armenian"/>
          <w:sz w:val="22"/>
          <w:szCs w:val="22"/>
        </w:rPr>
      </w:pPr>
      <w:r w:rsidRPr="00B57DAB">
        <w:rPr>
          <w:rFonts w:ascii="GHEA Grapalat" w:hAnsi="GHEA Grapalat" w:cs="Sylfaen"/>
          <w:i/>
          <w:sz w:val="22"/>
          <w:szCs w:val="22"/>
          <w:u w:val="single"/>
        </w:rPr>
        <w:t>Բարձրագույն դատական խորհրդին</w:t>
      </w:r>
      <w:r w:rsidRPr="00B57DAB">
        <w:rPr>
          <w:rFonts w:ascii="GHEA Grapalat" w:hAnsi="GHEA Grapalat" w:cs="Sylfaen"/>
          <w:sz w:val="22"/>
          <w:szCs w:val="22"/>
          <w:lang w:val="hy-AM"/>
        </w:rPr>
        <w:t xml:space="preserve"> </w:t>
      </w:r>
      <w:r w:rsidR="007173F4" w:rsidRPr="00B57DAB">
        <w:rPr>
          <w:rFonts w:ascii="GHEA Grapalat" w:hAnsi="GHEA Grapalat" w:cs="GHEA Grapalat"/>
          <w:sz w:val="22"/>
          <w:szCs w:val="22"/>
        </w:rPr>
        <w:t>2022 թվականի առաջին եռամսյակում</w:t>
      </w:r>
      <w:r w:rsidR="007173F4" w:rsidRPr="00B57DAB">
        <w:rPr>
          <w:rFonts w:ascii="GHEA Grapalat" w:hAnsi="GHEA Grapalat" w:cs="Sylfaen"/>
          <w:sz w:val="22"/>
          <w:szCs w:val="22"/>
        </w:rPr>
        <w:t xml:space="preserve"> ՀՀ պետական բյուջեից տրամադրվել է 2.1 մլրդ դրամ՝</w:t>
      </w:r>
      <w:r w:rsidR="007173F4" w:rsidRPr="00B57DAB">
        <w:rPr>
          <w:rFonts w:ascii="GHEA Grapalat" w:hAnsi="GHEA Grapalat" w:cs="Times Armenian"/>
          <w:sz w:val="22"/>
          <w:szCs w:val="22"/>
        </w:rPr>
        <w:t xml:space="preserve"> </w:t>
      </w:r>
      <w:r w:rsidR="007173F4" w:rsidRPr="00B57DAB">
        <w:rPr>
          <w:rFonts w:ascii="GHEA Grapalat" w:hAnsi="GHEA Grapalat" w:cs="Sylfaen"/>
          <w:sz w:val="22"/>
          <w:szCs w:val="22"/>
        </w:rPr>
        <w:t>ապահովելով</w:t>
      </w:r>
      <w:r w:rsidR="007173F4" w:rsidRPr="00B57DAB">
        <w:rPr>
          <w:rFonts w:ascii="GHEA Grapalat" w:hAnsi="GHEA Grapalat" w:cs="Times Armenian"/>
          <w:sz w:val="22"/>
          <w:szCs w:val="22"/>
        </w:rPr>
        <w:t xml:space="preserve"> տարեկան </w:t>
      </w:r>
      <w:r w:rsidR="007173F4" w:rsidRPr="00B57DAB">
        <w:rPr>
          <w:rFonts w:ascii="GHEA Grapalat" w:hAnsi="GHEA Grapalat" w:cs="Sylfaen"/>
          <w:sz w:val="22"/>
          <w:szCs w:val="22"/>
        </w:rPr>
        <w:t>ծրագրի 84.3</w:t>
      </w:r>
      <w:r w:rsidR="007173F4" w:rsidRPr="00B57DAB">
        <w:rPr>
          <w:rFonts w:ascii="GHEA Grapalat" w:hAnsi="GHEA Grapalat" w:cs="Times Armenian"/>
          <w:sz w:val="22"/>
          <w:szCs w:val="22"/>
        </w:rPr>
        <w:t xml:space="preserve">% </w:t>
      </w:r>
      <w:r w:rsidR="007173F4" w:rsidRPr="00B57DAB">
        <w:rPr>
          <w:rFonts w:ascii="GHEA Grapalat" w:hAnsi="GHEA Grapalat" w:cs="Sylfaen"/>
          <w:sz w:val="22"/>
          <w:szCs w:val="22"/>
        </w:rPr>
        <w:t xml:space="preserve">կատարողական: Միջոցներն ուղղվել են </w:t>
      </w:r>
      <w:r w:rsidR="007173F4" w:rsidRPr="00B57DAB">
        <w:rPr>
          <w:rFonts w:ascii="GHEA Grapalat" w:hAnsi="GHEA Grapalat" w:cs="Sylfaen"/>
          <w:i/>
          <w:sz w:val="22"/>
          <w:szCs w:val="22"/>
        </w:rPr>
        <w:t>Դատական իշխանության գործունեության ապահովման և իրականացման</w:t>
      </w:r>
      <w:r w:rsidR="007173F4" w:rsidRPr="00B57DAB">
        <w:rPr>
          <w:rFonts w:ascii="GHEA Grapalat" w:hAnsi="GHEA Grapalat" w:cs="Sylfaen"/>
          <w:sz w:val="22"/>
          <w:szCs w:val="22"/>
        </w:rPr>
        <w:t xml:space="preserve"> ծրագրին: </w:t>
      </w:r>
      <w:r w:rsidR="00D16287" w:rsidRPr="00B57DAB">
        <w:rPr>
          <w:rFonts w:ascii="GHEA Grapalat" w:hAnsi="GHEA Grapalat" w:cs="Sylfaen"/>
          <w:sz w:val="22"/>
          <w:szCs w:val="22"/>
        </w:rPr>
        <w:t>Գրեթե բ</w:t>
      </w:r>
      <w:r w:rsidR="007173F4" w:rsidRPr="00B57DAB">
        <w:rPr>
          <w:rFonts w:ascii="GHEA Grapalat" w:hAnsi="GHEA Grapalat" w:cs="Times Armenian"/>
          <w:sz w:val="22"/>
          <w:szCs w:val="22"/>
        </w:rPr>
        <w:t>ոլոր միջոցառումներում առկա շ</w:t>
      </w:r>
      <w:r w:rsidR="007173F4" w:rsidRPr="00B57DAB">
        <w:rPr>
          <w:rFonts w:ascii="GHEA Grapalat" w:hAnsi="GHEA Grapalat" w:cs="GHEA Grapalat"/>
          <w:sz w:val="22"/>
          <w:szCs w:val="22"/>
          <w:lang w:val="ru-RU"/>
        </w:rPr>
        <w:t>եղում</w:t>
      </w:r>
      <w:r w:rsidR="007173F4" w:rsidRPr="00B57DAB">
        <w:rPr>
          <w:rFonts w:ascii="GHEA Grapalat" w:hAnsi="GHEA Grapalat" w:cs="GHEA Grapalat"/>
          <w:sz w:val="22"/>
          <w:szCs w:val="22"/>
        </w:rPr>
        <w:t>ներ</w:t>
      </w:r>
      <w:r w:rsidR="007173F4" w:rsidRPr="00B57DAB">
        <w:rPr>
          <w:rFonts w:ascii="GHEA Grapalat" w:hAnsi="GHEA Grapalat" w:cs="GHEA Grapalat"/>
          <w:sz w:val="22"/>
          <w:szCs w:val="22"/>
          <w:lang w:val="ru-RU"/>
        </w:rPr>
        <w:t>ը</w:t>
      </w:r>
      <w:r w:rsidR="007173F4" w:rsidRPr="00B57DAB">
        <w:rPr>
          <w:rFonts w:ascii="GHEA Grapalat" w:hAnsi="GHEA Grapalat" w:cs="GHEA Grapalat"/>
          <w:sz w:val="22"/>
          <w:szCs w:val="22"/>
        </w:rPr>
        <w:t xml:space="preserve"> </w:t>
      </w:r>
      <w:r w:rsidR="007173F4" w:rsidRPr="00B57DAB">
        <w:rPr>
          <w:rFonts w:ascii="GHEA Grapalat" w:hAnsi="GHEA Grapalat" w:cs="GHEA Grapalat"/>
          <w:sz w:val="22"/>
          <w:szCs w:val="22"/>
          <w:lang w:val="ru-RU"/>
        </w:rPr>
        <w:t>հիմնականում</w:t>
      </w:r>
      <w:r w:rsidR="007173F4" w:rsidRPr="00B57DAB">
        <w:rPr>
          <w:rFonts w:ascii="GHEA Grapalat" w:hAnsi="GHEA Grapalat" w:cs="GHEA Grapalat"/>
          <w:sz w:val="22"/>
          <w:szCs w:val="22"/>
        </w:rPr>
        <w:t xml:space="preserve"> </w:t>
      </w:r>
      <w:r w:rsidR="007173F4" w:rsidRPr="00B57DAB">
        <w:rPr>
          <w:rFonts w:ascii="GHEA Grapalat" w:hAnsi="GHEA Grapalat" w:cs="GHEA Grapalat"/>
          <w:sz w:val="22"/>
          <w:szCs w:val="22"/>
          <w:lang w:val="ru-RU"/>
        </w:rPr>
        <w:t>պայմանավորված</w:t>
      </w:r>
      <w:r w:rsidR="007173F4" w:rsidRPr="00B57DAB">
        <w:rPr>
          <w:rFonts w:ascii="GHEA Grapalat" w:hAnsi="GHEA Grapalat" w:cs="GHEA Grapalat"/>
          <w:sz w:val="22"/>
          <w:szCs w:val="22"/>
        </w:rPr>
        <w:t xml:space="preserve"> են</w:t>
      </w:r>
      <w:r w:rsidR="007173F4" w:rsidRPr="00B57DAB">
        <w:rPr>
          <w:rFonts w:ascii="GHEA Grapalat" w:hAnsi="GHEA Grapalat" w:cs="Times Armenian"/>
          <w:sz w:val="22"/>
          <w:szCs w:val="22"/>
        </w:rPr>
        <w:t xml:space="preserve"> շարունակական ծախսերի խնայողությամբ և թափուր հաստիքների առկայությամբ:</w:t>
      </w:r>
      <w:r w:rsidR="007173F4" w:rsidRPr="00B57DAB">
        <w:rPr>
          <w:rFonts w:ascii="GHEA Grapalat" w:hAnsi="GHEA Grapalat" w:cs="Sylfaen"/>
          <w:sz w:val="22"/>
          <w:szCs w:val="22"/>
        </w:rPr>
        <w:t xml:space="preserve"> 2021 </w:t>
      </w:r>
      <w:r w:rsidR="007173F4" w:rsidRPr="00B57DAB">
        <w:rPr>
          <w:rFonts w:ascii="GHEA Grapalat" w:hAnsi="GHEA Grapalat" w:cs="Sylfaen"/>
          <w:sz w:val="22"/>
          <w:szCs w:val="22"/>
          <w:lang w:val="ru-RU"/>
        </w:rPr>
        <w:t>թվականի</w:t>
      </w:r>
      <w:r w:rsidR="007173F4" w:rsidRPr="00B57DAB">
        <w:rPr>
          <w:rFonts w:ascii="GHEA Grapalat" w:hAnsi="GHEA Grapalat" w:cs="Sylfaen"/>
          <w:sz w:val="22"/>
          <w:szCs w:val="22"/>
        </w:rPr>
        <w:t xml:space="preserve"> </w:t>
      </w:r>
      <w:r w:rsidR="007173F4" w:rsidRPr="00B57DAB">
        <w:rPr>
          <w:rFonts w:ascii="GHEA Grapalat" w:hAnsi="GHEA Grapalat" w:cs="Sylfaen"/>
          <w:sz w:val="22"/>
          <w:szCs w:val="22"/>
        </w:rPr>
        <w:lastRenderedPageBreak/>
        <w:t xml:space="preserve">նույն ժամանակահատվածի համեմատ Բարձրագույն դատական խորհրդի ծախսերն աճել են </w:t>
      </w:r>
      <w:r w:rsidR="00D16287" w:rsidRPr="00B57DAB">
        <w:rPr>
          <w:rFonts w:ascii="GHEA Grapalat" w:hAnsi="GHEA Grapalat" w:cs="Sylfaen"/>
          <w:sz w:val="22"/>
          <w:szCs w:val="22"/>
        </w:rPr>
        <w:t>7</w:t>
      </w:r>
      <w:r w:rsidR="007173F4" w:rsidRPr="00B57DAB">
        <w:rPr>
          <w:rFonts w:ascii="GHEA Grapalat" w:hAnsi="GHEA Grapalat" w:cs="Times Armenian"/>
          <w:sz w:val="22"/>
          <w:szCs w:val="22"/>
        </w:rPr>
        <w:t>%-ով կամ 136.5 մլն դրամով՝ հիմնականում պայմանավորված դատավորների հաստիքների ավելացման արդյունքում աշխատանքի վարձատրության ծախսերի աճով:</w:t>
      </w:r>
    </w:p>
    <w:p w:rsidR="003F2149" w:rsidRPr="00B57DAB" w:rsidRDefault="003F2149" w:rsidP="003F2149">
      <w:pPr>
        <w:spacing w:line="360" w:lineRule="auto"/>
        <w:ind w:firstLine="561"/>
        <w:jc w:val="both"/>
        <w:rPr>
          <w:rFonts w:ascii="GHEA Grapalat" w:hAnsi="GHEA Grapalat" w:cs="Sylfaen"/>
          <w:sz w:val="22"/>
          <w:szCs w:val="22"/>
          <w:lang w:val="hy-AM"/>
        </w:rPr>
      </w:pPr>
    </w:p>
    <w:p w:rsidR="007173F4" w:rsidRPr="00B57DAB" w:rsidRDefault="003F2149" w:rsidP="007173F4">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Sylfaen"/>
          <w:i/>
          <w:sz w:val="22"/>
          <w:szCs w:val="22"/>
          <w:u w:val="single"/>
          <w:lang w:val="hy-AM"/>
        </w:rPr>
        <w:t xml:space="preserve">ՀՀ </w:t>
      </w:r>
      <w:r w:rsidRPr="00B57DAB">
        <w:rPr>
          <w:rFonts w:ascii="GHEA Grapalat" w:hAnsi="GHEA Grapalat" w:cs="Sylfaen"/>
          <w:i/>
          <w:sz w:val="22"/>
          <w:szCs w:val="22"/>
          <w:u w:val="single"/>
        </w:rPr>
        <w:t>դատախազությանը</w:t>
      </w:r>
      <w:r w:rsidRPr="00B57DAB">
        <w:rPr>
          <w:rFonts w:ascii="GHEA Grapalat" w:hAnsi="GHEA Grapalat" w:cs="Sylfaen"/>
          <w:sz w:val="22"/>
          <w:szCs w:val="22"/>
        </w:rPr>
        <w:t xml:space="preserve"> </w:t>
      </w:r>
      <w:r w:rsidR="007173F4" w:rsidRPr="00B57DAB">
        <w:rPr>
          <w:rFonts w:ascii="GHEA Grapalat" w:hAnsi="GHEA Grapalat" w:cs="GHEA Grapalat"/>
          <w:sz w:val="22"/>
          <w:szCs w:val="22"/>
        </w:rPr>
        <w:t>հաշվետու ժամանակահատվածում տրամադրվել է շուրջ 1.1 մլրդ դրամ՝ ապահովելով ծրագրված ցուցանիշի 86.8%-ը: Հատկացումների հաշվին կատարվել են 2 ծրագրեր՝</w:t>
      </w:r>
      <w:r w:rsidR="007173F4" w:rsidRPr="00B57DAB">
        <w:rPr>
          <w:rFonts w:ascii="GHEA Grapalat" w:hAnsi="GHEA Grapalat" w:cs="GHEA Grapalat"/>
          <w:i/>
          <w:sz w:val="22"/>
          <w:szCs w:val="22"/>
        </w:rPr>
        <w:t xml:space="preserve"> «Փորձաքննության ծառայություններ» և</w:t>
      </w:r>
      <w:r w:rsidR="007173F4" w:rsidRPr="00B57DAB">
        <w:rPr>
          <w:rFonts w:ascii="GHEA Grapalat" w:hAnsi="GHEA Grapalat"/>
          <w:i/>
        </w:rPr>
        <w:t xml:space="preserve"> </w:t>
      </w:r>
      <w:r w:rsidR="007173F4" w:rsidRPr="00B57DAB">
        <w:rPr>
          <w:rFonts w:ascii="GHEA Grapalat" w:hAnsi="GHEA Grapalat" w:cs="Arial"/>
          <w:i/>
          <w:sz w:val="22"/>
          <w:szCs w:val="22"/>
        </w:rPr>
        <w:t>«Դ</w:t>
      </w:r>
      <w:r w:rsidR="007173F4" w:rsidRPr="00B57DAB">
        <w:rPr>
          <w:rFonts w:ascii="GHEA Grapalat" w:hAnsi="GHEA Grapalat" w:cs="GHEA Grapalat"/>
          <w:i/>
          <w:sz w:val="22"/>
          <w:szCs w:val="22"/>
        </w:rPr>
        <w:t>ատավարական ղեկավարում և դատախազական հսկողություն»:</w:t>
      </w:r>
      <w:r w:rsidR="007173F4" w:rsidRPr="00B57DAB">
        <w:rPr>
          <w:rFonts w:ascii="GHEA Grapalat" w:hAnsi="GHEA Grapalat" w:cs="GHEA Grapalat"/>
          <w:sz w:val="22"/>
          <w:szCs w:val="22"/>
        </w:rPr>
        <w:t xml:space="preserve"> Միջոցների գերակշիռ մասը՝ 972.2 մլն դրամը, տրամադրվել է Դատական ղեկավարման և դատախազական հսկողության ծրագրին, որը կատարվել է 91.2%-ով: Նախորդ տարվա առաջին եռամսյակի համեմատ </w:t>
      </w:r>
      <w:r w:rsidR="00017132" w:rsidRPr="00B57DAB">
        <w:rPr>
          <w:rFonts w:ascii="GHEA Grapalat" w:hAnsi="GHEA Grapalat" w:cs="GHEA Grapalat"/>
          <w:sz w:val="22"/>
          <w:szCs w:val="22"/>
        </w:rPr>
        <w:t>ՀՀ դ</w:t>
      </w:r>
      <w:r w:rsidR="007173F4" w:rsidRPr="00B57DAB">
        <w:rPr>
          <w:rFonts w:ascii="GHEA Grapalat" w:hAnsi="GHEA Grapalat" w:cs="GHEA Grapalat"/>
          <w:sz w:val="22"/>
          <w:szCs w:val="22"/>
        </w:rPr>
        <w:t>ատախազության ծախսերն աճել են 18.2%</w:t>
      </w:r>
      <w:r w:rsidR="007173F4" w:rsidRPr="00B57DAB">
        <w:rPr>
          <w:rFonts w:ascii="GHEA Grapalat" w:hAnsi="GHEA Grapalat" w:cs="GHEA Grapalat"/>
          <w:sz w:val="22"/>
          <w:szCs w:val="22"/>
        </w:rPr>
        <w:noBreakHyphen/>
        <w:t>ով կամ 167.4 մլն դրամով՝</w:t>
      </w:r>
      <w:r w:rsidR="00017132" w:rsidRPr="00B57DAB">
        <w:rPr>
          <w:rFonts w:ascii="GHEA Grapalat" w:hAnsi="GHEA Grapalat" w:cs="GHEA Grapalat"/>
          <w:sz w:val="22"/>
          <w:szCs w:val="22"/>
        </w:rPr>
        <w:t xml:space="preserve"> հիմնականում</w:t>
      </w:r>
      <w:r w:rsidR="007173F4" w:rsidRPr="00B57DAB">
        <w:rPr>
          <w:rFonts w:ascii="GHEA Grapalat" w:hAnsi="GHEA Grapalat" w:cs="GHEA Grapalat"/>
          <w:sz w:val="22"/>
          <w:szCs w:val="22"/>
        </w:rPr>
        <w:t xml:space="preserve"> պայմանավորված Քրեական հետապնդման, դատավարական ղեկավարման և դատախազական հսկողության ծառայությունների տրամադրման ծախսերի 10.1% (88.9 մլն դրամ) և Փորձաքննության ծառայություններ տրամադրման ծախսերի՝ 227.9% (</w:t>
      </w:r>
      <w:r w:rsidR="00017132" w:rsidRPr="00B57DAB">
        <w:rPr>
          <w:rFonts w:ascii="GHEA Grapalat" w:hAnsi="GHEA Grapalat" w:cs="GHEA Grapalat"/>
          <w:sz w:val="22"/>
          <w:szCs w:val="22"/>
        </w:rPr>
        <w:t>79.7</w:t>
      </w:r>
      <w:r w:rsidR="007173F4" w:rsidRPr="00B57DAB">
        <w:rPr>
          <w:rFonts w:ascii="GHEA Grapalat" w:hAnsi="GHEA Grapalat" w:cs="GHEA Grapalat"/>
          <w:sz w:val="22"/>
          <w:szCs w:val="22"/>
        </w:rPr>
        <w:t xml:space="preserve"> մլն դրամ)</w:t>
      </w:r>
      <w:r w:rsidR="0093157E" w:rsidRPr="00B57DAB">
        <w:rPr>
          <w:rFonts w:ascii="GHEA Grapalat" w:hAnsi="GHEA Grapalat" w:cs="GHEA Grapalat"/>
          <w:sz w:val="22"/>
          <w:szCs w:val="22"/>
        </w:rPr>
        <w:t xml:space="preserve"> </w:t>
      </w:r>
      <w:r w:rsidR="00017132" w:rsidRPr="00B57DAB">
        <w:rPr>
          <w:rFonts w:ascii="GHEA Grapalat" w:hAnsi="GHEA Grapalat" w:cs="GHEA Grapalat"/>
          <w:sz w:val="22"/>
          <w:szCs w:val="22"/>
        </w:rPr>
        <w:t>աճով:</w:t>
      </w:r>
    </w:p>
    <w:p w:rsidR="003F2149" w:rsidRPr="00B57DAB" w:rsidRDefault="003F2149" w:rsidP="003F2149">
      <w:pPr>
        <w:spacing w:line="360" w:lineRule="auto"/>
        <w:ind w:firstLine="561"/>
        <w:jc w:val="both"/>
        <w:rPr>
          <w:rFonts w:ascii="GHEA Grapalat" w:hAnsi="GHEA Grapalat" w:cs="Times Armenian"/>
          <w:sz w:val="22"/>
          <w:szCs w:val="22"/>
        </w:rPr>
      </w:pPr>
    </w:p>
    <w:p w:rsidR="003F2149" w:rsidRPr="00B57DAB" w:rsidRDefault="003F2149" w:rsidP="003F2149">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i/>
          <w:sz w:val="22"/>
          <w:szCs w:val="22"/>
          <w:u w:val="single"/>
        </w:rPr>
        <w:t>ՀՀ տարածքային կառավարման և ենթակառուցվածքների նախարարությ</w:t>
      </w:r>
      <w:r w:rsidRPr="00B57DAB">
        <w:rPr>
          <w:rFonts w:ascii="GHEA Grapalat" w:hAnsi="GHEA Grapalat" w:cs="GHEA Grapalat"/>
          <w:i/>
          <w:sz w:val="22"/>
          <w:szCs w:val="22"/>
          <w:u w:val="single"/>
          <w:lang w:val="ru-RU"/>
        </w:rPr>
        <w:t>ա</w:t>
      </w:r>
      <w:r w:rsidRPr="00B57DAB">
        <w:rPr>
          <w:rFonts w:ascii="GHEA Grapalat" w:hAnsi="GHEA Grapalat" w:cs="GHEA Grapalat"/>
          <w:i/>
          <w:sz w:val="22"/>
          <w:szCs w:val="22"/>
          <w:u w:val="single"/>
        </w:rPr>
        <w:t>ն</w:t>
      </w:r>
      <w:r w:rsidRPr="00B57DAB">
        <w:rPr>
          <w:rFonts w:ascii="GHEA Grapalat" w:hAnsi="GHEA Grapalat" w:cs="GHEA Grapalat"/>
          <w:sz w:val="22"/>
          <w:szCs w:val="22"/>
        </w:rPr>
        <w:t xml:space="preserve"> պատասխանա-տվությամբ 2022 թվականի առաջին եռամսյակի ընթացքում կատարվել է պետական բյուջեի 18 ծրագիր՝ նախատեսված 20-ի փոխարեն, որոնց գծով ծախսերը կազմել են 26.2 մլրդ դրամ կամ ծրագրված ցուցանիշի 51.4%</w:t>
      </w:r>
      <w:r w:rsidRPr="00B57DAB">
        <w:rPr>
          <w:rFonts w:ascii="GHEA Grapalat" w:hAnsi="GHEA Grapalat" w:cs="GHEA Grapalat"/>
          <w:sz w:val="22"/>
          <w:szCs w:val="22"/>
        </w:rPr>
        <w:noBreakHyphen/>
        <w:t>ը: Ծրագրից շեղումը հիմնականում պայմանավորված է Ճանապարհային ցանցի բարելավման, Քաղաքային զարգացման, Տարածքային զարգացման, Ոռոգման համակարգի առողջացման և Պետական գույքի կառավարման ծրագրերի կատարողականով: 2021 թվականի նույն ժամանակահատվածի համեմատ ծախսերի նվազումը հիմնականում պայմանավորված է Պետական գույքի կառավարման,</w:t>
      </w:r>
      <w:r w:rsidR="004A782A" w:rsidRPr="00B57DAB">
        <w:rPr>
          <w:rFonts w:ascii="GHEA Grapalat" w:hAnsi="GHEA Grapalat" w:cs="GHEA Grapalat"/>
          <w:sz w:val="22"/>
          <w:szCs w:val="22"/>
        </w:rPr>
        <w:t xml:space="preserve"> </w:t>
      </w:r>
      <w:r w:rsidRPr="00B57DAB">
        <w:rPr>
          <w:rFonts w:ascii="GHEA Grapalat" w:hAnsi="GHEA Grapalat" w:cs="GHEA Grapalat"/>
          <w:sz w:val="22"/>
          <w:szCs w:val="22"/>
        </w:rPr>
        <w:t xml:space="preserve">Քաղաքային զարգացման </w:t>
      </w:r>
      <w:r w:rsidR="00D713F7" w:rsidRPr="00B57DAB">
        <w:rPr>
          <w:rFonts w:ascii="GHEA Grapalat" w:hAnsi="GHEA Grapalat" w:cs="GHEA Grapalat"/>
          <w:sz w:val="22"/>
          <w:szCs w:val="22"/>
        </w:rPr>
        <w:t xml:space="preserve">ու </w:t>
      </w:r>
      <w:r w:rsidRPr="00B57DAB">
        <w:rPr>
          <w:rFonts w:ascii="GHEA Grapalat" w:hAnsi="GHEA Grapalat" w:cs="GHEA Grapalat"/>
          <w:sz w:val="22"/>
          <w:szCs w:val="22"/>
        </w:rPr>
        <w:t xml:space="preserve">Ջրամատակարարաման և ջրահեռացման բարելավման ծրագրերի </w:t>
      </w:r>
      <w:r w:rsidR="00D713F7" w:rsidRPr="00B57DAB">
        <w:rPr>
          <w:rFonts w:ascii="GHEA Grapalat" w:hAnsi="GHEA Grapalat" w:cs="GHEA Grapalat"/>
          <w:sz w:val="22"/>
          <w:szCs w:val="22"/>
        </w:rPr>
        <w:t>շրջանակներում ատարված ծախսերի նվազմամբ</w:t>
      </w:r>
      <w:r w:rsidRPr="00B57DAB">
        <w:rPr>
          <w:rFonts w:ascii="GHEA Grapalat" w:hAnsi="GHEA Grapalat" w:cs="GHEA Grapalat"/>
          <w:sz w:val="22"/>
          <w:szCs w:val="22"/>
        </w:rPr>
        <w:t>: Միաժամանակ</w:t>
      </w:r>
      <w:r w:rsidR="00D713F7" w:rsidRPr="00B57DAB">
        <w:rPr>
          <w:rFonts w:ascii="GHEA Grapalat" w:hAnsi="GHEA Grapalat" w:cs="GHEA Grapalat"/>
          <w:sz w:val="22"/>
          <w:szCs w:val="22"/>
        </w:rPr>
        <w:t xml:space="preserve"> նախարարության ընդհանուր ծախսերի վրա</w:t>
      </w:r>
      <w:r w:rsidRPr="00B57DAB">
        <w:rPr>
          <w:rFonts w:ascii="GHEA Grapalat" w:hAnsi="GHEA Grapalat" w:cs="GHEA Grapalat"/>
          <w:sz w:val="22"/>
          <w:szCs w:val="22"/>
        </w:rPr>
        <w:t xml:space="preserve"> </w:t>
      </w:r>
      <w:r w:rsidR="00D713F7" w:rsidRPr="00B57DAB">
        <w:rPr>
          <w:rFonts w:ascii="GHEA Grapalat" w:hAnsi="GHEA Grapalat" w:cs="GHEA Grapalat"/>
          <w:sz w:val="22"/>
          <w:szCs w:val="22"/>
        </w:rPr>
        <w:t>նշված ծրագրերի գծով ծախսերի անկման ազդեցությունը</w:t>
      </w:r>
      <w:r w:rsidR="00F676A4" w:rsidRPr="00B57DAB">
        <w:rPr>
          <w:rFonts w:ascii="GHEA Grapalat" w:hAnsi="GHEA Grapalat" w:cs="GHEA Grapalat"/>
          <w:sz w:val="22"/>
          <w:szCs w:val="22"/>
        </w:rPr>
        <w:t xml:space="preserve"> հիմնականում</w:t>
      </w:r>
      <w:r w:rsidR="00D713F7" w:rsidRPr="00B57DAB">
        <w:rPr>
          <w:rFonts w:ascii="GHEA Grapalat" w:hAnsi="GHEA Grapalat" w:cs="GHEA Grapalat"/>
          <w:sz w:val="22"/>
          <w:szCs w:val="22"/>
        </w:rPr>
        <w:t xml:space="preserve"> մեղմվել է</w:t>
      </w:r>
      <w:r w:rsidRPr="00B57DAB">
        <w:rPr>
          <w:rFonts w:ascii="GHEA Grapalat" w:hAnsi="GHEA Grapalat" w:cs="GHEA Grapalat"/>
          <w:sz w:val="22"/>
          <w:szCs w:val="22"/>
        </w:rPr>
        <w:t xml:space="preserve"> Ճանապարհային ցանցի բարելավման, Տարածքային զարգացման և Ոռոգման համակարգի առողջացման ծրագրերի շրջանակներում կատարված ծախսերի աճ</w:t>
      </w:r>
      <w:r w:rsidR="00D713F7" w:rsidRPr="00B57DAB">
        <w:rPr>
          <w:rFonts w:ascii="GHEA Grapalat" w:hAnsi="GHEA Grapalat" w:cs="GHEA Grapalat"/>
          <w:sz w:val="22"/>
          <w:szCs w:val="22"/>
        </w:rPr>
        <w:t>ի հաշվին</w:t>
      </w:r>
      <w:r w:rsidRPr="00B57DAB">
        <w:rPr>
          <w:rFonts w:ascii="GHEA Grapalat" w:hAnsi="GHEA Grapalat" w:cs="GHEA Grapalat"/>
          <w:sz w:val="22"/>
          <w:szCs w:val="22"/>
        </w:rPr>
        <w:t xml:space="preserve">: </w:t>
      </w:r>
    </w:p>
    <w:p w:rsidR="003F2149" w:rsidRDefault="003F2149" w:rsidP="003F2149">
      <w:pPr>
        <w:autoSpaceDE w:val="0"/>
        <w:autoSpaceDN w:val="0"/>
        <w:adjustRightInd w:val="0"/>
        <w:spacing w:line="360" w:lineRule="auto"/>
        <w:ind w:firstLine="567"/>
        <w:jc w:val="both"/>
        <w:rPr>
          <w:rFonts w:ascii="GHEA Grapalat" w:hAnsi="GHEA Grapalat" w:cs="GHEA Grapalat"/>
          <w:sz w:val="22"/>
          <w:szCs w:val="22"/>
        </w:rPr>
      </w:pPr>
    </w:p>
    <w:p w:rsidR="00D06624" w:rsidRDefault="00D06624" w:rsidP="003F2149">
      <w:pPr>
        <w:autoSpaceDE w:val="0"/>
        <w:autoSpaceDN w:val="0"/>
        <w:adjustRightInd w:val="0"/>
        <w:spacing w:line="360" w:lineRule="auto"/>
        <w:ind w:firstLine="567"/>
        <w:jc w:val="both"/>
        <w:rPr>
          <w:rFonts w:ascii="GHEA Grapalat" w:hAnsi="GHEA Grapalat" w:cs="GHEA Grapalat"/>
          <w:sz w:val="22"/>
          <w:szCs w:val="22"/>
        </w:rPr>
      </w:pPr>
    </w:p>
    <w:p w:rsidR="00D06624" w:rsidRPr="00B57DAB" w:rsidRDefault="00D06624" w:rsidP="003F2149">
      <w:pPr>
        <w:autoSpaceDE w:val="0"/>
        <w:autoSpaceDN w:val="0"/>
        <w:adjustRightInd w:val="0"/>
        <w:spacing w:line="360" w:lineRule="auto"/>
        <w:ind w:firstLine="567"/>
        <w:jc w:val="both"/>
        <w:rPr>
          <w:rFonts w:ascii="GHEA Grapalat" w:hAnsi="GHEA Grapalat" w:cs="GHEA Grapalat"/>
          <w:sz w:val="22"/>
          <w:szCs w:val="22"/>
        </w:rPr>
      </w:pPr>
    </w:p>
    <w:p w:rsidR="003F2149" w:rsidRPr="00B57DAB" w:rsidRDefault="003F2149" w:rsidP="00770F24">
      <w:pPr>
        <w:pStyle w:val="Caption"/>
        <w:keepNext/>
        <w:numPr>
          <w:ilvl w:val="0"/>
          <w:numId w:val="8"/>
        </w:numPr>
        <w:tabs>
          <w:tab w:val="left" w:pos="1276"/>
        </w:tabs>
        <w:ind w:left="0" w:firstLine="0"/>
        <w:jc w:val="left"/>
        <w:rPr>
          <w:rFonts w:ascii="GHEA Grapalat" w:hAnsi="GHEA Grapalat"/>
          <w:i/>
          <w:sz w:val="18"/>
          <w:szCs w:val="18"/>
          <w:lang w:val="en-US"/>
        </w:rPr>
      </w:pPr>
      <w:r w:rsidRPr="00B57DAB">
        <w:rPr>
          <w:rFonts w:ascii="GHEA Grapalat" w:hAnsi="GHEA Grapalat"/>
          <w:i/>
          <w:sz w:val="18"/>
          <w:szCs w:val="18"/>
          <w:lang w:val="en-US"/>
        </w:rPr>
        <w:lastRenderedPageBreak/>
        <w:t>2022թ. առաջին եռամսյակում ՀՀ տարածքային կառավարման և ենթակառուցվածքների նախարարության կողմից իրականացված ծրագրերը (մլն դրամ)</w:t>
      </w:r>
    </w:p>
    <w:p w:rsidR="003F2149" w:rsidRPr="00B57DAB" w:rsidRDefault="003F2149" w:rsidP="003F2149">
      <w:pPr>
        <w:autoSpaceDE w:val="0"/>
        <w:autoSpaceDN w:val="0"/>
        <w:adjustRightInd w:val="0"/>
        <w:ind w:firstLine="567"/>
        <w:jc w:val="both"/>
        <w:rPr>
          <w:rFonts w:ascii="GHEA Grapalat" w:hAnsi="GHEA Grapalat" w:cs="GHEA Grapalat"/>
          <w:b/>
          <w:bCs/>
          <w:iCs/>
          <w:sz w:val="18"/>
          <w:szCs w:val="18"/>
        </w:rPr>
      </w:pPr>
    </w:p>
    <w:tbl>
      <w:tblPr>
        <w:tblW w:w="10202" w:type="dxa"/>
        <w:jc w:val="center"/>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1096"/>
        <w:gridCol w:w="1084"/>
        <w:gridCol w:w="1195"/>
        <w:gridCol w:w="1203"/>
        <w:gridCol w:w="1203"/>
        <w:gridCol w:w="1295"/>
      </w:tblGrid>
      <w:tr w:rsidR="0024223B" w:rsidRPr="00B57DAB" w:rsidTr="00D713F7">
        <w:trPr>
          <w:trHeight w:val="300"/>
          <w:jc w:val="center"/>
        </w:trPr>
        <w:tc>
          <w:tcPr>
            <w:tcW w:w="3126" w:type="dxa"/>
            <w:shd w:val="clear" w:color="auto" w:fill="auto"/>
            <w:noWrap/>
            <w:vAlign w:val="bottom"/>
            <w:hideMark/>
          </w:tcPr>
          <w:p w:rsidR="0024223B" w:rsidRPr="00B57DAB" w:rsidRDefault="0024223B" w:rsidP="004A782A">
            <w:pPr>
              <w:rPr>
                <w:rFonts w:ascii="GHEA Grapalat" w:hAnsi="GHEA Grapalat" w:cs="Calibri"/>
                <w:color w:val="000000"/>
                <w:sz w:val="18"/>
                <w:szCs w:val="18"/>
              </w:rPr>
            </w:pPr>
          </w:p>
        </w:tc>
        <w:tc>
          <w:tcPr>
            <w:tcW w:w="1096" w:type="dxa"/>
          </w:tcPr>
          <w:p w:rsidR="0024223B" w:rsidRPr="00B57DAB" w:rsidRDefault="0024223B" w:rsidP="0019574B">
            <w:pPr>
              <w:jc w:val="center"/>
              <w:rPr>
                <w:rFonts w:ascii="GHEA Grapalat" w:hAnsi="GHEA Grapalat" w:cs="Calibri"/>
                <w:b/>
                <w:bCs/>
                <w:sz w:val="18"/>
                <w:szCs w:val="18"/>
                <w:lang w:val="hy-AM"/>
              </w:rPr>
            </w:pPr>
            <w:r w:rsidRPr="00B57DAB">
              <w:rPr>
                <w:rFonts w:ascii="GHEA Grapalat" w:hAnsi="GHEA Grapalat" w:cs="Calibri"/>
                <w:b/>
                <w:bCs/>
                <w:sz w:val="18"/>
                <w:szCs w:val="18"/>
              </w:rPr>
              <w:t>2021թ. առաջին եռամս-յակի փաստ</w:t>
            </w:r>
          </w:p>
        </w:tc>
        <w:tc>
          <w:tcPr>
            <w:tcW w:w="1084" w:type="dxa"/>
          </w:tcPr>
          <w:p w:rsidR="0024223B" w:rsidRPr="00B57DAB" w:rsidRDefault="0024223B" w:rsidP="0019574B">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 ճշտված պլան</w:t>
            </w:r>
          </w:p>
        </w:tc>
        <w:tc>
          <w:tcPr>
            <w:tcW w:w="1195" w:type="dxa"/>
            <w:shd w:val="clear" w:color="auto" w:fill="auto"/>
            <w:noWrap/>
            <w:hideMark/>
          </w:tcPr>
          <w:p w:rsidR="0024223B" w:rsidRPr="00B57DAB" w:rsidRDefault="0024223B" w:rsidP="0019574B">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 փաստ</w:t>
            </w:r>
          </w:p>
        </w:tc>
        <w:tc>
          <w:tcPr>
            <w:tcW w:w="1203" w:type="dxa"/>
          </w:tcPr>
          <w:p w:rsidR="0024223B" w:rsidRPr="00B57DAB" w:rsidRDefault="0024223B" w:rsidP="0019574B">
            <w:pPr>
              <w:jc w:val="center"/>
              <w:rPr>
                <w:rFonts w:ascii="GHEA Grapalat" w:hAnsi="GHEA Grapalat" w:cs="Calibri"/>
                <w:b/>
                <w:bCs/>
                <w:sz w:val="18"/>
                <w:szCs w:val="18"/>
              </w:rPr>
            </w:pPr>
            <w:r w:rsidRPr="00B57DAB">
              <w:rPr>
                <w:rFonts w:ascii="GHEA Grapalat" w:hAnsi="GHEA Grapalat" w:cs="Calibri"/>
                <w:b/>
                <w:bCs/>
                <w:sz w:val="18"/>
                <w:szCs w:val="18"/>
                <w:lang w:val="hy-AM"/>
              </w:rPr>
              <w:t>Կատարո-ղական</w:t>
            </w:r>
            <w:r w:rsidRPr="00B57DAB">
              <w:rPr>
                <w:rFonts w:ascii="GHEA Grapalat" w:hAnsi="GHEA Grapalat" w:cs="Calibri"/>
                <w:b/>
                <w:bCs/>
                <w:sz w:val="18"/>
                <w:szCs w:val="18"/>
              </w:rPr>
              <w:t>ն առաջին եռամսյակի</w:t>
            </w:r>
            <w:r w:rsidRPr="00B57DAB">
              <w:rPr>
                <w:rFonts w:ascii="GHEA Grapalat" w:hAnsi="GHEA Grapalat" w:cs="Calibri"/>
                <w:b/>
                <w:bCs/>
                <w:sz w:val="18"/>
                <w:szCs w:val="18"/>
                <w:lang w:val="hy-AM"/>
              </w:rPr>
              <w:t xml:space="preserve"> ճշտված պլանի նկատմամբ</w:t>
            </w:r>
            <w:r w:rsidRPr="00B57DAB">
              <w:rPr>
                <w:rFonts w:ascii="GHEA Grapalat" w:hAnsi="GHEA Grapalat" w:cs="Calibri"/>
                <w:b/>
                <w:bCs/>
                <w:sz w:val="18"/>
                <w:szCs w:val="18"/>
              </w:rPr>
              <w:t xml:space="preserve"> (%)</w:t>
            </w:r>
          </w:p>
        </w:tc>
        <w:tc>
          <w:tcPr>
            <w:tcW w:w="1203" w:type="dxa"/>
          </w:tcPr>
          <w:p w:rsidR="0024223B" w:rsidRPr="00B57DAB" w:rsidRDefault="0024223B" w:rsidP="0019574B">
            <w:pPr>
              <w:jc w:val="center"/>
              <w:rPr>
                <w:rFonts w:ascii="GHEA Grapalat" w:hAnsi="GHEA Grapalat" w:cs="Calibri"/>
                <w:b/>
                <w:bCs/>
                <w:sz w:val="18"/>
                <w:szCs w:val="18"/>
              </w:rPr>
            </w:pPr>
            <w:r w:rsidRPr="00B57DAB">
              <w:rPr>
                <w:rFonts w:ascii="GHEA Grapalat" w:hAnsi="GHEA Grapalat" w:cs="Calibri"/>
                <w:b/>
                <w:bCs/>
                <w:sz w:val="18"/>
                <w:szCs w:val="18"/>
              </w:rPr>
              <w:t xml:space="preserve">2022թ. առաջին եռամսյակը 2021թ. </w:t>
            </w:r>
            <w:proofErr w:type="gramStart"/>
            <w:r w:rsidRPr="00B57DAB">
              <w:rPr>
                <w:rFonts w:ascii="GHEA Grapalat" w:hAnsi="GHEA Grapalat" w:cs="Calibri"/>
                <w:b/>
                <w:bCs/>
                <w:sz w:val="18"/>
                <w:szCs w:val="18"/>
              </w:rPr>
              <w:t>առաջին</w:t>
            </w:r>
            <w:proofErr w:type="gramEnd"/>
            <w:r w:rsidRPr="00B57DAB">
              <w:rPr>
                <w:rFonts w:ascii="GHEA Grapalat" w:hAnsi="GHEA Grapalat" w:cs="Calibri"/>
                <w:b/>
                <w:bCs/>
                <w:sz w:val="18"/>
                <w:szCs w:val="18"/>
              </w:rPr>
              <w:t xml:space="preserve"> եռամսյակի նկատմամբ (%)</w:t>
            </w:r>
          </w:p>
        </w:tc>
        <w:tc>
          <w:tcPr>
            <w:tcW w:w="1295" w:type="dxa"/>
          </w:tcPr>
          <w:p w:rsidR="0024223B" w:rsidRPr="00B57DAB" w:rsidRDefault="0024223B" w:rsidP="004A782A">
            <w:pPr>
              <w:jc w:val="center"/>
              <w:rPr>
                <w:rFonts w:ascii="GHEA Grapalat" w:hAnsi="GHEA Grapalat" w:cs="Calibri"/>
                <w:b/>
                <w:color w:val="000000"/>
                <w:sz w:val="18"/>
                <w:szCs w:val="18"/>
              </w:rPr>
            </w:pPr>
            <w:r w:rsidRPr="00B57DAB">
              <w:rPr>
                <w:rFonts w:ascii="GHEA Grapalat" w:hAnsi="GHEA Grapalat" w:cs="Calibri"/>
                <w:b/>
                <w:color w:val="000000"/>
                <w:sz w:val="18"/>
                <w:szCs w:val="18"/>
              </w:rPr>
              <w:t>2022թ. և 2021թ. տարբե-րությունը</w:t>
            </w:r>
          </w:p>
        </w:tc>
      </w:tr>
      <w:tr w:rsidR="003F2149" w:rsidRPr="00B57DAB" w:rsidTr="00D713F7">
        <w:trPr>
          <w:trHeight w:val="331"/>
          <w:jc w:val="center"/>
        </w:trPr>
        <w:tc>
          <w:tcPr>
            <w:tcW w:w="3126" w:type="dxa"/>
            <w:shd w:val="clear" w:color="auto" w:fill="auto"/>
          </w:tcPr>
          <w:p w:rsidR="003F2149" w:rsidRPr="00B57DAB" w:rsidRDefault="003F2149" w:rsidP="004A782A">
            <w:pPr>
              <w:rPr>
                <w:rFonts w:ascii="GHEA Grapalat" w:hAnsi="GHEA Grapalat" w:cs="Calibri"/>
                <w:b/>
                <w:color w:val="000000"/>
                <w:sz w:val="18"/>
                <w:szCs w:val="18"/>
              </w:rPr>
            </w:pPr>
            <w:r w:rsidRPr="00B57DAB">
              <w:rPr>
                <w:rFonts w:ascii="GHEA Grapalat" w:hAnsi="GHEA Grapalat" w:cs="Calibri"/>
                <w:b/>
                <w:color w:val="000000"/>
                <w:sz w:val="18"/>
                <w:szCs w:val="18"/>
              </w:rPr>
              <w:t>ԸՆԴԱՄԵՆԸ</w:t>
            </w:r>
          </w:p>
        </w:tc>
        <w:tc>
          <w:tcPr>
            <w:tcW w:w="1096" w:type="dxa"/>
          </w:tcPr>
          <w:p w:rsidR="003F2149" w:rsidRPr="00B57DAB" w:rsidRDefault="003F2149" w:rsidP="004A782A">
            <w:pPr>
              <w:jc w:val="right"/>
              <w:rPr>
                <w:rFonts w:ascii="GHEA Grapalat" w:hAnsi="GHEA Grapalat" w:cs="Calibri"/>
                <w:b/>
                <w:color w:val="000000"/>
                <w:sz w:val="18"/>
                <w:szCs w:val="18"/>
              </w:rPr>
            </w:pPr>
            <w:r w:rsidRPr="00B57DAB">
              <w:rPr>
                <w:rFonts w:ascii="GHEA Grapalat" w:hAnsi="GHEA Grapalat" w:cs="Calibri"/>
                <w:b/>
                <w:color w:val="000000"/>
                <w:sz w:val="18"/>
                <w:szCs w:val="18"/>
              </w:rPr>
              <w:t>26,843.5</w:t>
            </w:r>
          </w:p>
        </w:tc>
        <w:tc>
          <w:tcPr>
            <w:tcW w:w="1084" w:type="dxa"/>
          </w:tcPr>
          <w:p w:rsidR="003F2149" w:rsidRPr="00B57DAB" w:rsidRDefault="003F2149" w:rsidP="004A782A">
            <w:pPr>
              <w:jc w:val="right"/>
              <w:rPr>
                <w:rFonts w:ascii="GHEA Grapalat" w:hAnsi="GHEA Grapalat" w:cs="Calibri"/>
                <w:b/>
                <w:color w:val="000000"/>
                <w:sz w:val="18"/>
                <w:szCs w:val="18"/>
              </w:rPr>
            </w:pPr>
            <w:r w:rsidRPr="00B57DAB">
              <w:rPr>
                <w:rFonts w:ascii="GHEA Grapalat" w:hAnsi="GHEA Grapalat" w:cs="Calibri"/>
                <w:b/>
                <w:color w:val="000000"/>
                <w:sz w:val="18"/>
                <w:szCs w:val="18"/>
              </w:rPr>
              <w:t>50,989.6</w:t>
            </w:r>
          </w:p>
        </w:tc>
        <w:tc>
          <w:tcPr>
            <w:tcW w:w="1195" w:type="dxa"/>
            <w:shd w:val="clear" w:color="auto" w:fill="auto"/>
          </w:tcPr>
          <w:p w:rsidR="003F2149" w:rsidRPr="00B57DAB" w:rsidRDefault="003F2149" w:rsidP="004A782A">
            <w:pPr>
              <w:jc w:val="right"/>
              <w:rPr>
                <w:rFonts w:ascii="GHEA Grapalat" w:hAnsi="GHEA Grapalat" w:cs="Calibri"/>
                <w:b/>
                <w:color w:val="000000"/>
                <w:sz w:val="18"/>
                <w:szCs w:val="18"/>
              </w:rPr>
            </w:pPr>
            <w:r w:rsidRPr="00B57DAB">
              <w:rPr>
                <w:rFonts w:ascii="GHEA Grapalat" w:hAnsi="GHEA Grapalat" w:cs="Calibri"/>
                <w:b/>
                <w:color w:val="000000"/>
                <w:sz w:val="18"/>
                <w:szCs w:val="18"/>
              </w:rPr>
              <w:t>26,207.6</w:t>
            </w:r>
          </w:p>
        </w:tc>
        <w:tc>
          <w:tcPr>
            <w:tcW w:w="1203" w:type="dxa"/>
          </w:tcPr>
          <w:p w:rsidR="003F2149" w:rsidRPr="00B57DAB" w:rsidRDefault="003F2149" w:rsidP="004A782A">
            <w:pPr>
              <w:jc w:val="right"/>
              <w:rPr>
                <w:rFonts w:ascii="GHEA Grapalat" w:hAnsi="GHEA Grapalat" w:cs="Calibri"/>
                <w:b/>
                <w:color w:val="000000"/>
                <w:sz w:val="18"/>
                <w:szCs w:val="18"/>
              </w:rPr>
            </w:pPr>
            <w:r w:rsidRPr="00B57DAB">
              <w:rPr>
                <w:rFonts w:ascii="GHEA Grapalat" w:hAnsi="GHEA Grapalat" w:cs="Calibri"/>
                <w:b/>
                <w:color w:val="000000"/>
                <w:sz w:val="18"/>
                <w:szCs w:val="18"/>
              </w:rPr>
              <w:t>51.4</w:t>
            </w:r>
          </w:p>
        </w:tc>
        <w:tc>
          <w:tcPr>
            <w:tcW w:w="1203" w:type="dxa"/>
          </w:tcPr>
          <w:p w:rsidR="003F2149" w:rsidRPr="00B57DAB" w:rsidRDefault="003F2149" w:rsidP="004A782A">
            <w:pPr>
              <w:jc w:val="right"/>
              <w:rPr>
                <w:rFonts w:ascii="GHEA Grapalat" w:hAnsi="GHEA Grapalat" w:cs="Calibri"/>
                <w:b/>
                <w:color w:val="000000"/>
                <w:sz w:val="18"/>
                <w:szCs w:val="18"/>
              </w:rPr>
            </w:pPr>
            <w:r w:rsidRPr="00B57DAB">
              <w:rPr>
                <w:rFonts w:ascii="GHEA Grapalat" w:hAnsi="GHEA Grapalat" w:cs="Calibri"/>
                <w:b/>
                <w:color w:val="000000"/>
                <w:sz w:val="18"/>
                <w:szCs w:val="18"/>
              </w:rPr>
              <w:t>97.6</w:t>
            </w:r>
          </w:p>
        </w:tc>
        <w:tc>
          <w:tcPr>
            <w:tcW w:w="1295" w:type="dxa"/>
          </w:tcPr>
          <w:p w:rsidR="003F2149" w:rsidRPr="00B57DAB" w:rsidRDefault="003F2149" w:rsidP="004A782A">
            <w:pPr>
              <w:jc w:val="right"/>
              <w:rPr>
                <w:rFonts w:ascii="GHEA Grapalat" w:hAnsi="GHEA Grapalat" w:cs="Calibri"/>
                <w:b/>
                <w:color w:val="000000"/>
                <w:sz w:val="18"/>
                <w:szCs w:val="18"/>
              </w:rPr>
            </w:pPr>
            <w:r w:rsidRPr="00B57DAB">
              <w:rPr>
                <w:rFonts w:ascii="GHEA Grapalat" w:hAnsi="GHEA Grapalat" w:cs="Calibri"/>
                <w:b/>
                <w:color w:val="000000"/>
                <w:sz w:val="18"/>
                <w:szCs w:val="18"/>
              </w:rPr>
              <w:t>(635.9)</w:t>
            </w:r>
          </w:p>
        </w:tc>
      </w:tr>
      <w:tr w:rsidR="003F2149" w:rsidRPr="00B57DAB" w:rsidTr="00D713F7">
        <w:trPr>
          <w:trHeight w:val="300"/>
          <w:jc w:val="center"/>
        </w:trPr>
        <w:tc>
          <w:tcPr>
            <w:tcW w:w="3126" w:type="dxa"/>
            <w:shd w:val="clear" w:color="auto" w:fill="auto"/>
            <w:hideMark/>
          </w:tcPr>
          <w:p w:rsidR="003F2149" w:rsidRPr="00B57DAB" w:rsidRDefault="003F2149" w:rsidP="004A782A">
            <w:pPr>
              <w:rPr>
                <w:rFonts w:ascii="GHEA Grapalat" w:hAnsi="GHEA Grapalat" w:cs="Calibri"/>
                <w:color w:val="000000"/>
                <w:sz w:val="18"/>
                <w:szCs w:val="18"/>
              </w:rPr>
            </w:pPr>
            <w:r w:rsidRPr="00B57DAB">
              <w:rPr>
                <w:rFonts w:ascii="GHEA Grapalat" w:hAnsi="GHEA Grapalat" w:cs="Calibri"/>
                <w:color w:val="000000"/>
                <w:sz w:val="18"/>
                <w:szCs w:val="18"/>
              </w:rPr>
              <w:t>Ոռոգման համակարգի առողջացում</w:t>
            </w:r>
          </w:p>
        </w:tc>
        <w:tc>
          <w:tcPr>
            <w:tcW w:w="1096" w:type="dxa"/>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1,534.4</w:t>
            </w:r>
          </w:p>
        </w:tc>
        <w:tc>
          <w:tcPr>
            <w:tcW w:w="1084" w:type="dxa"/>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4,482.4</w:t>
            </w:r>
          </w:p>
        </w:tc>
        <w:tc>
          <w:tcPr>
            <w:tcW w:w="1195" w:type="dxa"/>
            <w:shd w:val="clear" w:color="auto" w:fill="auto"/>
            <w:hideMark/>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2,144.5</w:t>
            </w:r>
          </w:p>
        </w:tc>
        <w:tc>
          <w:tcPr>
            <w:tcW w:w="1203" w:type="dxa"/>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47.8</w:t>
            </w:r>
          </w:p>
        </w:tc>
        <w:tc>
          <w:tcPr>
            <w:tcW w:w="1203" w:type="dxa"/>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139.8</w:t>
            </w:r>
          </w:p>
        </w:tc>
        <w:tc>
          <w:tcPr>
            <w:tcW w:w="1295" w:type="dxa"/>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610.0</w:t>
            </w:r>
          </w:p>
        </w:tc>
      </w:tr>
      <w:tr w:rsidR="003F2149" w:rsidRPr="00B57DAB" w:rsidTr="00D713F7">
        <w:trPr>
          <w:trHeight w:val="300"/>
          <w:jc w:val="center"/>
        </w:trPr>
        <w:tc>
          <w:tcPr>
            <w:tcW w:w="3126" w:type="dxa"/>
            <w:shd w:val="clear" w:color="auto" w:fill="auto"/>
            <w:hideMark/>
          </w:tcPr>
          <w:p w:rsidR="003F2149" w:rsidRPr="00B57DAB" w:rsidRDefault="003F2149" w:rsidP="004A782A">
            <w:pPr>
              <w:rPr>
                <w:rFonts w:ascii="GHEA Grapalat" w:hAnsi="GHEA Grapalat" w:cs="Calibri"/>
                <w:color w:val="000000"/>
                <w:sz w:val="18"/>
                <w:szCs w:val="18"/>
              </w:rPr>
            </w:pPr>
            <w:r w:rsidRPr="00B57DAB">
              <w:rPr>
                <w:rFonts w:ascii="GHEA Grapalat" w:hAnsi="GHEA Grapalat" w:cs="Calibri"/>
                <w:color w:val="000000"/>
                <w:sz w:val="18"/>
                <w:szCs w:val="18"/>
              </w:rPr>
              <w:t>Ճանապարհային ցանցի բարելավում</w:t>
            </w:r>
          </w:p>
        </w:tc>
        <w:tc>
          <w:tcPr>
            <w:tcW w:w="1096" w:type="dxa"/>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2,228.0</w:t>
            </w:r>
          </w:p>
        </w:tc>
        <w:tc>
          <w:tcPr>
            <w:tcW w:w="1084" w:type="dxa"/>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12,604.2</w:t>
            </w:r>
          </w:p>
        </w:tc>
        <w:tc>
          <w:tcPr>
            <w:tcW w:w="1195" w:type="dxa"/>
            <w:shd w:val="clear" w:color="auto" w:fill="auto"/>
            <w:hideMark/>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4,517.8</w:t>
            </w:r>
          </w:p>
        </w:tc>
        <w:tc>
          <w:tcPr>
            <w:tcW w:w="1203" w:type="dxa"/>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35.8</w:t>
            </w:r>
          </w:p>
        </w:tc>
        <w:tc>
          <w:tcPr>
            <w:tcW w:w="1203" w:type="dxa"/>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202.8</w:t>
            </w:r>
          </w:p>
        </w:tc>
        <w:tc>
          <w:tcPr>
            <w:tcW w:w="1295" w:type="dxa"/>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2,289.7</w:t>
            </w:r>
          </w:p>
        </w:tc>
      </w:tr>
      <w:tr w:rsidR="003F2149" w:rsidRPr="00B57DAB" w:rsidTr="00D713F7">
        <w:trPr>
          <w:trHeight w:val="300"/>
          <w:jc w:val="center"/>
        </w:trPr>
        <w:tc>
          <w:tcPr>
            <w:tcW w:w="3126" w:type="dxa"/>
            <w:shd w:val="clear" w:color="auto" w:fill="auto"/>
            <w:hideMark/>
          </w:tcPr>
          <w:p w:rsidR="003F2149" w:rsidRPr="00B57DAB" w:rsidRDefault="003F2149" w:rsidP="004A782A">
            <w:pPr>
              <w:rPr>
                <w:rFonts w:ascii="GHEA Grapalat" w:hAnsi="GHEA Grapalat" w:cs="Calibri"/>
                <w:color w:val="000000"/>
                <w:sz w:val="18"/>
                <w:szCs w:val="18"/>
              </w:rPr>
            </w:pPr>
            <w:r w:rsidRPr="00B57DAB">
              <w:rPr>
                <w:rFonts w:ascii="GHEA Grapalat" w:hAnsi="GHEA Grapalat" w:cs="Calibri"/>
                <w:color w:val="000000"/>
                <w:sz w:val="18"/>
                <w:szCs w:val="18"/>
              </w:rPr>
              <w:t>Ջրամատակարարաման և ջրահեռացման բարելավում</w:t>
            </w:r>
          </w:p>
        </w:tc>
        <w:tc>
          <w:tcPr>
            <w:tcW w:w="1096" w:type="dxa"/>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1,460.9</w:t>
            </w:r>
          </w:p>
        </w:tc>
        <w:tc>
          <w:tcPr>
            <w:tcW w:w="1084" w:type="dxa"/>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1,253.7</w:t>
            </w:r>
          </w:p>
        </w:tc>
        <w:tc>
          <w:tcPr>
            <w:tcW w:w="1195" w:type="dxa"/>
            <w:shd w:val="clear" w:color="auto" w:fill="auto"/>
            <w:hideMark/>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 xml:space="preserve">427.0 </w:t>
            </w:r>
          </w:p>
        </w:tc>
        <w:tc>
          <w:tcPr>
            <w:tcW w:w="1203" w:type="dxa"/>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34.1</w:t>
            </w:r>
          </w:p>
        </w:tc>
        <w:tc>
          <w:tcPr>
            <w:tcW w:w="1203" w:type="dxa"/>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29.2</w:t>
            </w:r>
          </w:p>
        </w:tc>
        <w:tc>
          <w:tcPr>
            <w:tcW w:w="1295" w:type="dxa"/>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(1,033.9)</w:t>
            </w:r>
          </w:p>
        </w:tc>
      </w:tr>
      <w:tr w:rsidR="003F2149" w:rsidRPr="00B57DAB" w:rsidTr="00D713F7">
        <w:trPr>
          <w:trHeight w:val="300"/>
          <w:jc w:val="center"/>
        </w:trPr>
        <w:tc>
          <w:tcPr>
            <w:tcW w:w="3126" w:type="dxa"/>
            <w:shd w:val="clear" w:color="auto" w:fill="auto"/>
          </w:tcPr>
          <w:p w:rsidR="003F2149" w:rsidRPr="00B57DAB" w:rsidRDefault="003F2149" w:rsidP="004A782A">
            <w:pPr>
              <w:rPr>
                <w:rFonts w:ascii="GHEA Grapalat" w:hAnsi="GHEA Grapalat" w:cs="Calibri"/>
                <w:color w:val="000000"/>
                <w:sz w:val="18"/>
                <w:szCs w:val="18"/>
              </w:rPr>
            </w:pPr>
            <w:r w:rsidRPr="00B57DAB">
              <w:rPr>
                <w:rFonts w:ascii="GHEA Grapalat" w:hAnsi="GHEA Grapalat" w:cs="Calibri"/>
                <w:color w:val="000000"/>
                <w:sz w:val="18"/>
                <w:szCs w:val="18"/>
              </w:rPr>
              <w:t>Պետական գույքի կառավարում</w:t>
            </w:r>
          </w:p>
        </w:tc>
        <w:tc>
          <w:tcPr>
            <w:tcW w:w="1096" w:type="dxa"/>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(267.7)</w:t>
            </w:r>
          </w:p>
        </w:tc>
        <w:tc>
          <w:tcPr>
            <w:tcW w:w="1084" w:type="dxa"/>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(684.7)</w:t>
            </w:r>
          </w:p>
        </w:tc>
        <w:tc>
          <w:tcPr>
            <w:tcW w:w="1195" w:type="dxa"/>
            <w:shd w:val="clear" w:color="auto" w:fill="auto"/>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(2,243.1)</w:t>
            </w:r>
          </w:p>
        </w:tc>
        <w:tc>
          <w:tcPr>
            <w:tcW w:w="1203" w:type="dxa"/>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327.6</w:t>
            </w:r>
          </w:p>
        </w:tc>
        <w:tc>
          <w:tcPr>
            <w:tcW w:w="1203" w:type="dxa"/>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837.9</w:t>
            </w:r>
          </w:p>
        </w:tc>
        <w:tc>
          <w:tcPr>
            <w:tcW w:w="1295" w:type="dxa"/>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(1,975.4)</w:t>
            </w:r>
          </w:p>
        </w:tc>
      </w:tr>
      <w:tr w:rsidR="003F2149" w:rsidRPr="00B57DAB" w:rsidTr="00D713F7">
        <w:trPr>
          <w:trHeight w:val="300"/>
          <w:jc w:val="center"/>
        </w:trPr>
        <w:tc>
          <w:tcPr>
            <w:tcW w:w="3126" w:type="dxa"/>
            <w:shd w:val="clear" w:color="auto" w:fill="auto"/>
            <w:hideMark/>
          </w:tcPr>
          <w:p w:rsidR="003F2149" w:rsidRPr="00B57DAB" w:rsidRDefault="003F2149" w:rsidP="004A782A">
            <w:pPr>
              <w:rPr>
                <w:rFonts w:ascii="GHEA Grapalat" w:hAnsi="GHEA Grapalat" w:cs="Calibri"/>
                <w:color w:val="000000"/>
                <w:sz w:val="18"/>
                <w:szCs w:val="18"/>
              </w:rPr>
            </w:pPr>
            <w:bookmarkStart w:id="58" w:name="_Hlk96598161"/>
            <w:r w:rsidRPr="00B57DAB">
              <w:rPr>
                <w:rFonts w:ascii="GHEA Grapalat" w:hAnsi="GHEA Grapalat" w:cs="Calibri"/>
                <w:color w:val="000000"/>
                <w:sz w:val="18"/>
                <w:szCs w:val="18"/>
              </w:rPr>
              <w:t>Քաղաքային զարգացում</w:t>
            </w:r>
          </w:p>
        </w:tc>
        <w:tc>
          <w:tcPr>
            <w:tcW w:w="1096" w:type="dxa"/>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3,453.9</w:t>
            </w:r>
          </w:p>
        </w:tc>
        <w:tc>
          <w:tcPr>
            <w:tcW w:w="1084" w:type="dxa"/>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8,548.5</w:t>
            </w:r>
          </w:p>
        </w:tc>
        <w:tc>
          <w:tcPr>
            <w:tcW w:w="1195" w:type="dxa"/>
            <w:shd w:val="clear" w:color="auto" w:fill="auto"/>
            <w:hideMark/>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1,500.0</w:t>
            </w:r>
          </w:p>
        </w:tc>
        <w:tc>
          <w:tcPr>
            <w:tcW w:w="1203" w:type="dxa"/>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17.5</w:t>
            </w:r>
          </w:p>
        </w:tc>
        <w:tc>
          <w:tcPr>
            <w:tcW w:w="1203" w:type="dxa"/>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43.4</w:t>
            </w:r>
          </w:p>
        </w:tc>
        <w:tc>
          <w:tcPr>
            <w:tcW w:w="1295" w:type="dxa"/>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(1,953.8)</w:t>
            </w:r>
          </w:p>
        </w:tc>
      </w:tr>
      <w:tr w:rsidR="003F2149" w:rsidRPr="00B57DAB" w:rsidTr="00D713F7">
        <w:trPr>
          <w:trHeight w:val="300"/>
          <w:jc w:val="center"/>
        </w:trPr>
        <w:tc>
          <w:tcPr>
            <w:tcW w:w="3126" w:type="dxa"/>
            <w:shd w:val="clear" w:color="auto" w:fill="auto"/>
            <w:hideMark/>
          </w:tcPr>
          <w:p w:rsidR="003F2149" w:rsidRPr="00B57DAB" w:rsidRDefault="003F2149" w:rsidP="004A782A">
            <w:pPr>
              <w:rPr>
                <w:rFonts w:ascii="GHEA Grapalat" w:hAnsi="GHEA Grapalat" w:cs="Calibri"/>
                <w:color w:val="000000"/>
                <w:sz w:val="18"/>
                <w:szCs w:val="18"/>
              </w:rPr>
            </w:pPr>
            <w:r w:rsidRPr="00B57DAB">
              <w:rPr>
                <w:rFonts w:ascii="GHEA Grapalat" w:hAnsi="GHEA Grapalat" w:cs="Calibri"/>
                <w:color w:val="000000"/>
                <w:sz w:val="18"/>
                <w:szCs w:val="18"/>
              </w:rPr>
              <w:t>Տարածքային զարգացում</w:t>
            </w:r>
          </w:p>
        </w:tc>
        <w:tc>
          <w:tcPr>
            <w:tcW w:w="1096" w:type="dxa"/>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16,291.4</w:t>
            </w:r>
          </w:p>
        </w:tc>
        <w:tc>
          <w:tcPr>
            <w:tcW w:w="1084" w:type="dxa"/>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20,620.9</w:t>
            </w:r>
          </w:p>
        </w:tc>
        <w:tc>
          <w:tcPr>
            <w:tcW w:w="1195" w:type="dxa"/>
            <w:shd w:val="clear" w:color="auto" w:fill="auto"/>
            <w:hideMark/>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 xml:space="preserve">17,758.2 </w:t>
            </w:r>
          </w:p>
        </w:tc>
        <w:tc>
          <w:tcPr>
            <w:tcW w:w="1203" w:type="dxa"/>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86.1</w:t>
            </w:r>
          </w:p>
        </w:tc>
        <w:tc>
          <w:tcPr>
            <w:tcW w:w="1203" w:type="dxa"/>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109.0</w:t>
            </w:r>
          </w:p>
        </w:tc>
        <w:tc>
          <w:tcPr>
            <w:tcW w:w="1295" w:type="dxa"/>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1,466.8</w:t>
            </w:r>
          </w:p>
        </w:tc>
      </w:tr>
      <w:bookmarkEnd w:id="58"/>
      <w:tr w:rsidR="003F2149" w:rsidRPr="00B57DAB" w:rsidTr="00D713F7">
        <w:trPr>
          <w:trHeight w:val="300"/>
          <w:jc w:val="center"/>
        </w:trPr>
        <w:tc>
          <w:tcPr>
            <w:tcW w:w="3126" w:type="dxa"/>
            <w:shd w:val="clear" w:color="auto" w:fill="auto"/>
            <w:hideMark/>
          </w:tcPr>
          <w:p w:rsidR="003F2149" w:rsidRPr="00B57DAB" w:rsidRDefault="003F2149" w:rsidP="004A782A">
            <w:pPr>
              <w:rPr>
                <w:rFonts w:ascii="GHEA Grapalat" w:hAnsi="GHEA Grapalat" w:cs="Calibri"/>
                <w:color w:val="000000"/>
                <w:sz w:val="18"/>
                <w:szCs w:val="18"/>
              </w:rPr>
            </w:pPr>
            <w:r w:rsidRPr="00B57DAB">
              <w:rPr>
                <w:rFonts w:ascii="GHEA Grapalat" w:hAnsi="GHEA Grapalat" w:cs="Calibri"/>
                <w:color w:val="000000"/>
                <w:sz w:val="18"/>
                <w:szCs w:val="18"/>
              </w:rPr>
              <w:t>Այլ ծրագրեր</w:t>
            </w:r>
          </w:p>
        </w:tc>
        <w:tc>
          <w:tcPr>
            <w:tcW w:w="1096" w:type="dxa"/>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2,142.6</w:t>
            </w:r>
          </w:p>
        </w:tc>
        <w:tc>
          <w:tcPr>
            <w:tcW w:w="1084" w:type="dxa"/>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4,164.5</w:t>
            </w:r>
          </w:p>
        </w:tc>
        <w:tc>
          <w:tcPr>
            <w:tcW w:w="1195" w:type="dxa"/>
            <w:shd w:val="clear" w:color="auto" w:fill="auto"/>
            <w:hideMark/>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 xml:space="preserve">2,103.2 </w:t>
            </w:r>
          </w:p>
        </w:tc>
        <w:tc>
          <w:tcPr>
            <w:tcW w:w="1203" w:type="dxa"/>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50.5%</w:t>
            </w:r>
          </w:p>
        </w:tc>
        <w:tc>
          <w:tcPr>
            <w:tcW w:w="1203" w:type="dxa"/>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98.2%</w:t>
            </w:r>
          </w:p>
        </w:tc>
        <w:tc>
          <w:tcPr>
            <w:tcW w:w="1295" w:type="dxa"/>
          </w:tcPr>
          <w:p w:rsidR="003F2149" w:rsidRPr="00B57DAB" w:rsidRDefault="003F2149"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(39.3)</w:t>
            </w:r>
          </w:p>
        </w:tc>
      </w:tr>
    </w:tbl>
    <w:p w:rsidR="003F2149" w:rsidRPr="00B57DAB" w:rsidRDefault="003F2149" w:rsidP="003F2149">
      <w:pPr>
        <w:autoSpaceDE w:val="0"/>
        <w:autoSpaceDN w:val="0"/>
        <w:adjustRightInd w:val="0"/>
        <w:spacing w:line="360" w:lineRule="auto"/>
        <w:ind w:firstLine="567"/>
        <w:jc w:val="both"/>
        <w:rPr>
          <w:rFonts w:ascii="GHEA Grapalat" w:hAnsi="GHEA Grapalat" w:cs="GHEA Grapalat"/>
          <w:sz w:val="22"/>
          <w:szCs w:val="22"/>
        </w:rPr>
      </w:pPr>
    </w:p>
    <w:p w:rsidR="003F2149" w:rsidRPr="00B57DAB" w:rsidRDefault="003F2149" w:rsidP="003F2149">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sz w:val="22"/>
          <w:szCs w:val="22"/>
        </w:rPr>
        <w:t xml:space="preserve">2022 թվականի առաջին եռամսյակի ընթացքում </w:t>
      </w:r>
      <w:r w:rsidRPr="00B57DAB">
        <w:rPr>
          <w:rFonts w:ascii="GHEA Grapalat" w:hAnsi="GHEA Grapalat"/>
          <w:i/>
          <w:sz w:val="22"/>
          <w:szCs w:val="22"/>
        </w:rPr>
        <w:t>Ոռոգման համակարգի առողջացման</w:t>
      </w:r>
      <w:r w:rsidRPr="00B57DAB">
        <w:rPr>
          <w:rFonts w:ascii="GHEA Grapalat" w:hAnsi="GHEA Grapalat"/>
          <w:sz w:val="22"/>
          <w:szCs w:val="22"/>
        </w:rPr>
        <w:t xml:space="preserve"> </w:t>
      </w:r>
      <w:r w:rsidRPr="00B57DAB">
        <w:rPr>
          <w:rFonts w:ascii="GHEA Grapalat" w:hAnsi="GHEA Grapalat" w:cs="GHEA Grapalat"/>
          <w:sz w:val="22"/>
          <w:szCs w:val="22"/>
        </w:rPr>
        <w:t xml:space="preserve">ծրագրի շրջանակներում օգտագործվել է նախատեսված միջոցների 47.8%-ը՝ ավելի քան 2.1 մլրդ դրամ: Ծրագրի կատարողականը հիմնականում պայմանավորված է տվյալ բնագավառում արտաքին աջակցությամբ իրականացվող վարկային և դրամաշնորհային ծրագրերի կատարողականով: </w:t>
      </w:r>
      <w:r w:rsidR="00F676A4" w:rsidRPr="00B57DAB">
        <w:rPr>
          <w:rFonts w:ascii="GHEA Grapalat" w:hAnsi="GHEA Grapalat" w:cs="GHEA Grapalat"/>
          <w:sz w:val="22"/>
          <w:szCs w:val="22"/>
        </w:rPr>
        <w:t>Մասնավորապես.</w:t>
      </w:r>
    </w:p>
    <w:p w:rsidR="003F2149" w:rsidRPr="00B57DAB" w:rsidRDefault="003F2149" w:rsidP="00F676A4">
      <w:pPr>
        <w:numPr>
          <w:ilvl w:val="0"/>
          <w:numId w:val="16"/>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B57DAB">
        <w:rPr>
          <w:rFonts w:ascii="GHEA Grapalat" w:hAnsi="GHEA Grapalat" w:cs="GHEA Grapalat"/>
          <w:sz w:val="22"/>
          <w:szCs w:val="22"/>
        </w:rPr>
        <w:t xml:space="preserve">Եվրասիական զարգացման բանկի աջակցությամբ իրականացվող ոռոգման համակարգերի զարգացման ծրագրի շրջանակներում </w:t>
      </w:r>
      <w:r w:rsidR="00135888" w:rsidRPr="00B57DAB">
        <w:rPr>
          <w:rFonts w:ascii="GHEA Grapalat" w:hAnsi="GHEA Grapalat" w:cs="GHEA Grapalat"/>
          <w:sz w:val="22"/>
          <w:szCs w:val="22"/>
        </w:rPr>
        <w:t xml:space="preserve">առաջին եռամսյակում </w:t>
      </w:r>
      <w:r w:rsidRPr="00B57DAB">
        <w:rPr>
          <w:rFonts w:ascii="GHEA Grapalat" w:hAnsi="GHEA Grapalat" w:cs="GHEA Grapalat"/>
          <w:sz w:val="22"/>
          <w:szCs w:val="22"/>
        </w:rPr>
        <w:t>հիմնանորոգվել է 23.2 կմ երկարությամբ ոռոգման ցանց</w:t>
      </w:r>
      <w:r w:rsidR="00473606" w:rsidRPr="00B57DAB">
        <w:rPr>
          <w:rFonts w:ascii="GHEA Grapalat" w:hAnsi="GHEA Grapalat" w:cs="GHEA Grapalat"/>
          <w:sz w:val="22"/>
          <w:szCs w:val="22"/>
        </w:rPr>
        <w:t>՝ նախատեսված 29.4 կմ-ի փոխարեն</w:t>
      </w:r>
      <w:r w:rsidRPr="00B57DAB">
        <w:rPr>
          <w:rFonts w:ascii="GHEA Grapalat" w:hAnsi="GHEA Grapalat" w:cs="GHEA Grapalat"/>
          <w:sz w:val="22"/>
          <w:szCs w:val="22"/>
        </w:rPr>
        <w:t>: Ծրագրի շրջանակներում օգտագործվել է 876.2 մլն դրամ</w:t>
      </w:r>
      <w:r w:rsidR="003A77FE" w:rsidRPr="00B57DAB">
        <w:rPr>
          <w:rFonts w:ascii="GHEA Grapalat" w:hAnsi="GHEA Grapalat" w:cs="GHEA Grapalat"/>
          <w:sz w:val="22"/>
          <w:szCs w:val="22"/>
        </w:rPr>
        <w:t xml:space="preserve"> կամ նախատեսված միջոցներ</w:t>
      </w:r>
      <w:r w:rsidRPr="00B57DAB">
        <w:rPr>
          <w:rFonts w:ascii="GHEA Grapalat" w:hAnsi="GHEA Grapalat" w:cs="GHEA Grapalat"/>
          <w:sz w:val="22"/>
          <w:szCs w:val="22"/>
        </w:rPr>
        <w:t>ի 50.6%-ը՝ հիմնականում պայմանավորված եղանակային անբարենպաստ պայմանների հետևանքով որոշ աշխատանքների կատարման ժամկետի երկարաձգմամբ</w:t>
      </w:r>
      <w:r w:rsidR="00473606" w:rsidRPr="00B57DAB">
        <w:rPr>
          <w:rFonts w:ascii="GHEA Grapalat" w:hAnsi="GHEA Grapalat" w:cs="GHEA Grapalat"/>
          <w:sz w:val="22"/>
          <w:szCs w:val="22"/>
        </w:rPr>
        <w:t>, ինչպես նաև ներկայացված կատարողականների մի մասի՝ ուսումնասիրության փուլում գտնվելու հանգամանքով</w:t>
      </w:r>
      <w:r w:rsidR="00F676A4" w:rsidRPr="00B57DAB">
        <w:rPr>
          <w:rFonts w:ascii="GHEA Grapalat" w:hAnsi="GHEA Grapalat" w:cs="GHEA Grapalat"/>
          <w:sz w:val="22"/>
          <w:szCs w:val="22"/>
        </w:rPr>
        <w:t>.</w:t>
      </w:r>
    </w:p>
    <w:p w:rsidR="003F2149" w:rsidRPr="00B57DAB" w:rsidRDefault="003F2149" w:rsidP="00F676A4">
      <w:pPr>
        <w:numPr>
          <w:ilvl w:val="0"/>
          <w:numId w:val="16"/>
        </w:numPr>
        <w:tabs>
          <w:tab w:val="left" w:pos="851"/>
        </w:tabs>
        <w:autoSpaceDE w:val="0"/>
        <w:autoSpaceDN w:val="0"/>
        <w:adjustRightInd w:val="0"/>
        <w:spacing w:line="360" w:lineRule="auto"/>
        <w:ind w:left="0" w:firstLine="567"/>
        <w:jc w:val="both"/>
        <w:rPr>
          <w:rFonts w:ascii="GHEA Grapalat" w:hAnsi="GHEA Grapalat" w:cs="GHEA Grapalat"/>
          <w:bCs/>
          <w:sz w:val="22"/>
          <w:szCs w:val="22"/>
        </w:rPr>
      </w:pPr>
      <w:r w:rsidRPr="00B57DAB">
        <w:rPr>
          <w:rFonts w:ascii="GHEA Grapalat" w:hAnsi="GHEA Grapalat" w:cs="GHEA Grapalat"/>
          <w:sz w:val="22"/>
          <w:szCs w:val="22"/>
        </w:rPr>
        <w:t>Ֆրանսիայի Հանրապետության կառավարության աջակցությամբ իրականացվող Վեդու ջրամբարի կառուցման վարկային ծրագրի շրջանակներում կառուցվել է 2.5 մետր երկարությամբ պատվար՝ նախատեսված 5 մետրի դիմաց:</w:t>
      </w:r>
      <w:r w:rsidRPr="00B57DAB">
        <w:t xml:space="preserve"> </w:t>
      </w:r>
      <w:r w:rsidRPr="00B57DAB">
        <w:rPr>
          <w:rFonts w:ascii="GHEA Grapalat" w:hAnsi="GHEA Grapalat" w:cs="GHEA Grapalat"/>
          <w:sz w:val="22"/>
          <w:szCs w:val="22"/>
        </w:rPr>
        <w:t>Ձմեռային դադարով պայմանավորված</w:t>
      </w:r>
      <w:r w:rsidR="00E757E2" w:rsidRPr="00B57DAB">
        <w:rPr>
          <w:rFonts w:ascii="GHEA Grapalat" w:hAnsi="GHEA Grapalat" w:cs="GHEA Grapalat"/>
          <w:sz w:val="22"/>
          <w:szCs w:val="22"/>
        </w:rPr>
        <w:t>՝</w:t>
      </w:r>
      <w:r w:rsidRPr="00B57DAB">
        <w:rPr>
          <w:rFonts w:ascii="GHEA Grapalat" w:hAnsi="GHEA Grapalat" w:cs="GHEA Grapalat"/>
          <w:sz w:val="22"/>
          <w:szCs w:val="22"/>
        </w:rPr>
        <w:t xml:space="preserve"> առաջին եռամսյակի ընթացքում կատարվել են վարարային ջրհեռի կառուցման և պատվարի քարալիցքի</w:t>
      </w:r>
      <w:r w:rsidR="00E757E2" w:rsidRPr="00B57DAB">
        <w:rPr>
          <w:rFonts w:ascii="GHEA Grapalat" w:hAnsi="GHEA Grapalat" w:cs="GHEA Grapalat"/>
          <w:sz w:val="22"/>
          <w:szCs w:val="22"/>
        </w:rPr>
        <w:t xml:space="preserve"> նախատեսվածից ավել</w:t>
      </w:r>
      <w:r w:rsidRPr="00B57DAB">
        <w:rPr>
          <w:rFonts w:ascii="GHEA Grapalat" w:hAnsi="GHEA Grapalat" w:cs="GHEA Grapalat"/>
          <w:sz w:val="22"/>
          <w:szCs w:val="22"/>
        </w:rPr>
        <w:t xml:space="preserve"> աշխատանքներ: Ծրագրի շրջանակներում օգտագործվել է հատկացված միջոցների 88.2%-ը՝ 810.4 մլն դրամ: Շեղումը շինարարական աշխատանքների մասով հիմնականում պայմանավորված է </w:t>
      </w:r>
      <w:r w:rsidR="00E757E2" w:rsidRPr="00B57DAB">
        <w:rPr>
          <w:rFonts w:ascii="GHEA Grapalat" w:hAnsi="GHEA Grapalat" w:cs="GHEA Grapalat"/>
          <w:bCs/>
          <w:sz w:val="22"/>
          <w:szCs w:val="22"/>
        </w:rPr>
        <w:t xml:space="preserve">սարքավորումների գնման մրցութային գործընթացը նախապատրաստման </w:t>
      </w:r>
      <w:r w:rsidR="00E757E2" w:rsidRPr="00B57DAB">
        <w:rPr>
          <w:rFonts w:ascii="GHEA Grapalat" w:hAnsi="GHEA Grapalat" w:cs="GHEA Grapalat"/>
          <w:bCs/>
          <w:sz w:val="22"/>
          <w:szCs w:val="22"/>
        </w:rPr>
        <w:lastRenderedPageBreak/>
        <w:t>փուլում գտնվելու և կանխատեսված ու փաստացի փոխարժեքների տարբերությամբ</w:t>
      </w:r>
      <w:r w:rsidRPr="00B57DAB">
        <w:rPr>
          <w:rFonts w:ascii="GHEA Grapalat" w:hAnsi="GHEA Grapalat" w:cs="GHEA Grapalat"/>
          <w:sz w:val="22"/>
          <w:szCs w:val="22"/>
        </w:rPr>
        <w:t>, իսկ ծրագրի խորհրդատվության և կառավարման ծախսերի մասով՝ դոնորի ընթացակարգերով պայմանավորված խորհրդատվական ծառայության պայմանագրից մեկի նախատեսվածից ուշ ստորագրմամբ: Ֆրանսիայի Հանրապետության կառավարության աջակցությամբ իրականացվող՝ Վեդու ջրամբարի կառուցման դրամաշնորհային</w:t>
      </w:r>
      <w:r w:rsidR="00B85867" w:rsidRPr="00B57DAB">
        <w:rPr>
          <w:rFonts w:ascii="GHEA Grapalat" w:hAnsi="GHEA Grapalat" w:cs="GHEA Grapalat"/>
          <w:sz w:val="22"/>
          <w:szCs w:val="22"/>
        </w:rPr>
        <w:t xml:space="preserve"> </w:t>
      </w:r>
      <w:r w:rsidRPr="00B57DAB">
        <w:rPr>
          <w:rFonts w:ascii="GHEA Grapalat" w:hAnsi="GHEA Grapalat" w:cs="GHEA Grapalat"/>
          <w:sz w:val="22"/>
          <w:szCs w:val="22"/>
        </w:rPr>
        <w:t xml:space="preserve">ծրագրի շրջանակներում </w:t>
      </w:r>
      <w:r w:rsidRPr="00B57DAB">
        <w:rPr>
          <w:rFonts w:ascii="GHEA Grapalat" w:hAnsi="GHEA Grapalat" w:cs="GHEA Grapalat"/>
          <w:bCs/>
          <w:sz w:val="22"/>
          <w:szCs w:val="22"/>
        </w:rPr>
        <w:t xml:space="preserve">օգտագործվել է հատկացված միջոցների </w:t>
      </w:r>
      <w:r w:rsidR="00E757E2" w:rsidRPr="00B57DAB">
        <w:rPr>
          <w:rFonts w:ascii="GHEA Grapalat" w:hAnsi="GHEA Grapalat" w:cs="GHEA Grapalat"/>
          <w:bCs/>
          <w:sz w:val="22"/>
          <w:szCs w:val="22"/>
        </w:rPr>
        <w:t>15.3</w:t>
      </w:r>
      <w:r w:rsidRPr="00B57DAB">
        <w:rPr>
          <w:rFonts w:ascii="GHEA Grapalat" w:hAnsi="GHEA Grapalat" w:cs="GHEA Grapalat"/>
          <w:bCs/>
          <w:sz w:val="22"/>
          <w:szCs w:val="22"/>
        </w:rPr>
        <w:t xml:space="preserve">%-ը՝ </w:t>
      </w:r>
      <w:r w:rsidR="00E757E2" w:rsidRPr="00B57DAB">
        <w:rPr>
          <w:rFonts w:ascii="GHEA Grapalat" w:hAnsi="GHEA Grapalat" w:cs="GHEA Grapalat"/>
          <w:bCs/>
          <w:sz w:val="22"/>
          <w:szCs w:val="22"/>
        </w:rPr>
        <w:t>21.8</w:t>
      </w:r>
      <w:r w:rsidRPr="00B57DAB">
        <w:rPr>
          <w:rFonts w:ascii="GHEA Grapalat" w:hAnsi="GHEA Grapalat" w:cs="GHEA Grapalat"/>
          <w:bCs/>
          <w:sz w:val="22"/>
          <w:szCs w:val="22"/>
        </w:rPr>
        <w:t xml:space="preserve"> մլն դրամ</w:t>
      </w:r>
      <w:r w:rsidR="00B85867" w:rsidRPr="00B57DAB">
        <w:rPr>
          <w:rFonts w:ascii="GHEA Grapalat" w:hAnsi="GHEA Grapalat" w:cs="GHEA Grapalat"/>
          <w:bCs/>
          <w:sz w:val="22"/>
          <w:szCs w:val="22"/>
        </w:rPr>
        <w:t>: Շեղումը</w:t>
      </w:r>
      <w:r w:rsidRPr="00B57DAB">
        <w:rPr>
          <w:rFonts w:ascii="GHEA Grapalat" w:hAnsi="GHEA Grapalat" w:cs="GHEA Grapalat"/>
          <w:bCs/>
          <w:sz w:val="22"/>
          <w:szCs w:val="22"/>
        </w:rPr>
        <w:t xml:space="preserve"> պայմանավորված է </w:t>
      </w:r>
      <w:r w:rsidR="00AE41B3" w:rsidRPr="00B57DAB">
        <w:rPr>
          <w:rFonts w:ascii="GHEA Grapalat" w:hAnsi="GHEA Grapalat" w:cs="GHEA Grapalat"/>
          <w:bCs/>
          <w:sz w:val="22"/>
          <w:szCs w:val="22"/>
        </w:rPr>
        <w:t xml:space="preserve">դրամաշնորհային ծրագրի շրջանակներում </w:t>
      </w:r>
      <w:r w:rsidRPr="00B57DAB">
        <w:rPr>
          <w:rFonts w:ascii="GHEA Grapalat" w:hAnsi="GHEA Grapalat" w:cs="GHEA Grapalat"/>
          <w:bCs/>
          <w:sz w:val="22"/>
          <w:szCs w:val="22"/>
        </w:rPr>
        <w:t>Զարգացման ֆրանսիական գործակալությանը ներկայացված վճարման փաստաթղթեր</w:t>
      </w:r>
      <w:r w:rsidR="00AE41B3" w:rsidRPr="00B57DAB">
        <w:rPr>
          <w:rFonts w:ascii="GHEA Grapalat" w:hAnsi="GHEA Grapalat" w:cs="GHEA Grapalat"/>
          <w:bCs/>
          <w:sz w:val="22"/>
          <w:szCs w:val="22"/>
        </w:rPr>
        <w:t>ն ամբողջությամբ չհաստատվելու</w:t>
      </w:r>
      <w:r w:rsidR="00E757E2" w:rsidRPr="00B57DAB">
        <w:rPr>
          <w:rFonts w:ascii="GHEA Grapalat" w:hAnsi="GHEA Grapalat" w:cs="GHEA Grapalat"/>
          <w:bCs/>
          <w:sz w:val="22"/>
          <w:szCs w:val="22"/>
        </w:rPr>
        <w:t xml:space="preserve"> հանգամանքով</w:t>
      </w:r>
      <w:r w:rsidR="00F676A4" w:rsidRPr="00B57DAB">
        <w:rPr>
          <w:rFonts w:ascii="GHEA Grapalat" w:hAnsi="GHEA Grapalat" w:cs="GHEA Grapalat"/>
          <w:bCs/>
          <w:sz w:val="22"/>
          <w:szCs w:val="22"/>
        </w:rPr>
        <w:t>.</w:t>
      </w:r>
    </w:p>
    <w:p w:rsidR="00F676A4" w:rsidRPr="00B57DAB" w:rsidRDefault="00F676A4" w:rsidP="00F676A4">
      <w:pPr>
        <w:numPr>
          <w:ilvl w:val="0"/>
          <w:numId w:val="16"/>
        </w:numPr>
        <w:tabs>
          <w:tab w:val="left" w:pos="851"/>
        </w:tabs>
        <w:autoSpaceDE w:val="0"/>
        <w:autoSpaceDN w:val="0"/>
        <w:adjustRightInd w:val="0"/>
        <w:spacing w:line="360" w:lineRule="auto"/>
        <w:ind w:left="0" w:firstLine="567"/>
        <w:jc w:val="both"/>
        <w:rPr>
          <w:rFonts w:ascii="GHEA Grapalat" w:hAnsi="GHEA Grapalat" w:cs="GHEA Grapalat"/>
          <w:bCs/>
          <w:sz w:val="22"/>
          <w:szCs w:val="22"/>
        </w:rPr>
      </w:pPr>
      <w:r w:rsidRPr="00B57DAB">
        <w:rPr>
          <w:rFonts w:ascii="GHEA Grapalat" w:hAnsi="GHEA Grapalat" w:cs="GHEA Grapalat"/>
          <w:bCs/>
          <w:sz w:val="22"/>
          <w:szCs w:val="22"/>
        </w:rPr>
        <w:t xml:space="preserve">Գերմանիայի զարգացման վարկերի բանկի աջակցությամբ իրականացվող Ախուրյան գետի ջրային ռեսուրսների ինտեգրացված կառավարման վարկային և դրամաշնորհային ծրագրերի շրջանակներում օգտագործվել է նախատեսված միջոցների 1.9%-ը՝ 6.7 մլն դրամ, ինչը հիմնականում պայմանավորված է խորհրդատվական ծառայության մատուցման պայմանագրերից մեկի մրցույթի չեղարկմամբ, ինչպես նաև մեկ պայմանագրի ժամկետի երկարաձգման նպատակով ընթացող բանակցություններով: </w:t>
      </w:r>
    </w:p>
    <w:p w:rsidR="00F676A4" w:rsidRPr="00B57DAB" w:rsidRDefault="00F676A4" w:rsidP="00F676A4">
      <w:pPr>
        <w:numPr>
          <w:ilvl w:val="0"/>
          <w:numId w:val="16"/>
        </w:numPr>
        <w:tabs>
          <w:tab w:val="left" w:pos="851"/>
        </w:tabs>
        <w:autoSpaceDE w:val="0"/>
        <w:autoSpaceDN w:val="0"/>
        <w:adjustRightInd w:val="0"/>
        <w:spacing w:line="360" w:lineRule="auto"/>
        <w:ind w:left="0" w:firstLine="567"/>
        <w:jc w:val="both"/>
        <w:rPr>
          <w:rFonts w:ascii="GHEA Grapalat" w:hAnsi="GHEA Grapalat" w:cs="GHEA Grapalat"/>
          <w:bCs/>
          <w:sz w:val="22"/>
          <w:szCs w:val="22"/>
        </w:rPr>
      </w:pPr>
      <w:r w:rsidRPr="00B57DAB">
        <w:rPr>
          <w:rFonts w:ascii="GHEA Grapalat" w:hAnsi="GHEA Grapalat" w:cs="GHEA Grapalat"/>
          <w:bCs/>
          <w:sz w:val="22"/>
          <w:szCs w:val="22"/>
        </w:rPr>
        <w:t>Գերմանիայի զարգացման վարկերի բանկի աջակցությամբ իրականացվող Ախուրյան գետի ջրային ռեսուրսների ինտեգրացված կառավարում փուլ 1 ծրագրով Ջրաձոր գյուղի վերաբնակեցման գործողությունների խորհրդատվության և կառավարման ծառայությունների ձեռքբերման նպատակով առաջին եռամսյակում նախատեսված 235.7 մլն դրամի դիմաց օգտագործվել է 33.3 մլն դրամ՝ պայմանավորված վերաբնակեցման համար փոխհատուցման հարցերով զբաղվող հանձնաժողովի ձևավորման գործընթացով:</w:t>
      </w:r>
    </w:p>
    <w:p w:rsidR="003F2149" w:rsidRPr="00B57DAB" w:rsidRDefault="003F2149" w:rsidP="003F2149">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Նախատեսված ամբողջ ծավալով՝ 250 մլն դրամի չափով ֆինանսական աջակցություն է տրամադրվել Ոռոգում-ջրառ իրականացնող կազմակերպություններին, որոնց միջոցով ապահովվել է 1.6 մլն մ</w:t>
      </w:r>
      <w:r w:rsidRPr="00B57DAB">
        <w:rPr>
          <w:rFonts w:ascii="GHEA Grapalat" w:hAnsi="GHEA Grapalat" w:cs="GHEA Grapalat"/>
          <w:sz w:val="22"/>
          <w:szCs w:val="22"/>
          <w:vertAlign w:val="superscript"/>
        </w:rPr>
        <w:t>3</w:t>
      </w:r>
      <w:r w:rsidRPr="00B57DAB">
        <w:rPr>
          <w:rFonts w:ascii="GHEA Grapalat" w:hAnsi="GHEA Grapalat" w:cs="GHEA Grapalat"/>
          <w:sz w:val="22"/>
          <w:szCs w:val="22"/>
        </w:rPr>
        <w:t xml:space="preserve"> ջրամատակարարում: 146 մլն դրամ կամ ծրագրի 97.3%-ի չափով ֆինանսական աջակցություն է տրամադրվել ոռոգման ծառայություններ մատուցող ընկերություններին, որոնց միջոցով ոռոգվել է 52,000.0 հա հողատարածք: Ոռոգման համակարգերի հիմնանորոգման համար հատկացված 88.7 մլն դրամը չի օգ</w:t>
      </w:r>
      <w:r w:rsidR="00200008" w:rsidRPr="00B57DAB">
        <w:rPr>
          <w:rFonts w:ascii="GHEA Grapalat" w:hAnsi="GHEA Grapalat" w:cs="GHEA Grapalat"/>
          <w:sz w:val="22"/>
          <w:szCs w:val="22"/>
        </w:rPr>
        <w:t>տ</w:t>
      </w:r>
      <w:r w:rsidRPr="00B57DAB">
        <w:rPr>
          <w:rFonts w:ascii="GHEA Grapalat" w:hAnsi="GHEA Grapalat" w:cs="GHEA Grapalat"/>
          <w:sz w:val="22"/>
          <w:szCs w:val="22"/>
        </w:rPr>
        <w:t>ագործվել, քանի որ նյութերի գների բարձրացման արդյունքում նախագծային փաստաթղթերի վերանայման անհրաժեշտություն է առաջացել, որից հետ</w:t>
      </w:r>
      <w:r w:rsidR="00E90910" w:rsidRPr="00B57DAB">
        <w:rPr>
          <w:rFonts w:ascii="GHEA Grapalat" w:hAnsi="GHEA Grapalat" w:cs="GHEA Grapalat"/>
          <w:sz w:val="22"/>
          <w:szCs w:val="22"/>
        </w:rPr>
        <w:t>ո հրապարակվել է նոր բաց մրցույթ</w:t>
      </w:r>
      <w:r w:rsidRPr="00B57DAB">
        <w:rPr>
          <w:rFonts w:ascii="GHEA Grapalat" w:hAnsi="GHEA Grapalat" w:cs="GHEA Grapalat"/>
          <w:sz w:val="22"/>
          <w:szCs w:val="22"/>
        </w:rPr>
        <w:t>:</w:t>
      </w:r>
    </w:p>
    <w:p w:rsidR="003F2149" w:rsidRPr="00B57DAB" w:rsidRDefault="003F2149" w:rsidP="003F2149">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 xml:space="preserve">2021 թվականի նույն ժամանակահատվածի համեմատ Ոռոգման համակարգի առողջացման ծրագրի ծախսերն աճել են 39.8%-ով կամ 610 մլն </w:t>
      </w:r>
      <w:r w:rsidRPr="00B57DAB">
        <w:rPr>
          <w:rFonts w:ascii="GHEA Grapalat" w:hAnsi="GHEA Grapalat" w:cs="Sylfaen"/>
          <w:sz w:val="22"/>
          <w:szCs w:val="22"/>
        </w:rPr>
        <w:t>դրամով</w:t>
      </w:r>
      <w:r w:rsidRPr="00B57DAB">
        <w:rPr>
          <w:rFonts w:ascii="GHEA Grapalat" w:hAnsi="GHEA Grapalat" w:cs="GHEA Grapalat"/>
          <w:sz w:val="22"/>
          <w:szCs w:val="22"/>
        </w:rPr>
        <w:t xml:space="preserve">՝ հիմնականում պայմանավորված </w:t>
      </w:r>
      <w:r w:rsidR="00E90910" w:rsidRPr="00B57DAB">
        <w:rPr>
          <w:rFonts w:ascii="GHEA Grapalat" w:hAnsi="GHEA Grapalat" w:cs="GHEA Grapalat"/>
          <w:sz w:val="22"/>
          <w:szCs w:val="22"/>
        </w:rPr>
        <w:t>Եվրասիական զարգացման բանկի աջակցությամբ իրականացվող ոռոգման համակարգերի զարգացման և Ֆրանսիայի Հանրապետության կառավարության աջակցությամբ իրականացվող Վեդու ջրամբարի կառուցման ծրագրերի շրջանակներում կատարված ծախսերի աճով</w:t>
      </w:r>
      <w:r w:rsidRPr="00B57DAB">
        <w:rPr>
          <w:rFonts w:ascii="GHEA Grapalat" w:hAnsi="GHEA Grapalat" w:cs="GHEA Grapalat"/>
          <w:sz w:val="22"/>
          <w:szCs w:val="22"/>
        </w:rPr>
        <w:t>:</w:t>
      </w:r>
    </w:p>
    <w:p w:rsidR="001D3125" w:rsidRPr="00B57DAB" w:rsidRDefault="003F2149" w:rsidP="003F2149">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lastRenderedPageBreak/>
        <w:t xml:space="preserve">Հաշվետու ժամանակահատվածում </w:t>
      </w:r>
      <w:r w:rsidRPr="00B57DAB">
        <w:rPr>
          <w:rFonts w:ascii="GHEA Grapalat" w:hAnsi="GHEA Grapalat" w:cs="GHEA Grapalat"/>
          <w:i/>
          <w:sz w:val="22"/>
          <w:szCs w:val="22"/>
        </w:rPr>
        <w:t>Ճանապարհային ցանցի բարելավման</w:t>
      </w:r>
      <w:r w:rsidRPr="00B57DAB">
        <w:rPr>
          <w:rFonts w:ascii="GHEA Grapalat" w:hAnsi="GHEA Grapalat" w:cs="GHEA Grapalat"/>
          <w:sz w:val="22"/>
          <w:szCs w:val="22"/>
        </w:rPr>
        <w:t xml:space="preserve"> ծրագրին ուղղվել է 4.5</w:t>
      </w:r>
      <w:r w:rsidRPr="00B57DAB">
        <w:rPr>
          <w:rFonts w:ascii="Courier New" w:hAnsi="Courier New" w:cs="Courier New"/>
          <w:sz w:val="22"/>
          <w:szCs w:val="22"/>
        </w:rPr>
        <w:t> </w:t>
      </w:r>
      <w:r w:rsidRPr="00B57DAB">
        <w:rPr>
          <w:rFonts w:ascii="GHEA Grapalat" w:hAnsi="GHEA Grapalat" w:cs="GHEA Grapalat"/>
          <w:sz w:val="22"/>
          <w:szCs w:val="22"/>
        </w:rPr>
        <w:t>մլրդ դրամ՝ կազմելով ծրագրված ցուցանիշի 35.8%-ը: Շեղումը հիմնականում պայմանավորված է արտաքին աջակցությամբ իրականացվող Հյուսիս-հարավ միջանցքի զարգացման և պետական նշանակության ավտոճանապարհների հիմնանորոգ</w:t>
      </w:r>
      <w:bookmarkStart w:id="59" w:name="_Hlk70418829"/>
      <w:r w:rsidRPr="00B57DAB">
        <w:rPr>
          <w:rFonts w:ascii="GHEA Grapalat" w:hAnsi="GHEA Grapalat" w:cs="GHEA Grapalat"/>
          <w:sz w:val="22"/>
          <w:szCs w:val="22"/>
        </w:rPr>
        <w:t xml:space="preserve">ման ծրագրերի կատարողականով: </w:t>
      </w:r>
    </w:p>
    <w:p w:rsidR="001D3125" w:rsidRPr="00B57DAB" w:rsidRDefault="001D3125" w:rsidP="001D3125">
      <w:pPr>
        <w:autoSpaceDE w:val="0"/>
        <w:autoSpaceDN w:val="0"/>
        <w:adjustRightInd w:val="0"/>
        <w:spacing w:line="360" w:lineRule="auto"/>
        <w:ind w:firstLine="567"/>
        <w:jc w:val="both"/>
        <w:rPr>
          <w:rFonts w:ascii="GHEA Grapalat" w:hAnsi="GHEA Grapalat" w:cs="GHEA Grapalat"/>
          <w:sz w:val="22"/>
          <w:szCs w:val="22"/>
        </w:rPr>
      </w:pPr>
      <w:bookmarkStart w:id="60" w:name="_Hlk96936020"/>
      <w:r w:rsidRPr="00B57DAB">
        <w:rPr>
          <w:rFonts w:ascii="GHEA Grapalat" w:hAnsi="GHEA Grapalat" w:cs="GHEA Grapalat"/>
          <w:sz w:val="22"/>
          <w:szCs w:val="22"/>
        </w:rPr>
        <w:t>Հյուսիս-հարավ միջանցքի զարգացման ծրագրի</w:t>
      </w:r>
      <w:bookmarkEnd w:id="60"/>
      <w:r w:rsidRPr="00B57DAB">
        <w:rPr>
          <w:rFonts w:ascii="GHEA Grapalat" w:hAnsi="GHEA Grapalat" w:cs="GHEA Grapalat"/>
          <w:sz w:val="22"/>
          <w:szCs w:val="22"/>
        </w:rPr>
        <w:t>` տարբեր դոնորների աջակցությամբ իրականացվող միջոցառումների շրջանակներում օգտագործվել է նախատեսված միջոցների 17.6%</w:t>
      </w:r>
      <w:r w:rsidRPr="00B57DAB">
        <w:rPr>
          <w:rFonts w:ascii="GHEA Grapalat" w:hAnsi="GHEA Grapalat" w:cs="GHEA Grapalat"/>
          <w:sz w:val="22"/>
          <w:szCs w:val="22"/>
        </w:rPr>
        <w:noBreakHyphen/>
        <w:t xml:space="preserve">ը` 849.4 մլն դրամ կամ: </w:t>
      </w:r>
      <w:r w:rsidR="0059400F" w:rsidRPr="00B57DAB">
        <w:rPr>
          <w:rFonts w:ascii="GHEA Grapalat" w:hAnsi="GHEA Grapalat" w:cs="GHEA Grapalat"/>
          <w:sz w:val="22"/>
          <w:szCs w:val="22"/>
        </w:rPr>
        <w:t>Մասնավորապես չի օգտագործվել</w:t>
      </w:r>
      <w:r w:rsidRPr="00B57DAB">
        <w:rPr>
          <w:rFonts w:ascii="GHEA Grapalat" w:hAnsi="GHEA Grapalat" w:cs="GHEA Grapalat"/>
          <w:sz w:val="22"/>
          <w:szCs w:val="22"/>
        </w:rPr>
        <w:t xml:space="preserve"> «Եվրոպական ներդրումային բանկի </w:t>
      </w:r>
      <w:bookmarkStart w:id="61" w:name="_Hlk101531350"/>
      <w:r w:rsidRPr="00B57DAB">
        <w:rPr>
          <w:rFonts w:ascii="GHEA Grapalat" w:hAnsi="GHEA Grapalat" w:cs="GHEA Grapalat"/>
          <w:sz w:val="22"/>
          <w:szCs w:val="22"/>
        </w:rPr>
        <w:t>աջակցությամբ իրականացվող Հյուսիս-հարավ միջանցքի զարգացման վարկային ծրագիր, Տրանշ 3»</w:t>
      </w:r>
      <w:bookmarkEnd w:id="61"/>
      <w:r w:rsidRPr="00B57DAB">
        <w:rPr>
          <w:rFonts w:ascii="GHEA Grapalat" w:hAnsi="GHEA Grapalat" w:cs="GHEA Grapalat"/>
          <w:sz w:val="22"/>
          <w:szCs w:val="22"/>
        </w:rPr>
        <w:t xml:space="preserve"> միջոցառման շրջանակներում </w:t>
      </w:r>
      <w:r w:rsidR="0059400F" w:rsidRPr="00B57DAB">
        <w:rPr>
          <w:rFonts w:ascii="GHEA Grapalat" w:hAnsi="GHEA Grapalat" w:cs="GHEA Grapalat"/>
          <w:sz w:val="22"/>
          <w:szCs w:val="22"/>
        </w:rPr>
        <w:t>նախատեսված 1.8 մլրդ դրամը՝</w:t>
      </w:r>
      <w:r w:rsidRPr="00B57DAB">
        <w:rPr>
          <w:rFonts w:ascii="GHEA Grapalat" w:hAnsi="GHEA Grapalat" w:cs="GHEA Grapalat"/>
          <w:sz w:val="22"/>
          <w:szCs w:val="22"/>
        </w:rPr>
        <w:t xml:space="preserve"> պայմանավորված </w:t>
      </w:r>
      <w:r w:rsidR="0059400F" w:rsidRPr="00B57DAB">
        <w:rPr>
          <w:rFonts w:ascii="GHEA Grapalat" w:hAnsi="GHEA Grapalat" w:cs="GHEA Grapalat"/>
          <w:sz w:val="22"/>
          <w:szCs w:val="22"/>
        </w:rPr>
        <w:t>ԵՆԲ-ի կողմից</w:t>
      </w:r>
      <w:r w:rsidRPr="00B57DAB">
        <w:rPr>
          <w:rFonts w:ascii="GHEA Grapalat" w:hAnsi="GHEA Grapalat" w:cs="GHEA Grapalat"/>
          <w:sz w:val="22"/>
          <w:szCs w:val="22"/>
        </w:rPr>
        <w:t xml:space="preserve"> ֆինանսավորման հայտը չ</w:t>
      </w:r>
      <w:r w:rsidR="00B17186" w:rsidRPr="00B57DAB">
        <w:rPr>
          <w:rFonts w:ascii="GHEA Grapalat" w:hAnsi="GHEA Grapalat" w:cs="GHEA Grapalat"/>
          <w:sz w:val="22"/>
          <w:szCs w:val="22"/>
        </w:rPr>
        <w:t>հաստատ</w:t>
      </w:r>
      <w:r w:rsidRPr="00B57DAB">
        <w:rPr>
          <w:rFonts w:ascii="GHEA Grapalat" w:hAnsi="GHEA Grapalat" w:cs="GHEA Grapalat"/>
          <w:sz w:val="22"/>
          <w:szCs w:val="22"/>
        </w:rPr>
        <w:t>վելու հանգամանքով:</w:t>
      </w:r>
      <w:r w:rsidR="008F5398" w:rsidRPr="00B57DAB">
        <w:rPr>
          <w:rFonts w:ascii="GHEA Grapalat" w:hAnsi="GHEA Grapalat" w:cs="GHEA Grapalat"/>
          <w:sz w:val="22"/>
          <w:szCs w:val="22"/>
        </w:rPr>
        <w:t xml:space="preserve"> Միջոցառման շրջանակներում վերականգնվել է Լանջիկ-Գյումրի ճանապարհի 16 կմ հատված:</w:t>
      </w:r>
      <w:r w:rsidRPr="00B57DAB">
        <w:rPr>
          <w:rFonts w:ascii="GHEA Grapalat" w:hAnsi="GHEA Grapalat" w:cs="GHEA Grapalat"/>
          <w:sz w:val="22"/>
          <w:szCs w:val="22"/>
        </w:rPr>
        <w:t xml:space="preserve"> «Ասիական զարգացման բանկի աջակցությամբ իրականացվող Հյուսիս-հարավ միջանցքի զարգացման վարկային ծրագիր, Տրանշ 3» միջոցառման շրջանակներում </w:t>
      </w:r>
      <w:r w:rsidR="0059400F" w:rsidRPr="00B57DAB">
        <w:rPr>
          <w:rFonts w:ascii="GHEA Grapalat" w:hAnsi="GHEA Grapalat" w:cs="GHEA Grapalat"/>
          <w:sz w:val="22"/>
          <w:szCs w:val="22"/>
        </w:rPr>
        <w:t>օգտագործվել է նախատեսված միջոցների 30.8%-ը՝</w:t>
      </w:r>
      <w:r w:rsidRPr="00B57DAB">
        <w:rPr>
          <w:rFonts w:ascii="GHEA Grapalat" w:hAnsi="GHEA Grapalat" w:cs="GHEA Grapalat"/>
          <w:sz w:val="22"/>
          <w:szCs w:val="22"/>
        </w:rPr>
        <w:t xml:space="preserve"> 628.3</w:t>
      </w:r>
      <w:r w:rsidR="0059400F" w:rsidRPr="00B57DAB">
        <w:rPr>
          <w:rFonts w:ascii="Courier New" w:hAnsi="Courier New" w:cs="Courier New"/>
          <w:sz w:val="22"/>
          <w:szCs w:val="22"/>
        </w:rPr>
        <w:t> </w:t>
      </w:r>
      <w:r w:rsidR="0059400F" w:rsidRPr="00B57DAB">
        <w:rPr>
          <w:rFonts w:ascii="GHEA Grapalat" w:hAnsi="GHEA Grapalat" w:cs="GHEA Grapalat"/>
          <w:sz w:val="22"/>
          <w:szCs w:val="22"/>
        </w:rPr>
        <w:t>մլն դրամ</w:t>
      </w:r>
      <w:r w:rsidRPr="00B57DAB">
        <w:rPr>
          <w:rFonts w:ascii="GHEA Grapalat" w:hAnsi="GHEA Grapalat" w:cs="GHEA Grapalat"/>
          <w:sz w:val="22"/>
          <w:szCs w:val="22"/>
        </w:rPr>
        <w:t>՝</w:t>
      </w:r>
      <w:r w:rsidR="0059400F" w:rsidRPr="00B57DAB">
        <w:rPr>
          <w:rFonts w:ascii="GHEA Grapalat" w:hAnsi="GHEA Grapalat" w:cs="GHEA Grapalat"/>
          <w:sz w:val="22"/>
          <w:szCs w:val="22"/>
        </w:rPr>
        <w:t xml:space="preserve"> պայմանավորված</w:t>
      </w:r>
      <w:r w:rsidRPr="00B57DAB">
        <w:t xml:space="preserve"> </w:t>
      </w:r>
      <w:r w:rsidRPr="00B57DAB">
        <w:rPr>
          <w:rFonts w:ascii="GHEA Grapalat" w:hAnsi="GHEA Grapalat" w:cs="GHEA Grapalat"/>
          <w:sz w:val="22"/>
          <w:szCs w:val="22"/>
        </w:rPr>
        <w:t>եղանակային պայմաններով</w:t>
      </w:r>
      <w:r w:rsidR="0059400F" w:rsidRPr="00B57DAB">
        <w:rPr>
          <w:rFonts w:ascii="GHEA Grapalat" w:hAnsi="GHEA Grapalat" w:cs="GHEA Grapalat"/>
          <w:sz w:val="22"/>
          <w:szCs w:val="22"/>
        </w:rPr>
        <w:t>, որոնց հետևանքով</w:t>
      </w:r>
      <w:r w:rsidRPr="00B57DAB">
        <w:rPr>
          <w:rFonts w:ascii="GHEA Grapalat" w:hAnsi="GHEA Grapalat" w:cs="GHEA Grapalat"/>
          <w:sz w:val="22"/>
          <w:szCs w:val="22"/>
        </w:rPr>
        <w:t xml:space="preserve"> աշխատանքների տեմպը դանդաղել էր</w:t>
      </w:r>
      <w:r w:rsidR="0059400F" w:rsidRPr="00B57DAB">
        <w:rPr>
          <w:rFonts w:ascii="GHEA Grapalat" w:hAnsi="GHEA Grapalat" w:cs="GHEA Grapalat"/>
          <w:sz w:val="22"/>
          <w:szCs w:val="22"/>
        </w:rPr>
        <w:t>,</w:t>
      </w:r>
      <w:r w:rsidRPr="00B57DAB">
        <w:rPr>
          <w:rFonts w:ascii="GHEA Grapalat" w:hAnsi="GHEA Grapalat" w:cs="GHEA Grapalat"/>
          <w:sz w:val="22"/>
          <w:szCs w:val="22"/>
        </w:rPr>
        <w:t xml:space="preserve"> և առաջին եռամսյակի կատարողականները ներկայացվել են մարտի 30-ին: Միջոցառման շրջանակներում Թալին-Լանջիկ 71+500կմ-90+200կմ </w:t>
      </w:r>
      <w:r w:rsidR="0059400F" w:rsidRPr="00B57DAB">
        <w:rPr>
          <w:rFonts w:ascii="GHEA Grapalat" w:hAnsi="GHEA Grapalat" w:cs="GHEA Grapalat"/>
          <w:sz w:val="22"/>
          <w:szCs w:val="22"/>
        </w:rPr>
        <w:t>հատվածում իրականացվել են</w:t>
      </w:r>
      <w:r w:rsidRPr="00B57DAB">
        <w:rPr>
          <w:rFonts w:ascii="GHEA Grapalat" w:hAnsi="GHEA Grapalat" w:cs="GHEA Grapalat"/>
          <w:sz w:val="22"/>
          <w:szCs w:val="22"/>
        </w:rPr>
        <w:t xml:space="preserve"> 15 կմ երկարությամբ ճանապարհահատվածի կառուցման աշխատանքներ:</w:t>
      </w:r>
    </w:p>
    <w:p w:rsidR="003F2149" w:rsidRPr="00B57DAB" w:rsidRDefault="003F2149" w:rsidP="003F2149">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 xml:space="preserve">Պետական նշանակության ավտոճանապարհների հիմնանորոգման միջոցառման շրջանակներում 2022 թվականի առաջին եռամսյակի ընթացքում օգտագործվել է </w:t>
      </w:r>
      <w:r w:rsidR="001D3125" w:rsidRPr="00B57DAB">
        <w:rPr>
          <w:rFonts w:ascii="GHEA Grapalat" w:hAnsi="GHEA Grapalat" w:cs="GHEA Grapalat"/>
          <w:sz w:val="22"/>
          <w:szCs w:val="22"/>
        </w:rPr>
        <w:t>նախատեսված միջոցների 29%-ը՝ 755</w:t>
      </w:r>
      <w:r w:rsidR="001D3125" w:rsidRPr="00B57DAB">
        <w:rPr>
          <w:rFonts w:ascii="Courier New" w:hAnsi="Courier New" w:cs="Courier New"/>
          <w:sz w:val="22"/>
          <w:szCs w:val="22"/>
        </w:rPr>
        <w:t> </w:t>
      </w:r>
      <w:r w:rsidRPr="00B57DAB">
        <w:rPr>
          <w:rFonts w:ascii="GHEA Grapalat" w:hAnsi="GHEA Grapalat" w:cs="GHEA Grapalat"/>
          <w:sz w:val="22"/>
          <w:szCs w:val="22"/>
        </w:rPr>
        <w:t>մլն դրամ</w:t>
      </w:r>
      <w:r w:rsidR="00DE290E" w:rsidRPr="00B57DAB">
        <w:rPr>
          <w:rFonts w:ascii="GHEA Grapalat" w:hAnsi="GHEA Grapalat" w:cs="GHEA Grapalat"/>
          <w:sz w:val="22"/>
          <w:szCs w:val="22"/>
        </w:rPr>
        <w:t>: Ցածր կատարողականը պայմանավորված է</w:t>
      </w:r>
      <w:r w:rsidRPr="00B57DAB">
        <w:rPr>
          <w:rFonts w:ascii="GHEA Grapalat" w:hAnsi="GHEA Grapalat" w:cs="GHEA Grapalat"/>
          <w:sz w:val="22"/>
          <w:szCs w:val="22"/>
        </w:rPr>
        <w:t xml:space="preserve"> ձյան տեղումներ</w:t>
      </w:r>
      <w:r w:rsidR="00DE290E" w:rsidRPr="00B57DAB">
        <w:rPr>
          <w:rFonts w:ascii="GHEA Grapalat" w:hAnsi="GHEA Grapalat" w:cs="GHEA Grapalat"/>
          <w:sz w:val="22"/>
          <w:szCs w:val="22"/>
        </w:rPr>
        <w:t>ով, որոնց</w:t>
      </w:r>
      <w:r w:rsidRPr="00B57DAB">
        <w:rPr>
          <w:rFonts w:ascii="GHEA Grapalat" w:hAnsi="GHEA Grapalat" w:cs="GHEA Grapalat"/>
          <w:sz w:val="22"/>
          <w:szCs w:val="22"/>
        </w:rPr>
        <w:t xml:space="preserve"> պատճառով որոշ աշխատանքներ ձգձգվել են</w:t>
      </w:r>
      <w:r w:rsidR="00DE290E" w:rsidRPr="00B57DAB">
        <w:rPr>
          <w:rFonts w:ascii="GHEA Grapalat" w:hAnsi="GHEA Grapalat" w:cs="GHEA Grapalat"/>
          <w:sz w:val="22"/>
          <w:szCs w:val="22"/>
        </w:rPr>
        <w:t>,</w:t>
      </w:r>
      <w:r w:rsidRPr="00B57DAB">
        <w:rPr>
          <w:rFonts w:ascii="GHEA Grapalat" w:hAnsi="GHEA Grapalat" w:cs="GHEA Grapalat"/>
          <w:sz w:val="22"/>
          <w:szCs w:val="22"/>
        </w:rPr>
        <w:t xml:space="preserve"> և կատարողականներ չեն ներկայացվել:</w:t>
      </w:r>
    </w:p>
    <w:p w:rsidR="001D3125" w:rsidRPr="00B57DAB" w:rsidRDefault="001D3125" w:rsidP="001D3125">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Հայաստան-Վրաստան սահմանային տարածաշրջանային ճանապարհի (Մ6 Վանաձոր-Բագրատաշեն) բարելավման ծրագրի շրջանակներում տարբեր դոնորների աջակցությամբ իրականացվող միջոցառումների շրջանակներում օգտագործվել է 1.3 մլրդ դրամ կամ նախատեսված միջոցների 51.7%-ը:</w:t>
      </w:r>
      <w:r w:rsidRPr="00B57DAB">
        <w:rPr>
          <w:rFonts w:ascii="GHEA Grapalat" w:hAnsi="GHEA Grapalat"/>
          <w:color w:val="00B050"/>
          <w:lang w:eastAsia="ru-RU"/>
        </w:rPr>
        <w:t xml:space="preserve"> </w:t>
      </w:r>
      <w:r w:rsidRPr="00B57DAB">
        <w:rPr>
          <w:rFonts w:ascii="GHEA Grapalat" w:hAnsi="GHEA Grapalat" w:cs="GHEA Grapalat"/>
          <w:sz w:val="22"/>
          <w:szCs w:val="22"/>
        </w:rPr>
        <w:t>Տարբերությունը հիմնականում պայմանավորված է եղանակային անբարենպաստ պայմաններ</w:t>
      </w:r>
      <w:r w:rsidR="006962D6" w:rsidRPr="00B57DAB">
        <w:rPr>
          <w:rFonts w:ascii="GHEA Grapalat" w:hAnsi="GHEA Grapalat" w:cs="GHEA Grapalat"/>
          <w:sz w:val="22"/>
          <w:szCs w:val="22"/>
        </w:rPr>
        <w:t>ով, որոնց</w:t>
      </w:r>
      <w:r w:rsidRPr="00B57DAB">
        <w:rPr>
          <w:rFonts w:ascii="GHEA Grapalat" w:hAnsi="GHEA Grapalat" w:cs="GHEA Grapalat"/>
          <w:sz w:val="22"/>
          <w:szCs w:val="22"/>
        </w:rPr>
        <w:t xml:space="preserve"> պատճառով</w:t>
      </w:r>
      <w:r w:rsidR="00BE66BA" w:rsidRPr="00B57DAB">
        <w:rPr>
          <w:rFonts w:ascii="GHEA Grapalat" w:hAnsi="GHEA Grapalat" w:cs="GHEA Grapalat"/>
          <w:sz w:val="22"/>
          <w:szCs w:val="22"/>
        </w:rPr>
        <w:t xml:space="preserve"> որոշ</w:t>
      </w:r>
      <w:r w:rsidRPr="00B57DAB">
        <w:rPr>
          <w:rFonts w:ascii="GHEA Grapalat" w:hAnsi="GHEA Grapalat" w:cs="GHEA Grapalat"/>
          <w:sz w:val="22"/>
          <w:szCs w:val="22"/>
        </w:rPr>
        <w:t xml:space="preserve"> կատարողականներ</w:t>
      </w:r>
      <w:r w:rsidR="00BE66BA" w:rsidRPr="00B57DAB">
        <w:rPr>
          <w:rFonts w:ascii="GHEA Grapalat" w:hAnsi="GHEA Grapalat" w:cs="GHEA Grapalat"/>
          <w:sz w:val="22"/>
          <w:szCs w:val="22"/>
        </w:rPr>
        <w:t xml:space="preserve"> ներկայացվել են</w:t>
      </w:r>
      <w:r w:rsidRPr="00B57DAB">
        <w:rPr>
          <w:rFonts w:ascii="GHEA Grapalat" w:hAnsi="GHEA Grapalat" w:cs="GHEA Grapalat"/>
          <w:sz w:val="22"/>
          <w:szCs w:val="22"/>
        </w:rPr>
        <w:t xml:space="preserve"> մարտի վերջ</w:t>
      </w:r>
      <w:r w:rsidR="00BE66BA" w:rsidRPr="00B57DAB">
        <w:rPr>
          <w:rFonts w:ascii="GHEA Grapalat" w:hAnsi="GHEA Grapalat" w:cs="GHEA Grapalat"/>
          <w:sz w:val="22"/>
          <w:szCs w:val="22"/>
        </w:rPr>
        <w:t>ին,</w:t>
      </w:r>
      <w:r w:rsidRPr="00B57DAB">
        <w:rPr>
          <w:rFonts w:ascii="GHEA Grapalat" w:hAnsi="GHEA Grapalat" w:cs="GHEA Grapalat"/>
          <w:sz w:val="22"/>
          <w:szCs w:val="22"/>
        </w:rPr>
        <w:t xml:space="preserve"> և վճարումները </w:t>
      </w:r>
      <w:r w:rsidR="00BE66BA" w:rsidRPr="00B57DAB">
        <w:rPr>
          <w:rFonts w:ascii="GHEA Grapalat" w:hAnsi="GHEA Grapalat" w:cs="GHEA Grapalat"/>
          <w:sz w:val="22"/>
          <w:szCs w:val="22"/>
        </w:rPr>
        <w:t>տեղափոխվել են հաջորդ եռամսյակ</w:t>
      </w:r>
      <w:r w:rsidRPr="00B57DAB">
        <w:rPr>
          <w:rFonts w:ascii="GHEA Grapalat" w:hAnsi="GHEA Grapalat" w:cs="GHEA Grapalat"/>
          <w:sz w:val="22"/>
          <w:szCs w:val="22"/>
        </w:rPr>
        <w:t>:</w:t>
      </w:r>
    </w:p>
    <w:bookmarkEnd w:id="59"/>
    <w:p w:rsidR="003F2149" w:rsidRPr="00B57DAB" w:rsidRDefault="003F2149" w:rsidP="003F2149">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 xml:space="preserve">Միջպետական և հանրապետական նշանակության ավտոճանապարհների պահպանման և անվտանգ երթևեկության ծառայությունների շրջանակներում հաշվետու ժամանակահատվածում իրականացվել են ընդհանուր օգտագործման ընթացիկ ձմեռային (3225.55 կմ) ավտոմոբիլային ճանապարհների և դրանց վրա գտնվող և առանձին պահպանման հանձնվող թունելների (3 հատ), կամուրջների (5 հատ) և մետաղական արգելափակոցների պահպանման և վերականգնման (790 կմ) աշխատանքներ: Միջոցառման ծախսերը կազմել են շուրջ 980.7 մլն դրամ կամ եռամսյակային </w:t>
      </w:r>
      <w:r w:rsidRPr="00B57DAB">
        <w:rPr>
          <w:rFonts w:ascii="GHEA Grapalat" w:hAnsi="GHEA Grapalat" w:cs="GHEA Grapalat"/>
          <w:sz w:val="22"/>
          <w:szCs w:val="22"/>
        </w:rPr>
        <w:lastRenderedPageBreak/>
        <w:t>ծրագրի 69.7%-ը: Շեղումը հիմնականում պայմանավորված է</w:t>
      </w:r>
      <w:r w:rsidR="00F17713" w:rsidRPr="00B57DAB">
        <w:rPr>
          <w:rFonts w:ascii="GHEA Grapalat" w:hAnsi="GHEA Grapalat" w:cs="GHEA Grapalat"/>
          <w:sz w:val="22"/>
          <w:szCs w:val="22"/>
        </w:rPr>
        <w:t xml:space="preserve"> նրանով, որ որոշ կատարողականներ ներկայացվել են</w:t>
      </w:r>
      <w:r w:rsidRPr="00B57DAB">
        <w:rPr>
          <w:rFonts w:ascii="GHEA Grapalat" w:hAnsi="GHEA Grapalat" w:cs="GHEA Grapalat"/>
          <w:sz w:val="22"/>
          <w:szCs w:val="22"/>
        </w:rPr>
        <w:t xml:space="preserve"> մարտի վերջում</w:t>
      </w:r>
      <w:r w:rsidR="00F17713" w:rsidRPr="00B57DAB">
        <w:rPr>
          <w:rFonts w:ascii="GHEA Grapalat" w:hAnsi="GHEA Grapalat" w:cs="GHEA Grapalat"/>
          <w:sz w:val="22"/>
          <w:szCs w:val="22"/>
        </w:rPr>
        <w:t>,</w:t>
      </w:r>
      <w:r w:rsidRPr="00B57DAB">
        <w:rPr>
          <w:rFonts w:ascii="GHEA Grapalat" w:hAnsi="GHEA Grapalat" w:cs="GHEA Grapalat"/>
          <w:sz w:val="22"/>
          <w:szCs w:val="22"/>
        </w:rPr>
        <w:t xml:space="preserve"> և վճարումները</w:t>
      </w:r>
      <w:r w:rsidR="00F17713" w:rsidRPr="00B57DAB">
        <w:rPr>
          <w:rFonts w:ascii="GHEA Grapalat" w:hAnsi="GHEA Grapalat" w:cs="GHEA Grapalat"/>
          <w:sz w:val="22"/>
          <w:szCs w:val="22"/>
        </w:rPr>
        <w:t xml:space="preserve"> </w:t>
      </w:r>
      <w:r w:rsidR="00DF4E84" w:rsidRPr="00B57DAB">
        <w:rPr>
          <w:rFonts w:ascii="GHEA Grapalat" w:hAnsi="GHEA Grapalat" w:cs="GHEA Grapalat"/>
          <w:sz w:val="22"/>
          <w:szCs w:val="22"/>
        </w:rPr>
        <w:t>կատար</w:t>
      </w:r>
      <w:r w:rsidR="00F17713" w:rsidRPr="00B57DAB">
        <w:rPr>
          <w:rFonts w:ascii="GHEA Grapalat" w:hAnsi="GHEA Grapalat" w:cs="GHEA Grapalat"/>
          <w:sz w:val="22"/>
          <w:szCs w:val="22"/>
        </w:rPr>
        <w:t>վել են</w:t>
      </w:r>
      <w:r w:rsidRPr="00B57DAB">
        <w:rPr>
          <w:rFonts w:ascii="GHEA Grapalat" w:hAnsi="GHEA Grapalat" w:cs="GHEA Grapalat"/>
          <w:sz w:val="22"/>
          <w:szCs w:val="22"/>
        </w:rPr>
        <w:t xml:space="preserve"> ապրիլ ամիս:</w:t>
      </w:r>
    </w:p>
    <w:p w:rsidR="003F2149" w:rsidRPr="00B57DAB" w:rsidRDefault="003F2149" w:rsidP="003F2149">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 xml:space="preserve">2021 թվականի առաջին եռամսյակի համեմատ Ճանապարհային ցանցի բարելավման ծրագրի </w:t>
      </w:r>
      <w:r w:rsidRPr="00B57DAB">
        <w:rPr>
          <w:rFonts w:ascii="GHEA Grapalat" w:hAnsi="GHEA Grapalat" w:cs="Sylfaen"/>
          <w:sz w:val="22"/>
          <w:szCs w:val="22"/>
        </w:rPr>
        <w:t>շրջանակներում</w:t>
      </w:r>
      <w:r w:rsidRPr="00B57DAB">
        <w:rPr>
          <w:rFonts w:ascii="GHEA Grapalat" w:hAnsi="GHEA Grapalat" w:cs="GHEA Grapalat"/>
          <w:sz w:val="22"/>
          <w:szCs w:val="22"/>
        </w:rPr>
        <w:t xml:space="preserve"> կատարված ծախսերն աճել են 2 անգամ կամ 2.3 մլրդ դրամով՝ հիմնականում պայմանավորված արտաքին աջակցությամբ իրականացվող ծրագրերի</w:t>
      </w:r>
      <w:r w:rsidR="008F485C" w:rsidRPr="00B57DAB">
        <w:rPr>
          <w:rFonts w:ascii="GHEA Grapalat" w:hAnsi="GHEA Grapalat" w:cs="GHEA Grapalat"/>
          <w:sz w:val="22"/>
          <w:szCs w:val="22"/>
        </w:rPr>
        <w:t xml:space="preserve"> շրջանակներում կատարված ծախսերի</w:t>
      </w:r>
      <w:r w:rsidRPr="00B57DAB">
        <w:rPr>
          <w:rFonts w:ascii="GHEA Grapalat" w:hAnsi="GHEA Grapalat" w:cs="GHEA Grapalat"/>
          <w:sz w:val="22"/>
          <w:szCs w:val="22"/>
        </w:rPr>
        <w:t xml:space="preserve"> և </w:t>
      </w:r>
      <w:r w:rsidR="008F485C" w:rsidRPr="00B57DAB">
        <w:rPr>
          <w:rFonts w:ascii="GHEA Grapalat" w:hAnsi="GHEA Grapalat" w:cs="GHEA Grapalat"/>
          <w:sz w:val="22"/>
          <w:szCs w:val="22"/>
        </w:rPr>
        <w:t>պ</w:t>
      </w:r>
      <w:r w:rsidRPr="00B57DAB">
        <w:rPr>
          <w:rFonts w:ascii="GHEA Grapalat" w:hAnsi="GHEA Grapalat" w:cs="GHEA Grapalat"/>
          <w:sz w:val="22"/>
          <w:szCs w:val="22"/>
        </w:rPr>
        <w:t>ետական նշանակության ավտոճանապարհների հիմնանորոգ</w:t>
      </w:r>
      <w:r w:rsidR="008F485C" w:rsidRPr="00B57DAB">
        <w:rPr>
          <w:rFonts w:ascii="GHEA Grapalat" w:hAnsi="GHEA Grapalat" w:cs="GHEA Grapalat"/>
          <w:sz w:val="22"/>
          <w:szCs w:val="22"/>
        </w:rPr>
        <w:t>ման</w:t>
      </w:r>
      <w:r w:rsidRPr="00B57DAB">
        <w:rPr>
          <w:rFonts w:ascii="GHEA Grapalat" w:hAnsi="GHEA Grapalat" w:cs="GHEA Grapalat"/>
          <w:sz w:val="22"/>
          <w:szCs w:val="22"/>
        </w:rPr>
        <w:t xml:space="preserve"> ծախսերի աճով։</w:t>
      </w:r>
    </w:p>
    <w:p w:rsidR="003F2149" w:rsidRPr="00B57DAB" w:rsidRDefault="003F2149" w:rsidP="003F2149">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 xml:space="preserve">2022 թվականի առաջին եռամսյակի ընթացքում </w:t>
      </w:r>
      <w:r w:rsidRPr="00B57DAB">
        <w:rPr>
          <w:rFonts w:ascii="GHEA Grapalat" w:hAnsi="GHEA Grapalat" w:cs="GHEA Grapalat"/>
          <w:i/>
          <w:sz w:val="22"/>
          <w:szCs w:val="22"/>
        </w:rPr>
        <w:t>Ջրամատակարարման և ջրահեռացման բարելավման</w:t>
      </w:r>
      <w:r w:rsidRPr="00B57DAB">
        <w:rPr>
          <w:rFonts w:ascii="GHEA Grapalat" w:hAnsi="GHEA Grapalat" w:cs="GHEA Grapalat"/>
          <w:sz w:val="22"/>
          <w:szCs w:val="22"/>
        </w:rPr>
        <w:t xml:space="preserve"> ծրագրի շրջանակներում օգտագործվել է նախատեսված միջոցների 34.1%-ը՝ շուրջ</w:t>
      </w:r>
      <w:r w:rsidR="008F485C" w:rsidRPr="00B57DAB">
        <w:rPr>
          <w:rFonts w:ascii="GHEA Grapalat" w:hAnsi="GHEA Grapalat" w:cs="GHEA Grapalat"/>
          <w:sz w:val="22"/>
          <w:szCs w:val="22"/>
        </w:rPr>
        <w:t xml:space="preserve"> 427</w:t>
      </w:r>
      <w:r w:rsidR="008F485C" w:rsidRPr="00B57DAB">
        <w:rPr>
          <w:rFonts w:ascii="Courier New" w:hAnsi="Courier New" w:cs="Courier New"/>
          <w:sz w:val="22"/>
          <w:szCs w:val="22"/>
        </w:rPr>
        <w:t> </w:t>
      </w:r>
      <w:r w:rsidRPr="00B57DAB">
        <w:rPr>
          <w:rFonts w:ascii="GHEA Grapalat" w:hAnsi="GHEA Grapalat" w:cs="GHEA Grapalat"/>
          <w:sz w:val="22"/>
          <w:szCs w:val="22"/>
        </w:rPr>
        <w:t xml:space="preserve">մլն դրամ: Ծրագրի ծախսերն իրականացվել են արտաքին աջակցությամբ: Մասնավորապես՝ Գերմանիայի զարգացման վարկերի բանկի աջակցությամբ իրականացվող ջրամատակարարման և ջրահեռացման ենթակառուցվածքների վերականգնման ծրագրի երրորդ փուլի շրջանակներում օգտագործվել է 244.8 մլն դրամ՝ կազմելով ծրագրված ցուցանիշի 28%-ը: Ծրագրի շրջանակներում նորոգվել է 2.3 կմ </w:t>
      </w:r>
      <w:bookmarkStart w:id="62" w:name="_Hlk101541554"/>
      <w:r w:rsidRPr="00B57DAB">
        <w:rPr>
          <w:rFonts w:ascii="GHEA Grapalat" w:hAnsi="GHEA Grapalat" w:cs="GHEA Grapalat"/>
          <w:sz w:val="22"/>
          <w:szCs w:val="22"/>
        </w:rPr>
        <w:t xml:space="preserve">(նախատեսված 28.2 կմ-ի դիմաց) </w:t>
      </w:r>
      <w:bookmarkEnd w:id="62"/>
      <w:r w:rsidRPr="00B57DAB">
        <w:rPr>
          <w:rFonts w:ascii="GHEA Grapalat" w:hAnsi="GHEA Grapalat" w:cs="GHEA Grapalat"/>
          <w:sz w:val="22"/>
          <w:szCs w:val="22"/>
        </w:rPr>
        <w:t>երկարությամբ ջրագիծ, 1.7 կմ (նախատեսված 0.9 կմ-ի դիմաց) կոյուղագիծ և 100 հատ (նախատեսված 663 հատի դիմաց) տնային միացում: Շեղումը պայմանավորված է այն հանգամանքով, որ, եղանակային անբարենպաստ պայմաններից ելնելով, 2 պայմանագրերի շրջանակներում</w:t>
      </w:r>
      <w:r w:rsidR="008F485C" w:rsidRPr="00B57DAB">
        <w:rPr>
          <w:rFonts w:ascii="GHEA Grapalat" w:hAnsi="GHEA Grapalat" w:cs="GHEA Grapalat"/>
          <w:sz w:val="22"/>
          <w:szCs w:val="22"/>
        </w:rPr>
        <w:t xml:space="preserve"> նախատեսված</w:t>
      </w:r>
      <w:r w:rsidRPr="00B57DAB">
        <w:rPr>
          <w:rFonts w:ascii="GHEA Grapalat" w:hAnsi="GHEA Grapalat" w:cs="GHEA Grapalat"/>
          <w:sz w:val="22"/>
          <w:szCs w:val="22"/>
        </w:rPr>
        <w:t xml:space="preserve"> աշխատանքները ձմեռային դադարից հետո վերսկսվել</w:t>
      </w:r>
      <w:r w:rsidR="008F485C" w:rsidRPr="00B57DAB">
        <w:rPr>
          <w:rFonts w:ascii="GHEA Grapalat" w:hAnsi="GHEA Grapalat" w:cs="GHEA Grapalat"/>
          <w:sz w:val="22"/>
          <w:szCs w:val="22"/>
        </w:rPr>
        <w:t xml:space="preserve"> են ուշացումով</w:t>
      </w:r>
      <w:r w:rsidRPr="00B57DAB">
        <w:rPr>
          <w:rFonts w:ascii="GHEA Grapalat" w:hAnsi="GHEA Grapalat" w:cs="GHEA Grapalat"/>
          <w:sz w:val="22"/>
          <w:szCs w:val="22"/>
        </w:rPr>
        <w:t xml:space="preserve">: </w:t>
      </w:r>
      <w:r w:rsidR="002528AF" w:rsidRPr="00B57DAB">
        <w:rPr>
          <w:rFonts w:ascii="GHEA Grapalat" w:hAnsi="GHEA Grapalat" w:cs="GHEA Grapalat"/>
          <w:sz w:val="22"/>
          <w:szCs w:val="22"/>
        </w:rPr>
        <w:t>Նշված ծրագրի շրջանակներում կատարված ծախսերի նվազմամբ պայմանավորված՝ ն</w:t>
      </w:r>
      <w:r w:rsidRPr="00B57DAB">
        <w:rPr>
          <w:rFonts w:ascii="GHEA Grapalat" w:hAnsi="GHEA Grapalat" w:cs="GHEA Grapalat"/>
          <w:sz w:val="22"/>
          <w:szCs w:val="22"/>
        </w:rPr>
        <w:t>ախորդ տարվա</w:t>
      </w:r>
      <w:r w:rsidR="002528AF" w:rsidRPr="00B57DAB">
        <w:rPr>
          <w:rFonts w:ascii="GHEA Grapalat" w:hAnsi="GHEA Grapalat" w:cs="GHEA Grapalat"/>
          <w:sz w:val="22"/>
          <w:szCs w:val="22"/>
        </w:rPr>
        <w:t xml:space="preserve"> առաջին եռամսյակի</w:t>
      </w:r>
      <w:r w:rsidRPr="00B57DAB">
        <w:rPr>
          <w:rFonts w:ascii="GHEA Grapalat" w:hAnsi="GHEA Grapalat" w:cs="GHEA Grapalat"/>
          <w:sz w:val="22"/>
          <w:szCs w:val="22"/>
        </w:rPr>
        <w:t xml:space="preserve"> համեմատ Ջրամատակարարման և ջրահեռացման բարելավման ծրագրի ծախսերը նվազել են 70.8%-ով կամ 1</w:t>
      </w:r>
      <w:r w:rsidR="002528AF" w:rsidRPr="00B57DAB">
        <w:rPr>
          <w:rFonts w:ascii="GHEA Grapalat" w:hAnsi="GHEA Grapalat" w:cs="GHEA Grapalat"/>
          <w:sz w:val="22"/>
          <w:szCs w:val="22"/>
        </w:rPr>
        <w:t xml:space="preserve"> մլրդ դրամով</w:t>
      </w:r>
      <w:r w:rsidRPr="00B57DAB">
        <w:rPr>
          <w:rFonts w:ascii="GHEA Grapalat" w:hAnsi="GHEA Grapalat" w:cs="GHEA Grapalat"/>
          <w:sz w:val="22"/>
          <w:szCs w:val="22"/>
        </w:rPr>
        <w:t>։</w:t>
      </w:r>
    </w:p>
    <w:p w:rsidR="003F2149" w:rsidRPr="00B57DAB" w:rsidRDefault="003F2149" w:rsidP="003F2149">
      <w:pPr>
        <w:autoSpaceDE w:val="0"/>
        <w:autoSpaceDN w:val="0"/>
        <w:adjustRightInd w:val="0"/>
        <w:spacing w:line="360" w:lineRule="auto"/>
        <w:ind w:firstLine="567"/>
        <w:jc w:val="both"/>
        <w:rPr>
          <w:rFonts w:ascii="GHEA Grapalat" w:hAnsi="GHEA Grapalat" w:cs="GHEA Grapalat"/>
          <w:iCs/>
          <w:sz w:val="22"/>
          <w:szCs w:val="22"/>
        </w:rPr>
      </w:pPr>
      <w:r w:rsidRPr="00B57DAB">
        <w:rPr>
          <w:rFonts w:ascii="GHEA Grapalat" w:hAnsi="GHEA Grapalat" w:cs="GHEA Grapalat"/>
          <w:i/>
          <w:sz w:val="22"/>
          <w:szCs w:val="22"/>
        </w:rPr>
        <w:t xml:space="preserve">Պետական գույքի կառավարման </w:t>
      </w:r>
      <w:r w:rsidRPr="00B57DAB">
        <w:rPr>
          <w:rFonts w:ascii="GHEA Grapalat" w:hAnsi="GHEA Grapalat" w:cs="GHEA Grapalat"/>
          <w:iCs/>
          <w:sz w:val="22"/>
          <w:szCs w:val="22"/>
        </w:rPr>
        <w:t xml:space="preserve">ծրագրի գծով փաստացի ցուցանիշը կազմել է -2.2 մլրդ </w:t>
      </w:r>
      <w:r w:rsidR="008F485C" w:rsidRPr="00B57DAB">
        <w:rPr>
          <w:rFonts w:ascii="GHEA Grapalat" w:hAnsi="GHEA Grapalat" w:cs="GHEA Grapalat"/>
          <w:iCs/>
          <w:sz w:val="22"/>
          <w:szCs w:val="22"/>
        </w:rPr>
        <w:t>դրամ՝</w:t>
      </w:r>
      <w:r w:rsidRPr="00B57DAB">
        <w:rPr>
          <w:rFonts w:ascii="GHEA Grapalat" w:hAnsi="GHEA Grapalat" w:cs="GHEA Grapalat"/>
          <w:iCs/>
          <w:sz w:val="22"/>
          <w:szCs w:val="22"/>
        </w:rPr>
        <w:t xml:space="preserve"> 3.3 անգամ գերազանցել</w:t>
      </w:r>
      <w:r w:rsidR="008F485C" w:rsidRPr="00B57DAB">
        <w:rPr>
          <w:rFonts w:ascii="GHEA Grapalat" w:hAnsi="GHEA Grapalat" w:cs="GHEA Grapalat"/>
          <w:iCs/>
          <w:sz w:val="22"/>
          <w:szCs w:val="22"/>
        </w:rPr>
        <w:t>ով</w:t>
      </w:r>
      <w:r w:rsidRPr="00B57DAB">
        <w:rPr>
          <w:rFonts w:ascii="GHEA Grapalat" w:hAnsi="GHEA Grapalat" w:cs="GHEA Grapalat"/>
          <w:iCs/>
          <w:sz w:val="22"/>
          <w:szCs w:val="22"/>
        </w:rPr>
        <w:t xml:space="preserve"> ծրագրված ցուցանիշը</w:t>
      </w:r>
      <w:r w:rsidR="008F485C" w:rsidRPr="00B57DAB">
        <w:rPr>
          <w:rFonts w:ascii="GHEA Grapalat" w:hAnsi="GHEA Grapalat" w:cs="GHEA Grapalat"/>
          <w:iCs/>
          <w:sz w:val="22"/>
          <w:szCs w:val="22"/>
        </w:rPr>
        <w:t>, որը</w:t>
      </w:r>
      <w:r w:rsidRPr="00B57DAB">
        <w:rPr>
          <w:rFonts w:ascii="GHEA Grapalat" w:hAnsi="GHEA Grapalat" w:cs="GHEA Grapalat"/>
          <w:iCs/>
          <w:sz w:val="22"/>
          <w:szCs w:val="22"/>
        </w:rPr>
        <w:t xml:space="preserve"> պայմանավորված</w:t>
      </w:r>
      <w:r w:rsidR="008F485C" w:rsidRPr="00B57DAB">
        <w:rPr>
          <w:rFonts w:ascii="GHEA Grapalat" w:hAnsi="GHEA Grapalat" w:cs="GHEA Grapalat"/>
          <w:iCs/>
          <w:sz w:val="22"/>
          <w:szCs w:val="22"/>
        </w:rPr>
        <w:t xml:space="preserve"> է</w:t>
      </w:r>
      <w:r w:rsidRPr="00B57DAB">
        <w:rPr>
          <w:rFonts w:ascii="GHEA Grapalat" w:hAnsi="GHEA Grapalat" w:cs="GHEA Grapalat"/>
          <w:iCs/>
          <w:sz w:val="22"/>
          <w:szCs w:val="22"/>
        </w:rPr>
        <w:t xml:space="preserve"> ոչ ֆինանսական ակտիվների օտարումից ծրագրվածից ավել մուտքերով: 2022 թվականի առաջին եռամսյակի ընթացքում Պետական գույքի կառավարման ծրագրի շրջանակներում կատարվել են 288 մլն դրամ ծախսեր՝ կազմելով ծրագրված ցուցանիշի 91.3%-ը, որը մասամբ պայմանավորված է մարտ ամսվա որոշ ծառայությունների դիմաց վճար</w:t>
      </w:r>
      <w:r w:rsidR="006510D1" w:rsidRPr="00B57DAB">
        <w:rPr>
          <w:rFonts w:ascii="GHEA Grapalat" w:hAnsi="GHEA Grapalat" w:cs="GHEA Grapalat"/>
          <w:iCs/>
          <w:sz w:val="22"/>
          <w:szCs w:val="22"/>
        </w:rPr>
        <w:t>ման հայտերի մի մասն</w:t>
      </w:r>
      <w:r w:rsidRPr="00B57DAB">
        <w:rPr>
          <w:rFonts w:ascii="GHEA Grapalat" w:hAnsi="GHEA Grapalat" w:cs="GHEA Grapalat"/>
          <w:iCs/>
          <w:sz w:val="22"/>
          <w:szCs w:val="22"/>
        </w:rPr>
        <w:t xml:space="preserve"> ապրիլ ամսին </w:t>
      </w:r>
      <w:r w:rsidR="006510D1" w:rsidRPr="00B57DAB">
        <w:rPr>
          <w:rFonts w:ascii="GHEA Grapalat" w:hAnsi="GHEA Grapalat" w:cs="GHEA Grapalat"/>
          <w:iCs/>
          <w:sz w:val="22"/>
          <w:szCs w:val="22"/>
        </w:rPr>
        <w:t>ներկայացվ</w:t>
      </w:r>
      <w:r w:rsidRPr="00B57DAB">
        <w:rPr>
          <w:rFonts w:ascii="GHEA Grapalat" w:hAnsi="GHEA Grapalat" w:cs="GHEA Grapalat"/>
          <w:iCs/>
          <w:sz w:val="22"/>
          <w:szCs w:val="22"/>
        </w:rPr>
        <w:t>ելու հանգամանքով: Ոչ ֆինանսական ակտիվների օտարումից ստացվել է 2.5 մլրդ դրամ՝ 2.5 անգամ գերազանցելով կանխատեսված ցուցանիշը: Նախորդ տարվա ցուցանիշի համեմատ Պետական գույքի կառավարման ծրագրի ծախսերը նվազել են 0.7%-ով: Ոչ ֆինանսական ակտիվների օտարումից մուտքերն աճել են 4.5 անգամ:</w:t>
      </w:r>
    </w:p>
    <w:p w:rsidR="003F2149" w:rsidRPr="00B57DAB" w:rsidRDefault="003F2149" w:rsidP="003F2149">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i/>
          <w:sz w:val="22"/>
          <w:szCs w:val="22"/>
        </w:rPr>
        <w:t xml:space="preserve">Քաղաքային զարգացման </w:t>
      </w:r>
      <w:r w:rsidRPr="00B57DAB">
        <w:rPr>
          <w:rFonts w:ascii="GHEA Grapalat" w:hAnsi="GHEA Grapalat" w:cs="GHEA Grapalat"/>
          <w:sz w:val="22"/>
          <w:szCs w:val="22"/>
        </w:rPr>
        <w:t xml:space="preserve">ծրագրի շրջանակներում 2022 թվականի առաջին եռամսյակի ընթացքում օգտագործվել է 1.5 մլրդ դրամ կամ նախատեսված միջոցների 17.5%-ը: Ծրագրի կատարողականը </w:t>
      </w:r>
      <w:r w:rsidR="00F054EE" w:rsidRPr="00B57DAB">
        <w:rPr>
          <w:rFonts w:ascii="GHEA Grapalat" w:hAnsi="GHEA Grapalat" w:cs="GHEA Grapalat"/>
          <w:sz w:val="22"/>
          <w:szCs w:val="22"/>
        </w:rPr>
        <w:t>հիմնականում</w:t>
      </w:r>
      <w:r w:rsidRPr="00B57DAB">
        <w:rPr>
          <w:rFonts w:ascii="GHEA Grapalat" w:hAnsi="GHEA Grapalat" w:cs="GHEA Grapalat"/>
          <w:sz w:val="22"/>
          <w:szCs w:val="22"/>
        </w:rPr>
        <w:t xml:space="preserve"> պայմանավորված է տվյալ բնագավառում արտաքին աջակցությամբ իրականացվող վարկային և դրամաշնորհային ծրագրերի կատարողականով: </w:t>
      </w:r>
    </w:p>
    <w:p w:rsidR="003F2149" w:rsidRPr="00B57DAB" w:rsidRDefault="003F2149" w:rsidP="003F2149">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lastRenderedPageBreak/>
        <w:t xml:space="preserve">Ասիական զարգացման բանկի աջակցությամբ իրականացվող քաղաքային ենթակառուցվածքների և քաղաքի կայուն զարգացման ներդրումային ծրագրի շրջանակներում ծախսերը կազմել են 364.3 մլն դրամ կամ առաջին եռամսյակի համար նախատեսվածի 7.7%-ը, որը հիմնականում պայմանավորված է բնակիչների հետ առկա դատական վեճերի և եղանակային անբարենպաստ պայմանների պատճառով աշխատանքների դանդաղ ընթացքով: </w:t>
      </w:r>
    </w:p>
    <w:p w:rsidR="003F2149" w:rsidRPr="00B57DAB" w:rsidRDefault="003F2149" w:rsidP="003F2149">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Արևելյան Եվրոպայի էներգախն</w:t>
      </w:r>
      <w:r w:rsidR="008F485C" w:rsidRPr="00B57DAB">
        <w:rPr>
          <w:rFonts w:ascii="GHEA Grapalat" w:hAnsi="GHEA Grapalat" w:cs="GHEA Grapalat"/>
          <w:sz w:val="22"/>
          <w:szCs w:val="22"/>
        </w:rPr>
        <w:t>ա</w:t>
      </w:r>
      <w:r w:rsidRPr="00B57DAB">
        <w:rPr>
          <w:rFonts w:ascii="GHEA Grapalat" w:hAnsi="GHEA Grapalat" w:cs="GHEA Grapalat"/>
          <w:sz w:val="22"/>
          <w:szCs w:val="22"/>
        </w:rPr>
        <w:t>յողության և շրջակա միջավայրի գործընկերության տարածաշրջանային հիմնադրամի աջակցությամբ իրականացվող Երևան քաղաքի հանրային տրանսպորտի նոր երթուղային ցանցի շարժակազմի ներդրման ֆինա</w:t>
      </w:r>
      <w:r w:rsidR="006D561A" w:rsidRPr="00B57DAB">
        <w:rPr>
          <w:rFonts w:ascii="GHEA Grapalat" w:hAnsi="GHEA Grapalat" w:cs="GHEA Grapalat"/>
          <w:sz w:val="22"/>
          <w:szCs w:val="22"/>
        </w:rPr>
        <w:t>ն</w:t>
      </w:r>
      <w:r w:rsidRPr="00B57DAB">
        <w:rPr>
          <w:rFonts w:ascii="GHEA Grapalat" w:hAnsi="GHEA Grapalat" w:cs="GHEA Grapalat"/>
          <w:sz w:val="22"/>
          <w:szCs w:val="22"/>
        </w:rPr>
        <w:t>սական աջակցության դրամաշնորհային ծրագրի շրջանակներում նախատեսված 580 մլն դրամը չի օգտագործվել՝ պայմանավորված համաձայնագր</w:t>
      </w:r>
      <w:r w:rsidR="006D561A" w:rsidRPr="00B57DAB">
        <w:rPr>
          <w:rFonts w:ascii="GHEA Grapalat" w:hAnsi="GHEA Grapalat" w:cs="GHEA Grapalat"/>
          <w:sz w:val="22"/>
          <w:szCs w:val="22"/>
        </w:rPr>
        <w:t>երը հաստատված չլինելու հանգամանքով</w:t>
      </w:r>
      <w:r w:rsidRPr="00B57DAB">
        <w:rPr>
          <w:rFonts w:ascii="GHEA Grapalat" w:hAnsi="GHEA Grapalat" w:cs="GHEA Grapalat"/>
          <w:sz w:val="22"/>
          <w:szCs w:val="22"/>
        </w:rPr>
        <w:t>:</w:t>
      </w:r>
    </w:p>
    <w:p w:rsidR="003F2149" w:rsidRPr="00B57DAB" w:rsidRDefault="003F2149" w:rsidP="003F2149">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 xml:space="preserve">Եվրոպական միության հարևանության ներդրումային բանկի աջակցությամբ իրականացվող Երևանի մետրոպոլիտենի վերակառուցման երկրորդ դրամաշնորհային ծրագրի շրջանակներում </w:t>
      </w:r>
      <w:r w:rsidR="006D561A" w:rsidRPr="00B57DAB">
        <w:rPr>
          <w:rFonts w:ascii="GHEA Grapalat" w:hAnsi="GHEA Grapalat" w:cs="GHEA Grapalat"/>
          <w:sz w:val="22"/>
          <w:szCs w:val="22"/>
        </w:rPr>
        <w:t>նախատեսված աշխատանքները</w:t>
      </w:r>
      <w:r w:rsidRPr="00B57DAB">
        <w:rPr>
          <w:rFonts w:ascii="GHEA Grapalat" w:hAnsi="GHEA Grapalat" w:cs="GHEA Grapalat"/>
          <w:sz w:val="22"/>
          <w:szCs w:val="22"/>
        </w:rPr>
        <w:t xml:space="preserve"> որոշ չափով կատարվել են, սակայն նախատեսված 374.6 մլն դրամը չի օգտագործվել, ինչը պայմանավորված է</w:t>
      </w:r>
      <w:r w:rsidR="004A782A" w:rsidRPr="00B57DAB">
        <w:rPr>
          <w:rFonts w:ascii="GHEA Grapalat" w:hAnsi="GHEA Grapalat" w:cs="GHEA Grapalat"/>
          <w:sz w:val="22"/>
          <w:szCs w:val="22"/>
        </w:rPr>
        <w:t xml:space="preserve"> </w:t>
      </w:r>
      <w:r w:rsidRPr="00B57DAB">
        <w:rPr>
          <w:rFonts w:ascii="GHEA Grapalat" w:hAnsi="GHEA Grapalat" w:cs="GHEA Grapalat"/>
          <w:sz w:val="22"/>
          <w:szCs w:val="22"/>
        </w:rPr>
        <w:t>կապալառու կազմակերպության թերի աշխատանքով:</w:t>
      </w:r>
    </w:p>
    <w:p w:rsidR="003F2149" w:rsidRPr="00B57DAB" w:rsidRDefault="003F2149" w:rsidP="003F2149">
      <w:pPr>
        <w:autoSpaceDE w:val="0"/>
        <w:autoSpaceDN w:val="0"/>
        <w:adjustRightInd w:val="0"/>
        <w:spacing w:line="360" w:lineRule="auto"/>
        <w:ind w:firstLine="567"/>
        <w:jc w:val="both"/>
        <w:rPr>
          <w:rFonts w:ascii="GHEA Grapalat" w:hAnsi="GHEA Grapalat" w:cs="GHEA Grapalat"/>
          <w:color w:val="FF0000"/>
          <w:sz w:val="22"/>
          <w:szCs w:val="22"/>
        </w:rPr>
      </w:pPr>
      <w:r w:rsidRPr="00B57DAB">
        <w:rPr>
          <w:rFonts w:ascii="GHEA Grapalat" w:hAnsi="GHEA Grapalat" w:cs="GHEA Grapalat"/>
          <w:sz w:val="22"/>
          <w:szCs w:val="22"/>
        </w:rPr>
        <w:t xml:space="preserve">ՎԶԵԲ աջակցությամբ իրականացվող Գյումրու քաղաքային ճանապարհների ծրագրի շրջանակներում հաշվետու ժամանակահատվածում օգտագործվել է 35.1 մլն դրամ կամ նախատեսված միջոցների 7.4%-ը: </w:t>
      </w:r>
      <w:r w:rsidR="00564C34" w:rsidRPr="00B57DAB">
        <w:rPr>
          <w:rFonts w:ascii="GHEA Grapalat" w:hAnsi="GHEA Grapalat" w:cs="GHEA Grapalat"/>
          <w:sz w:val="22"/>
          <w:szCs w:val="22"/>
        </w:rPr>
        <w:t>Նշված գումարն ուղղվել է նախորդ տարի կատարված աշխատանքների դիմաց հետերաշխիքային գումարների վճարմանը, իսկ ընթացիկ տարվա աշխատանքները սկսվել են ապրիլին՝ պայմանավորված եղանակային պայմաններով:</w:t>
      </w:r>
    </w:p>
    <w:p w:rsidR="003F2149" w:rsidRPr="00B57DAB" w:rsidRDefault="003F2149" w:rsidP="003F2149">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Երևան քաղաքի փողոցների ճանապարհաշինարարական աշխատանքների համար նախատեսված 656.8 մլն դրամը չի օգտագործվել՝</w:t>
      </w:r>
      <w:r w:rsidR="00035A20" w:rsidRPr="00B57DAB">
        <w:rPr>
          <w:rFonts w:ascii="GHEA Grapalat" w:hAnsi="GHEA Grapalat" w:cs="Sylfaen"/>
          <w:sz w:val="22"/>
          <w:szCs w:val="22"/>
        </w:rPr>
        <w:t xml:space="preserve"> պայմանավորված</w:t>
      </w:r>
      <w:r w:rsidRPr="00B57DAB">
        <w:rPr>
          <w:rFonts w:ascii="GHEA Grapalat" w:hAnsi="GHEA Grapalat" w:cs="Sylfaen"/>
          <w:sz w:val="22"/>
          <w:szCs w:val="22"/>
        </w:rPr>
        <w:t xml:space="preserve"> պայմանագր</w:t>
      </w:r>
      <w:r w:rsidR="00035A20" w:rsidRPr="00B57DAB">
        <w:rPr>
          <w:rFonts w:ascii="GHEA Grapalat" w:hAnsi="GHEA Grapalat" w:cs="Sylfaen"/>
          <w:sz w:val="22"/>
          <w:szCs w:val="22"/>
        </w:rPr>
        <w:t>երը մարտին կնքելու հանգամանքով</w:t>
      </w:r>
      <w:r w:rsidRPr="00B57DAB">
        <w:rPr>
          <w:rFonts w:ascii="GHEA Grapalat" w:hAnsi="GHEA Grapalat" w:cs="Sylfaen"/>
          <w:sz w:val="22"/>
          <w:szCs w:val="22"/>
        </w:rPr>
        <w:t>:</w:t>
      </w:r>
    </w:p>
    <w:p w:rsidR="003F2149" w:rsidRPr="00B57DAB" w:rsidRDefault="003F2149" w:rsidP="003F2149">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 xml:space="preserve">Նախորդ տարվա համեմատ Քաղաքային զարգացման ծրագրի շրջանակներում կատարված ծախսերը նվազել են 56.6%-ով կամ շուրջ 2 մլրդ դրամով՝ հիմնականում պայմանավորված արտաքին աջակցությամբ իրականացվող վարկային և դրամաշնորհային ծրագրերի </w:t>
      </w:r>
      <w:r w:rsidR="00035A20" w:rsidRPr="00B57DAB">
        <w:rPr>
          <w:rFonts w:ascii="GHEA Grapalat" w:hAnsi="GHEA Grapalat" w:cs="Sylfaen"/>
          <w:sz w:val="22"/>
          <w:szCs w:val="22"/>
        </w:rPr>
        <w:t>շրջանակներում կատարված ծախսերի նվազմամբ</w:t>
      </w:r>
      <w:r w:rsidRPr="00B57DAB">
        <w:rPr>
          <w:rFonts w:ascii="GHEA Grapalat" w:hAnsi="GHEA Grapalat" w:cs="Sylfaen"/>
          <w:sz w:val="22"/>
          <w:szCs w:val="22"/>
        </w:rPr>
        <w:t>։</w:t>
      </w:r>
    </w:p>
    <w:p w:rsidR="003F2149" w:rsidRPr="00B57DAB" w:rsidRDefault="003F2149" w:rsidP="003F2149">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i/>
          <w:sz w:val="22"/>
          <w:szCs w:val="22"/>
        </w:rPr>
        <w:t>Տարածքային զարգացման ծրագրի</w:t>
      </w:r>
      <w:r w:rsidRPr="00B57DAB">
        <w:rPr>
          <w:rFonts w:ascii="GHEA Grapalat" w:hAnsi="GHEA Grapalat" w:cs="GHEA Grapalat"/>
          <w:sz w:val="22"/>
          <w:szCs w:val="22"/>
        </w:rPr>
        <w:t xml:space="preserve"> շրջանակներում օգտագործվել է նախատեսված միջոցների 86.1%-ը՝ շուրջ 17.8 մլրդ դրամ: Շեղումը հիմնականում պայմանավորված է ենթակառուցվածքների զարգացման նպատակով ՀՀ մարզերին սուբվենցիաների տրամադրման ծախսերի կատարողականով: Սուբվենցիոն ծրագրերն ուղղված են համայնքներում կապիտալ ներդրումներին, մասնավորապես՝ համայնքներում փողոցների, այգիների, պուրակների, խաղահրապարակների բարեկարգմանը, համայնքային շենքերի, մշակութային տների, մանկապարտեզների, </w:t>
      </w:r>
      <w:r w:rsidRPr="00B57DAB">
        <w:rPr>
          <w:rFonts w:ascii="GHEA Grapalat" w:hAnsi="GHEA Grapalat" w:cs="GHEA Grapalat"/>
          <w:sz w:val="22"/>
          <w:szCs w:val="22"/>
        </w:rPr>
        <w:lastRenderedPageBreak/>
        <w:t>հանդիսությունների սրահների կառուցմանն ու նորոգմանը, խմելու, կոյուղու, ոռոգման համակարգերի կառուցմանն ու նորոգմանը, գիշերային լուսավորության անցկացմանը, բնակավայրերի գազաֆիկացմանը, բազմաբնակարան շենքերի ընդհանուր բաժնային սեփականության գույքի վերանորոգմանը, գյուղատնտեսական և կոմունալ ծառայութունների համար մեքենասարքավորումների, ինչպես նաև գույքի ձեռքբերմանը։ Նշված միջոցառման շրջանակներում օգտագործվել է նախատեսված միջոցների 30.2%-ը կամ 1.2 մլրդ դրամ` պայմանավորված նրանով, որ վճարումների համար անհրաժեշտ փաստաթղթերը</w:t>
      </w:r>
      <w:r w:rsidR="002D13AA" w:rsidRPr="00B57DAB">
        <w:rPr>
          <w:rFonts w:ascii="GHEA Grapalat" w:hAnsi="GHEA Grapalat" w:cs="GHEA Grapalat"/>
          <w:sz w:val="22"/>
          <w:szCs w:val="22"/>
        </w:rPr>
        <w:t xml:space="preserve"> գտնվել են</w:t>
      </w:r>
      <w:r w:rsidRPr="00B57DAB">
        <w:rPr>
          <w:rFonts w:ascii="GHEA Grapalat" w:hAnsi="GHEA Grapalat" w:cs="GHEA Grapalat"/>
          <w:sz w:val="22"/>
          <w:szCs w:val="22"/>
        </w:rPr>
        <w:t xml:space="preserve"> հավաքագրման փուլում: Նախատեսված 122 համայնքից փաստաթղթերը ներկայացվել են 39-ի կողմից:</w:t>
      </w:r>
    </w:p>
    <w:p w:rsidR="003F2149" w:rsidRPr="00B57DAB" w:rsidRDefault="003F2149" w:rsidP="003F2149">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Տարածքային զարգացման ծրագրին հատկացված միջոցների հիմանական մասը՝ 16.1 մլրդ դրամը կազմել է</w:t>
      </w:r>
      <w:r w:rsidRPr="00B57DAB">
        <w:rPr>
          <w:rFonts w:ascii="GHEA Grapalat" w:hAnsi="GHEA Grapalat"/>
        </w:rPr>
        <w:t xml:space="preserve"> </w:t>
      </w:r>
      <w:r w:rsidRPr="00B57DAB">
        <w:rPr>
          <w:rFonts w:ascii="GHEA Grapalat" w:hAnsi="GHEA Grapalat" w:cs="GHEA Grapalat"/>
          <w:sz w:val="22"/>
          <w:szCs w:val="22"/>
        </w:rPr>
        <w:t>տեղական ինքնակառավարման մարմիններին</w:t>
      </w:r>
      <w:r w:rsidRPr="00B57DAB">
        <w:rPr>
          <w:rFonts w:ascii="GHEA Grapalat" w:hAnsi="GHEA Grapalat"/>
        </w:rPr>
        <w:t xml:space="preserve"> </w:t>
      </w:r>
      <w:r w:rsidRPr="00B57DAB">
        <w:rPr>
          <w:rFonts w:ascii="GHEA Grapalat" w:hAnsi="GHEA Grapalat" w:cs="GHEA Grapalat"/>
          <w:sz w:val="22"/>
          <w:szCs w:val="22"/>
        </w:rPr>
        <w:t>ֆինանսական աջակցությունը՝ պետական բյուջեից համայնքների բյուջեներին ֆինանսական համահարթեցման սկզբունքով տրվող դոտացիաները և օրենքների կիրարկման արդյունքում համայնքների բյուջեների կորուստների փոխհատուցման ծախսերը, որոնք տրամադրվել են նախատեսված ծավալով:</w:t>
      </w:r>
    </w:p>
    <w:p w:rsidR="003F2149" w:rsidRPr="00B57DAB" w:rsidRDefault="003F2149" w:rsidP="003F2149">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Նախորդ տարվա համեմատ Տարածքային զարգացման ծրագրի շրջանակներում կատարված ծախսերն աճել են 9%-ով կամ 1.5 մլրդ դրամով: Աճը պայմանավորված է ենթակառուցվածքների զարգացման նպատակով ՀՀ մարզերին սուբվենցիաների</w:t>
      </w:r>
      <w:r w:rsidR="002D13AA" w:rsidRPr="00B57DAB">
        <w:rPr>
          <w:rFonts w:ascii="GHEA Grapalat" w:hAnsi="GHEA Grapalat" w:cs="GHEA Grapalat"/>
          <w:sz w:val="22"/>
          <w:szCs w:val="22"/>
        </w:rPr>
        <w:t xml:space="preserve"> տրամադրմամ</w:t>
      </w:r>
      <w:r w:rsidRPr="00B57DAB">
        <w:rPr>
          <w:rFonts w:ascii="GHEA Grapalat" w:hAnsi="GHEA Grapalat" w:cs="GHEA Grapalat"/>
          <w:sz w:val="22"/>
          <w:szCs w:val="22"/>
        </w:rPr>
        <w:t>բ, որոնք 2021 թվականի առաջին եռամսյակում նախատեսված չեն եղել։</w:t>
      </w:r>
    </w:p>
    <w:p w:rsidR="003F2149" w:rsidRPr="00B57DAB" w:rsidRDefault="003F2149" w:rsidP="003F2149">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2022 թվականի առաջին եռամսյակում ՀՀ տարածքային կառավարման և ենթակառուցվածքների նախարարության պատասխանատվու</w:t>
      </w:r>
      <w:r w:rsidR="002D13AA" w:rsidRPr="00B57DAB">
        <w:rPr>
          <w:rFonts w:ascii="GHEA Grapalat" w:hAnsi="GHEA Grapalat" w:cs="Sylfaen"/>
          <w:sz w:val="22"/>
          <w:szCs w:val="22"/>
        </w:rPr>
        <w:t>թյամբ իրականացվող այլ ծրագրերից</w:t>
      </w:r>
      <w:r w:rsidRPr="00B57DAB">
        <w:rPr>
          <w:rFonts w:ascii="GHEA Grapalat" w:hAnsi="GHEA Grapalat" w:cs="Sylfaen"/>
          <w:sz w:val="22"/>
          <w:szCs w:val="22"/>
        </w:rPr>
        <w:t xml:space="preserve"> </w:t>
      </w:r>
      <w:r w:rsidRPr="00B57DAB">
        <w:rPr>
          <w:rFonts w:ascii="GHEA Grapalat" w:hAnsi="GHEA Grapalat" w:cs="Sylfaen"/>
          <w:i/>
          <w:sz w:val="22"/>
          <w:szCs w:val="22"/>
        </w:rPr>
        <w:t>Դպրոցների սեյսմիկ անվտանգության մակարդակի բարձրացման ծրագիր</w:t>
      </w:r>
      <w:r w:rsidR="002D13AA" w:rsidRPr="00B57DAB">
        <w:rPr>
          <w:rFonts w:ascii="GHEA Grapalat" w:hAnsi="GHEA Grapalat" w:cs="Sylfaen"/>
          <w:i/>
          <w:sz w:val="22"/>
          <w:szCs w:val="22"/>
        </w:rPr>
        <w:t>ն</w:t>
      </w:r>
      <w:r w:rsidRPr="00B57DAB">
        <w:rPr>
          <w:rFonts w:ascii="GHEA Grapalat" w:hAnsi="GHEA Grapalat" w:cs="Sylfaen"/>
          <w:sz w:val="22"/>
          <w:szCs w:val="22"/>
        </w:rPr>
        <w:t xml:space="preserve"> իրականացվել է Ասիական զարգացման բանկի աջակցությամբ: Ծրագիրն օժանդակում է Աղետների ռիսկի նվազեցման ազգային ծրագրի իրականացմանը՝ բարելավելով դպրոցների սեյսմիկ անվտանգությունը, որպեսզի նվազեցվեն դպրոցներում հնարավոր զոհերը և վնասները երկրաշարժերի ժամանակ։ Ծրագրի շրջանակներում շինարարական աշխատանքներ են տարվել անավարտ 20 դպրոցներում: Դպրոցների սեյսմիկ անվտանգության մակարդակի բարձրացման ծրագրի շրջանակներում օգտագործվել է 928.6 մլն դրամ՝ ապահովելով ծրագրային ցուցանիշի 48.6% կատարողական: </w:t>
      </w:r>
      <w:r w:rsidR="00AD3C15" w:rsidRPr="00B57DAB">
        <w:rPr>
          <w:rFonts w:ascii="GHEA Grapalat" w:hAnsi="GHEA Grapalat" w:cs="Sylfaen"/>
          <w:sz w:val="22"/>
          <w:szCs w:val="22"/>
        </w:rPr>
        <w:t xml:space="preserve">Շեղումը հիմնականում պայմանավորված է նրանով, որ շինարարական պայմանագրով նախատեսված կանխավճարը չի վճարվել՝ կապալառուի կողմից բանկային երաշխիքն ուշացումով ներկայացվելու պատճառով։ </w:t>
      </w:r>
      <w:r w:rsidRPr="00B57DAB">
        <w:rPr>
          <w:rFonts w:ascii="GHEA Grapalat" w:hAnsi="GHEA Grapalat" w:cs="Sylfaen"/>
          <w:sz w:val="22"/>
          <w:szCs w:val="22"/>
        </w:rPr>
        <w:t xml:space="preserve">Նախորդ տարվա նույն ժամանակահատվածի համեմատ </w:t>
      </w:r>
      <w:r w:rsidRPr="00B57DAB">
        <w:rPr>
          <w:rFonts w:ascii="GHEA Grapalat" w:hAnsi="GHEA Grapalat" w:cs="Sylfaen"/>
          <w:iCs/>
          <w:sz w:val="22"/>
          <w:szCs w:val="22"/>
        </w:rPr>
        <w:t xml:space="preserve">Դպրոցների սեյսմիկ անվտանգության մակարդակի բարձրացման ծրագրի շրջանակներում կատարված ծախսերն աճել են 2.3%-ով կամ 20.6 մլն դրամով՝ հիմնականում պայմանավորված Ասիական զարգացման բանկի աջակցությամբ իրականացվող դպրոցների </w:t>
      </w:r>
      <w:r w:rsidRPr="00B57DAB">
        <w:rPr>
          <w:rFonts w:ascii="GHEA Grapalat" w:hAnsi="GHEA Grapalat" w:cs="Sylfaen"/>
          <w:iCs/>
          <w:sz w:val="22"/>
          <w:szCs w:val="22"/>
        </w:rPr>
        <w:lastRenderedPageBreak/>
        <w:t>սեյսմիկ պաշտպանության ծրագրի շրջանակներում ՀՀ դպրոցների սեյսմիկ անվտանգության բարելավմանն ուղղված միջոցառման գծով ծախսերի աճով:</w:t>
      </w:r>
    </w:p>
    <w:p w:rsidR="003F2149" w:rsidRPr="00B57DAB" w:rsidRDefault="003F2149" w:rsidP="003F2149">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 xml:space="preserve">2022 թվականի առաջին եռամսյակում </w:t>
      </w:r>
      <w:r w:rsidRPr="00B57DAB">
        <w:rPr>
          <w:rFonts w:ascii="GHEA Grapalat" w:hAnsi="GHEA Grapalat" w:cs="Sylfaen"/>
          <w:i/>
          <w:iCs/>
          <w:sz w:val="22"/>
          <w:szCs w:val="22"/>
        </w:rPr>
        <w:t xml:space="preserve">Սոցիալական ներդրումների և տեղական զարգացման ծրագրի </w:t>
      </w:r>
      <w:r w:rsidRPr="00B57DAB">
        <w:rPr>
          <w:rFonts w:ascii="GHEA Grapalat" w:hAnsi="GHEA Grapalat" w:cs="Sylfaen"/>
          <w:iCs/>
          <w:sz w:val="22"/>
          <w:szCs w:val="22"/>
        </w:rPr>
        <w:t>իրականացման</w:t>
      </w:r>
      <w:r w:rsidRPr="00B57DAB">
        <w:rPr>
          <w:rFonts w:ascii="GHEA Grapalat" w:hAnsi="GHEA Grapalat" w:cs="Sylfaen"/>
          <w:sz w:val="22"/>
          <w:szCs w:val="22"/>
        </w:rPr>
        <w:t xml:space="preserve"> համար օգտագործվել է շուրջ 472.1 դրամ՝ ապահովելով 64.1% կատարողական: Շեղումը զգալիորեն պայմանավորված է Համաշխարհային բանկի աջակցությամբ իրականացվող</w:t>
      </w:r>
      <w:r w:rsidR="004A782A" w:rsidRPr="00B57DAB">
        <w:rPr>
          <w:rFonts w:ascii="GHEA Grapalat" w:hAnsi="GHEA Grapalat" w:cs="Sylfaen"/>
          <w:sz w:val="22"/>
          <w:szCs w:val="22"/>
        </w:rPr>
        <w:t xml:space="preserve"> </w:t>
      </w:r>
      <w:r w:rsidRPr="00B57DAB">
        <w:rPr>
          <w:rFonts w:ascii="GHEA Grapalat" w:hAnsi="GHEA Grapalat" w:cs="Sylfaen"/>
          <w:sz w:val="22"/>
          <w:szCs w:val="22"/>
        </w:rPr>
        <w:t>Տարածքային զարգացման հիմնադրամի ծրագրի շրջանակներում ՀՀ տարածքներում ջրագծերի, առողջապահության, կրթության, մշակույթի, հատուկ խնամքի և</w:t>
      </w:r>
      <w:r w:rsidR="004A782A" w:rsidRPr="00B57DAB">
        <w:rPr>
          <w:rFonts w:ascii="GHEA Grapalat" w:hAnsi="GHEA Grapalat" w:cs="Sylfaen"/>
          <w:sz w:val="22"/>
          <w:szCs w:val="22"/>
        </w:rPr>
        <w:t xml:space="preserve"> </w:t>
      </w:r>
      <w:r w:rsidRPr="00B57DAB">
        <w:rPr>
          <w:rFonts w:ascii="GHEA Grapalat" w:hAnsi="GHEA Grapalat" w:cs="Sylfaen"/>
          <w:sz w:val="22"/>
          <w:szCs w:val="22"/>
        </w:rPr>
        <w:t>ենթակառուցվածքների ոլորտի վերականգնման և</w:t>
      </w:r>
      <w:r w:rsidR="004A782A" w:rsidRPr="00B57DAB">
        <w:rPr>
          <w:rFonts w:ascii="GHEA Grapalat" w:hAnsi="GHEA Grapalat" w:cs="Sylfaen"/>
          <w:sz w:val="22"/>
          <w:szCs w:val="22"/>
        </w:rPr>
        <w:t xml:space="preserve"> </w:t>
      </w:r>
      <w:r w:rsidRPr="00B57DAB">
        <w:rPr>
          <w:rFonts w:ascii="GHEA Grapalat" w:hAnsi="GHEA Grapalat" w:cs="Sylfaen"/>
          <w:sz w:val="22"/>
          <w:szCs w:val="22"/>
        </w:rPr>
        <w:t>շինարարության աշխատանքների կատարողականով: Նշված ծախսերը</w:t>
      </w:r>
      <w:r w:rsidR="00972908" w:rsidRPr="00B57DAB">
        <w:rPr>
          <w:rFonts w:ascii="GHEA Grapalat" w:hAnsi="GHEA Grapalat" w:cs="Sylfaen"/>
          <w:sz w:val="22"/>
          <w:szCs w:val="22"/>
        </w:rPr>
        <w:t xml:space="preserve"> կատարվել են 52.6%-ով՝ </w:t>
      </w:r>
      <w:r w:rsidRPr="00B57DAB">
        <w:rPr>
          <w:rFonts w:ascii="GHEA Grapalat" w:hAnsi="GHEA Grapalat" w:cs="Sylfaen"/>
          <w:sz w:val="22"/>
          <w:szCs w:val="22"/>
        </w:rPr>
        <w:t>կազմել</w:t>
      </w:r>
      <w:r w:rsidR="00972908" w:rsidRPr="00B57DAB">
        <w:rPr>
          <w:rFonts w:ascii="GHEA Grapalat" w:hAnsi="GHEA Grapalat" w:cs="Sylfaen"/>
          <w:sz w:val="22"/>
          <w:szCs w:val="22"/>
        </w:rPr>
        <w:t>ով</w:t>
      </w:r>
      <w:r w:rsidRPr="00B57DAB">
        <w:rPr>
          <w:rFonts w:ascii="GHEA Grapalat" w:hAnsi="GHEA Grapalat" w:cs="Sylfaen"/>
          <w:sz w:val="22"/>
          <w:szCs w:val="22"/>
        </w:rPr>
        <w:t xml:space="preserve"> 145.3 մլն դրամ</w:t>
      </w:r>
      <w:r w:rsidR="00972908" w:rsidRPr="00B57DAB">
        <w:rPr>
          <w:rFonts w:ascii="GHEA Grapalat" w:hAnsi="GHEA Grapalat" w:cs="Sylfaen"/>
          <w:sz w:val="22"/>
          <w:szCs w:val="22"/>
        </w:rPr>
        <w:t>՝</w:t>
      </w:r>
      <w:r w:rsidRPr="00B57DAB">
        <w:rPr>
          <w:rFonts w:ascii="GHEA Grapalat" w:hAnsi="GHEA Grapalat" w:cs="Sylfaen"/>
          <w:sz w:val="22"/>
          <w:szCs w:val="22"/>
        </w:rPr>
        <w:t xml:space="preserve"> պայմանավորված ձմեռային անբարենպաստ եղանակային պայմանների պատճառով աշխատանքների ժամանակավոր դադարով: </w:t>
      </w:r>
      <w:r w:rsidR="00972908" w:rsidRPr="00B57DAB">
        <w:rPr>
          <w:rFonts w:ascii="GHEA Grapalat" w:hAnsi="GHEA Grapalat" w:cs="Sylfaen"/>
          <w:sz w:val="22"/>
          <w:szCs w:val="22"/>
        </w:rPr>
        <w:t xml:space="preserve">Սոցիալական ներդրումների և տեղական զարգացման ծրագրի </w:t>
      </w:r>
      <w:r w:rsidRPr="00B57DAB">
        <w:rPr>
          <w:rFonts w:ascii="GHEA Grapalat" w:hAnsi="GHEA Grapalat" w:cs="Sylfaen"/>
          <w:sz w:val="22"/>
          <w:szCs w:val="22"/>
        </w:rPr>
        <w:t>ցածր կատարողականը պայմանավորված է նաև Համաշխարհային բանկի աջակցությամբ իրականացվող Սոցիալական ներդրումների և տեղական զարգացման ծրագրի լրացուցիչ ֆինանսավորման վարկի շրջանակներում ՀՀ համայնքային և միջհամայնքային ենթակառուցվածքների որակի, օգտագործման և հասանելիության բարելավմանն ուղղված ծախսերի</w:t>
      </w:r>
      <w:r w:rsidRPr="00B57DAB">
        <w:t xml:space="preserve"> </w:t>
      </w:r>
      <w:r w:rsidRPr="00B57DAB">
        <w:rPr>
          <w:rFonts w:ascii="GHEA Grapalat" w:hAnsi="GHEA Grapalat" w:cs="Sylfaen"/>
          <w:sz w:val="22"/>
          <w:szCs w:val="22"/>
        </w:rPr>
        <w:t>կատարողականով</w:t>
      </w:r>
      <w:r w:rsidR="00972908" w:rsidRPr="00B57DAB">
        <w:rPr>
          <w:rFonts w:ascii="GHEA Grapalat" w:hAnsi="GHEA Grapalat" w:cs="Sylfaen"/>
          <w:sz w:val="22"/>
          <w:szCs w:val="22"/>
        </w:rPr>
        <w:t>, որը կազմել է</w:t>
      </w:r>
      <w:r w:rsidRPr="00B57DAB">
        <w:rPr>
          <w:rFonts w:ascii="GHEA Grapalat" w:hAnsi="GHEA Grapalat" w:cs="Sylfaen"/>
          <w:sz w:val="22"/>
          <w:szCs w:val="22"/>
        </w:rPr>
        <w:t xml:space="preserve"> 5</w:t>
      </w:r>
      <w:r w:rsidR="00972908" w:rsidRPr="00B57DAB">
        <w:rPr>
          <w:rFonts w:ascii="GHEA Grapalat" w:hAnsi="GHEA Grapalat" w:cs="Sylfaen"/>
          <w:sz w:val="22"/>
          <w:szCs w:val="22"/>
        </w:rPr>
        <w:t>7.2% կամ 99.5 մլն դրամ՝</w:t>
      </w:r>
      <w:r w:rsidRPr="00B57DAB">
        <w:rPr>
          <w:rFonts w:ascii="GHEA Grapalat" w:hAnsi="GHEA Grapalat" w:cs="Sylfaen"/>
          <w:sz w:val="22"/>
          <w:szCs w:val="22"/>
        </w:rPr>
        <w:t xml:space="preserve"> պայմանավորված մրցութային գործընթացի երկարաձգմամբ:</w:t>
      </w:r>
    </w:p>
    <w:p w:rsidR="003F2149" w:rsidRPr="00B57DAB" w:rsidRDefault="003F2149" w:rsidP="003F2149">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 xml:space="preserve">Նախորդ տարվա նույն ժամանակահատվածի համեմատ </w:t>
      </w:r>
      <w:r w:rsidR="00972908" w:rsidRPr="00B57DAB">
        <w:rPr>
          <w:rFonts w:ascii="GHEA Grapalat" w:hAnsi="GHEA Grapalat" w:cs="Sylfaen"/>
          <w:sz w:val="22"/>
          <w:szCs w:val="22"/>
        </w:rPr>
        <w:t xml:space="preserve">Սոցիալական ներդրումների և տեղական զարգացման </w:t>
      </w:r>
      <w:r w:rsidRPr="00B57DAB">
        <w:rPr>
          <w:rFonts w:ascii="GHEA Grapalat" w:hAnsi="GHEA Grapalat" w:cs="Sylfaen"/>
          <w:sz w:val="22"/>
          <w:szCs w:val="22"/>
        </w:rPr>
        <w:t>ծրագրի ծախսերը նվազել են 15.2%-ով կամ 84.5 մլն դրամով:</w:t>
      </w:r>
    </w:p>
    <w:p w:rsidR="003F2149" w:rsidRPr="00B57DAB" w:rsidRDefault="003F2149" w:rsidP="003F2149">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 xml:space="preserve">Հաշվետու ժամանակահատվածում </w:t>
      </w:r>
      <w:r w:rsidRPr="00B57DAB">
        <w:rPr>
          <w:rFonts w:ascii="GHEA Grapalat" w:hAnsi="GHEA Grapalat" w:cs="Sylfaen"/>
          <w:i/>
          <w:sz w:val="22"/>
          <w:szCs w:val="22"/>
        </w:rPr>
        <w:t>Կոշտ թափոնների կառավարման ծրագրի</w:t>
      </w:r>
      <w:r w:rsidRPr="00B57DAB">
        <w:rPr>
          <w:rFonts w:ascii="GHEA Grapalat" w:hAnsi="GHEA Grapalat" w:cs="Sylfaen"/>
          <w:sz w:val="22"/>
          <w:szCs w:val="22"/>
        </w:rPr>
        <w:t xml:space="preserve"> շրջանակներում օգտագործվել է 21.3 մլն դրամ կամ </w:t>
      </w:r>
      <w:r w:rsidR="00972908" w:rsidRPr="00B57DAB">
        <w:rPr>
          <w:rFonts w:ascii="GHEA Grapalat" w:hAnsi="GHEA Grapalat" w:cs="Sylfaen"/>
          <w:sz w:val="22"/>
          <w:szCs w:val="22"/>
        </w:rPr>
        <w:t>նախատեսված միջոցների</w:t>
      </w:r>
      <w:r w:rsidRPr="00B57DAB">
        <w:rPr>
          <w:rFonts w:ascii="GHEA Grapalat" w:hAnsi="GHEA Grapalat" w:cs="Sylfaen"/>
          <w:sz w:val="22"/>
          <w:szCs w:val="22"/>
        </w:rPr>
        <w:t xml:space="preserve"> 14%-ը: Շեղումը հիմնականում պայմանավորված է Վերակառուցման և զարգացման եվրոպական բանկի աջակցությամբ իրականացվող Կոտայքի և Գեղարքունիքի մարզի կոշտ թափոնների կառավարման դրամաշնորհային ծրագրի կատարողականով, որի շրջանակներում Հրազդանի տարածքում նախատեսված շինարարական աշխատանքները հնարավոր չի եղել</w:t>
      </w:r>
      <w:r w:rsidR="00972908" w:rsidRPr="00B57DAB">
        <w:rPr>
          <w:rFonts w:ascii="GHEA Grapalat" w:hAnsi="GHEA Grapalat" w:cs="Sylfaen"/>
          <w:sz w:val="22"/>
          <w:szCs w:val="22"/>
        </w:rPr>
        <w:t xml:space="preserve"> ամբողջությամբ</w:t>
      </w:r>
      <w:r w:rsidRPr="00B57DAB">
        <w:rPr>
          <w:rFonts w:ascii="GHEA Grapalat" w:hAnsi="GHEA Grapalat" w:cs="Sylfaen"/>
          <w:sz w:val="22"/>
          <w:szCs w:val="22"/>
        </w:rPr>
        <w:t xml:space="preserve"> իրականացնել եղանակային </w:t>
      </w:r>
      <w:r w:rsidR="00972908" w:rsidRPr="00B57DAB">
        <w:rPr>
          <w:rFonts w:ascii="GHEA Grapalat" w:hAnsi="GHEA Grapalat" w:cs="Sylfaen"/>
          <w:sz w:val="22"/>
          <w:szCs w:val="22"/>
        </w:rPr>
        <w:t>ան</w:t>
      </w:r>
      <w:r w:rsidRPr="00B57DAB">
        <w:rPr>
          <w:rFonts w:ascii="GHEA Grapalat" w:hAnsi="GHEA Grapalat" w:cs="Sylfaen"/>
          <w:sz w:val="22"/>
          <w:szCs w:val="22"/>
        </w:rPr>
        <w:t>բարենպաստ պայմանների պատճառով: Միջոցառման</w:t>
      </w:r>
      <w:r w:rsidRPr="00B57DAB">
        <w:rPr>
          <w:rFonts w:ascii="GHEA Grapalat" w:hAnsi="GHEA Grapalat"/>
          <w:sz w:val="22"/>
          <w:szCs w:val="22"/>
        </w:rPr>
        <w:t xml:space="preserve"> </w:t>
      </w:r>
      <w:r w:rsidRPr="00B57DAB">
        <w:rPr>
          <w:rFonts w:ascii="GHEA Grapalat" w:hAnsi="GHEA Grapalat" w:cs="Sylfaen"/>
          <w:sz w:val="22"/>
          <w:szCs w:val="22"/>
        </w:rPr>
        <w:t>շրջանակներում</w:t>
      </w:r>
      <w:r w:rsidRPr="00B57DAB">
        <w:rPr>
          <w:rFonts w:ascii="GHEA Grapalat" w:hAnsi="GHEA Grapalat"/>
          <w:sz w:val="22"/>
          <w:szCs w:val="22"/>
        </w:rPr>
        <w:t xml:space="preserve"> </w:t>
      </w:r>
      <w:r w:rsidRPr="00B57DAB">
        <w:rPr>
          <w:rFonts w:ascii="GHEA Grapalat" w:hAnsi="GHEA Grapalat" w:cs="Sylfaen"/>
          <w:sz w:val="22"/>
          <w:szCs w:val="22"/>
        </w:rPr>
        <w:t>օգտագործվել</w:t>
      </w:r>
      <w:r w:rsidRPr="00B57DAB">
        <w:rPr>
          <w:rFonts w:ascii="GHEA Grapalat" w:hAnsi="GHEA Grapalat"/>
          <w:sz w:val="22"/>
          <w:szCs w:val="22"/>
        </w:rPr>
        <w:t xml:space="preserve"> </w:t>
      </w:r>
      <w:r w:rsidRPr="00B57DAB">
        <w:rPr>
          <w:rFonts w:ascii="GHEA Grapalat" w:hAnsi="GHEA Grapalat" w:cs="Sylfaen"/>
          <w:sz w:val="22"/>
          <w:szCs w:val="22"/>
        </w:rPr>
        <w:t>է</w:t>
      </w:r>
      <w:r w:rsidRPr="00B57DAB">
        <w:rPr>
          <w:rFonts w:ascii="GHEA Grapalat" w:hAnsi="GHEA Grapalat"/>
          <w:sz w:val="22"/>
          <w:szCs w:val="22"/>
        </w:rPr>
        <w:t xml:space="preserve"> 21.3 </w:t>
      </w:r>
      <w:r w:rsidRPr="00B57DAB">
        <w:rPr>
          <w:rFonts w:ascii="GHEA Grapalat" w:hAnsi="GHEA Grapalat" w:cs="Sylfaen"/>
          <w:sz w:val="22"/>
          <w:szCs w:val="22"/>
        </w:rPr>
        <w:t>մլն</w:t>
      </w:r>
      <w:r w:rsidRPr="00B57DAB">
        <w:rPr>
          <w:rFonts w:ascii="GHEA Grapalat" w:hAnsi="GHEA Grapalat"/>
          <w:sz w:val="22"/>
          <w:szCs w:val="22"/>
        </w:rPr>
        <w:t xml:space="preserve"> </w:t>
      </w:r>
      <w:r w:rsidRPr="00B57DAB">
        <w:rPr>
          <w:rFonts w:ascii="GHEA Grapalat" w:hAnsi="GHEA Grapalat" w:cs="Sylfaen"/>
          <w:sz w:val="22"/>
          <w:szCs w:val="22"/>
        </w:rPr>
        <w:t>դրամ</w:t>
      </w:r>
      <w:r w:rsidRPr="00B57DAB">
        <w:rPr>
          <w:rFonts w:ascii="GHEA Grapalat" w:hAnsi="GHEA Grapalat"/>
          <w:sz w:val="22"/>
          <w:szCs w:val="22"/>
        </w:rPr>
        <w:t xml:space="preserve"> </w:t>
      </w:r>
      <w:r w:rsidRPr="00B57DAB">
        <w:rPr>
          <w:rFonts w:ascii="GHEA Grapalat" w:hAnsi="GHEA Grapalat" w:cs="Sylfaen"/>
          <w:sz w:val="22"/>
          <w:szCs w:val="22"/>
        </w:rPr>
        <w:t>կամ</w:t>
      </w:r>
      <w:r w:rsidRPr="00B57DAB">
        <w:rPr>
          <w:rFonts w:ascii="GHEA Grapalat" w:hAnsi="GHEA Grapalat"/>
          <w:sz w:val="22"/>
          <w:szCs w:val="22"/>
        </w:rPr>
        <w:t xml:space="preserve"> </w:t>
      </w:r>
      <w:r w:rsidRPr="00B57DAB">
        <w:rPr>
          <w:rFonts w:ascii="GHEA Grapalat" w:hAnsi="GHEA Grapalat" w:cs="Sylfaen"/>
          <w:sz w:val="22"/>
          <w:szCs w:val="22"/>
        </w:rPr>
        <w:t>նախատեսված</w:t>
      </w:r>
      <w:r w:rsidRPr="00B57DAB">
        <w:rPr>
          <w:rFonts w:ascii="GHEA Grapalat" w:hAnsi="GHEA Grapalat"/>
          <w:sz w:val="22"/>
          <w:szCs w:val="22"/>
        </w:rPr>
        <w:t xml:space="preserve"> </w:t>
      </w:r>
      <w:r w:rsidRPr="00B57DAB">
        <w:rPr>
          <w:rFonts w:ascii="GHEA Grapalat" w:hAnsi="GHEA Grapalat" w:cs="Sylfaen"/>
          <w:sz w:val="22"/>
          <w:szCs w:val="22"/>
        </w:rPr>
        <w:t>միջոցների</w:t>
      </w:r>
      <w:r w:rsidRPr="00B57DAB">
        <w:rPr>
          <w:rFonts w:ascii="GHEA Grapalat" w:hAnsi="GHEA Grapalat"/>
          <w:sz w:val="22"/>
          <w:szCs w:val="22"/>
        </w:rPr>
        <w:t xml:space="preserve"> 17.3%-</w:t>
      </w:r>
      <w:r w:rsidRPr="00B57DAB">
        <w:rPr>
          <w:rFonts w:ascii="GHEA Grapalat" w:hAnsi="GHEA Grapalat" w:cs="Sylfaen"/>
          <w:sz w:val="22"/>
          <w:szCs w:val="22"/>
        </w:rPr>
        <w:t>ը: Վերակառուցման և զարգացման եվրոպական բանկի աջակցությամբ իրականացվող Երևանի կոշտ թափոնների կառավարման դրամաշնորհային ծրագրի շրջանակներում նախատեսված 28.9 մլն դրամը մրցույթի ար</w:t>
      </w:r>
      <w:r w:rsidR="00972908" w:rsidRPr="00B57DAB">
        <w:rPr>
          <w:rFonts w:ascii="GHEA Grapalat" w:hAnsi="GHEA Grapalat" w:cs="Sylfaen"/>
          <w:sz w:val="22"/>
          <w:szCs w:val="22"/>
        </w:rPr>
        <w:t>դ</w:t>
      </w:r>
      <w:r w:rsidRPr="00B57DAB">
        <w:rPr>
          <w:rFonts w:ascii="GHEA Grapalat" w:hAnsi="GHEA Grapalat" w:cs="Sylfaen"/>
          <w:sz w:val="22"/>
          <w:szCs w:val="22"/>
        </w:rPr>
        <w:t>յունքները ՎԶԵԲ-ի կողմից չհաստատվելու պատճառով չ</w:t>
      </w:r>
      <w:r w:rsidR="00972908" w:rsidRPr="00B57DAB">
        <w:rPr>
          <w:rFonts w:ascii="GHEA Grapalat" w:hAnsi="GHEA Grapalat" w:cs="Sylfaen"/>
          <w:sz w:val="22"/>
          <w:szCs w:val="22"/>
        </w:rPr>
        <w:t>ի</w:t>
      </w:r>
      <w:r w:rsidRPr="00B57DAB">
        <w:rPr>
          <w:rFonts w:ascii="GHEA Grapalat" w:hAnsi="GHEA Grapalat" w:cs="Sylfaen"/>
          <w:sz w:val="22"/>
          <w:szCs w:val="22"/>
        </w:rPr>
        <w:t xml:space="preserve"> օգտագործվել: Նախորդ տարվա </w:t>
      </w:r>
      <w:r w:rsidR="00972908" w:rsidRPr="00B57DAB">
        <w:rPr>
          <w:rFonts w:ascii="GHEA Grapalat" w:hAnsi="GHEA Grapalat" w:cs="Sylfaen"/>
          <w:sz w:val="22"/>
          <w:szCs w:val="22"/>
        </w:rPr>
        <w:t xml:space="preserve">առաջին եռամսյակի </w:t>
      </w:r>
      <w:r w:rsidRPr="00B57DAB">
        <w:rPr>
          <w:rFonts w:ascii="GHEA Grapalat" w:hAnsi="GHEA Grapalat" w:cs="Sylfaen"/>
          <w:sz w:val="22"/>
          <w:szCs w:val="22"/>
        </w:rPr>
        <w:t>համեմատ Կոշտ թափոնների կառավարման ծրագրի ծախսերը նվազել են 86.3%-ով կամ 134.5 մլն դրամով, որ</w:t>
      </w:r>
      <w:r w:rsidR="00972908" w:rsidRPr="00B57DAB">
        <w:rPr>
          <w:rFonts w:ascii="GHEA Grapalat" w:hAnsi="GHEA Grapalat" w:cs="Sylfaen"/>
          <w:sz w:val="22"/>
          <w:szCs w:val="22"/>
        </w:rPr>
        <w:t>ն արձանագրվել է</w:t>
      </w:r>
      <w:r w:rsidRPr="00B57DAB">
        <w:rPr>
          <w:rFonts w:ascii="GHEA Grapalat" w:hAnsi="GHEA Grapalat" w:cs="Sylfaen"/>
          <w:sz w:val="22"/>
          <w:szCs w:val="22"/>
        </w:rPr>
        <w:t xml:space="preserve"> ՎԶԵԲ աջակցությամբ իրականացվող </w:t>
      </w:r>
      <w:r w:rsidRPr="00B57DAB">
        <w:rPr>
          <w:rFonts w:ascii="GHEA Grapalat" w:hAnsi="GHEA Grapalat" w:cs="Sylfaen"/>
          <w:sz w:val="22"/>
          <w:szCs w:val="22"/>
        </w:rPr>
        <w:lastRenderedPageBreak/>
        <w:t>Կոտայքի և Գեղարքունիքի մարզերի կոշտ թափոնների կառավարման</w:t>
      </w:r>
      <w:r w:rsidR="00651649" w:rsidRPr="00B57DAB">
        <w:rPr>
          <w:rFonts w:ascii="GHEA Grapalat" w:hAnsi="GHEA Grapalat" w:cs="Sylfaen"/>
          <w:sz w:val="22"/>
          <w:szCs w:val="22"/>
        </w:rPr>
        <w:t xml:space="preserve"> դրամաշնորհային</w:t>
      </w:r>
      <w:r w:rsidRPr="00B57DAB">
        <w:rPr>
          <w:rFonts w:ascii="GHEA Grapalat" w:hAnsi="GHEA Grapalat" w:cs="Sylfaen"/>
          <w:sz w:val="22"/>
          <w:szCs w:val="22"/>
        </w:rPr>
        <w:t xml:space="preserve"> ծրագրի </w:t>
      </w:r>
      <w:r w:rsidR="00972908" w:rsidRPr="00B57DAB">
        <w:rPr>
          <w:rFonts w:ascii="GHEA Grapalat" w:hAnsi="GHEA Grapalat" w:cs="Sylfaen"/>
          <w:sz w:val="22"/>
          <w:szCs w:val="22"/>
        </w:rPr>
        <w:t>ծախսերում</w:t>
      </w:r>
      <w:r w:rsidRPr="00B57DAB">
        <w:rPr>
          <w:rFonts w:ascii="GHEA Grapalat" w:hAnsi="GHEA Grapalat" w:cs="Sylfaen"/>
          <w:sz w:val="22"/>
          <w:szCs w:val="22"/>
        </w:rPr>
        <w:t xml:space="preserve">: </w:t>
      </w:r>
    </w:p>
    <w:p w:rsidR="003F2149" w:rsidRPr="00B57DAB" w:rsidRDefault="003F2149" w:rsidP="003F2149">
      <w:pPr>
        <w:spacing w:line="360" w:lineRule="auto"/>
        <w:ind w:firstLine="561"/>
        <w:jc w:val="both"/>
        <w:rPr>
          <w:rFonts w:ascii="GHEA Grapalat" w:hAnsi="GHEA Grapalat"/>
          <w:lang w:val="hy-AM"/>
        </w:rPr>
      </w:pPr>
    </w:p>
    <w:p w:rsidR="00AC1611" w:rsidRPr="00B57DAB" w:rsidRDefault="003F2149" w:rsidP="00AC1611">
      <w:pPr>
        <w:autoSpaceDE w:val="0"/>
        <w:autoSpaceDN w:val="0"/>
        <w:adjustRightInd w:val="0"/>
        <w:spacing w:line="360" w:lineRule="auto"/>
        <w:ind w:firstLine="567"/>
        <w:jc w:val="both"/>
        <w:rPr>
          <w:rFonts w:ascii="GHEA Grapalat" w:hAnsi="GHEA Grapalat" w:cs="Arial"/>
          <w:sz w:val="22"/>
          <w:szCs w:val="22"/>
          <w:lang w:val="zu-ZA"/>
        </w:rPr>
      </w:pPr>
      <w:r w:rsidRPr="00B57DAB">
        <w:rPr>
          <w:rFonts w:ascii="GHEA Grapalat" w:hAnsi="GHEA Grapalat"/>
          <w:i/>
          <w:sz w:val="22"/>
          <w:szCs w:val="22"/>
          <w:u w:val="single"/>
          <w:lang w:val="hy-AM"/>
        </w:rPr>
        <w:t>ՀՀ առողջապահության նախարարության</w:t>
      </w:r>
      <w:r w:rsidRPr="00B57DAB">
        <w:rPr>
          <w:rFonts w:ascii="GHEA Grapalat" w:hAnsi="GHEA Grapalat"/>
          <w:sz w:val="22"/>
          <w:szCs w:val="22"/>
          <w:lang w:val="hy-AM"/>
        </w:rPr>
        <w:t xml:space="preserve"> </w:t>
      </w:r>
      <w:r w:rsidR="00AC1611" w:rsidRPr="00B57DAB">
        <w:rPr>
          <w:rFonts w:ascii="GHEA Grapalat" w:hAnsi="GHEA Grapalat" w:cs="Arial"/>
          <w:sz w:val="22"/>
          <w:szCs w:val="22"/>
          <w:lang w:val="zu-ZA"/>
        </w:rPr>
        <w:t>պատասխանատվությամբ 2022 թվականի առաջին եռամսյակի</w:t>
      </w:r>
      <w:r w:rsidR="00AC1611" w:rsidRPr="00B57DAB">
        <w:rPr>
          <w:rFonts w:ascii="GHEA Grapalat" w:hAnsi="GHEA Grapalat" w:cs="GHEA Grapalat"/>
          <w:sz w:val="22"/>
          <w:szCs w:val="22"/>
          <w:lang w:val="hy-AM"/>
        </w:rPr>
        <w:t xml:space="preserve"> </w:t>
      </w:r>
      <w:r w:rsidR="00AC1611" w:rsidRPr="00B57DAB">
        <w:rPr>
          <w:rFonts w:ascii="GHEA Grapalat" w:hAnsi="GHEA Grapalat" w:cs="Arial"/>
          <w:sz w:val="22"/>
          <w:szCs w:val="22"/>
          <w:lang w:val="zu-ZA"/>
        </w:rPr>
        <w:t>ընթացքում կատարվել են 12 ծրագրեր, որոնց ուղղվել է 20.9 մլրդ դրամ՝ ապահովելով ծրագրված ցուցանիշի 87.4%-ը, ընդ որում բոլոր ծրագրերում</w:t>
      </w:r>
      <w:r w:rsidR="00AC1611" w:rsidRPr="00B57DAB">
        <w:rPr>
          <w:rFonts w:ascii="GHEA Grapalat" w:hAnsi="GHEA Grapalat" w:cs="Arial"/>
          <w:sz w:val="22"/>
          <w:szCs w:val="22"/>
          <w:lang w:val="hy-AM"/>
        </w:rPr>
        <w:t xml:space="preserve"> </w:t>
      </w:r>
      <w:r w:rsidR="00AC1611" w:rsidRPr="00B57DAB">
        <w:rPr>
          <w:rFonts w:ascii="GHEA Grapalat" w:hAnsi="GHEA Grapalat" w:cs="Arial"/>
          <w:sz w:val="22"/>
          <w:szCs w:val="22"/>
          <w:lang w:val="zu-ZA"/>
        </w:rPr>
        <w:t xml:space="preserve">արձանագրվել են շեղումներ։ 2021 թվականի նույն </w:t>
      </w:r>
      <w:r w:rsidR="00AC1611" w:rsidRPr="00B57DAB">
        <w:rPr>
          <w:rFonts w:ascii="GHEA Grapalat" w:hAnsi="GHEA Grapalat" w:cs="Sylfaen"/>
          <w:sz w:val="22"/>
          <w:szCs w:val="22"/>
        </w:rPr>
        <w:t>ժամանակահատվածի</w:t>
      </w:r>
      <w:r w:rsidR="00AC1611" w:rsidRPr="00B57DAB">
        <w:rPr>
          <w:rFonts w:ascii="GHEA Grapalat" w:hAnsi="GHEA Grapalat" w:cs="Arial"/>
          <w:sz w:val="22"/>
          <w:szCs w:val="22"/>
          <w:lang w:val="zu-ZA"/>
        </w:rPr>
        <w:t xml:space="preserve"> համեմատ առողջապահության </w:t>
      </w:r>
      <w:r w:rsidR="00AC1611" w:rsidRPr="00B57DAB">
        <w:rPr>
          <w:rFonts w:ascii="GHEA Grapalat" w:hAnsi="GHEA Grapalat" w:cs="Arial"/>
          <w:sz w:val="22"/>
          <w:szCs w:val="22"/>
        </w:rPr>
        <w:t>նախարարության</w:t>
      </w:r>
      <w:r w:rsidR="00AC1611" w:rsidRPr="00B57DAB">
        <w:rPr>
          <w:rFonts w:ascii="GHEA Grapalat" w:hAnsi="GHEA Grapalat" w:cs="Arial"/>
          <w:sz w:val="22"/>
          <w:szCs w:val="22"/>
          <w:lang w:val="zu-ZA"/>
        </w:rPr>
        <w:t xml:space="preserve"> ծախսերը նվազել են 10.9%</w:t>
      </w:r>
      <w:r w:rsidR="00AC1611" w:rsidRPr="00B57DAB">
        <w:rPr>
          <w:rFonts w:ascii="GHEA Grapalat" w:hAnsi="GHEA Grapalat" w:cs="Arial"/>
          <w:sz w:val="22"/>
          <w:szCs w:val="22"/>
          <w:lang w:val="zu-ZA"/>
        </w:rPr>
        <w:noBreakHyphen/>
        <w:t>ո</w:t>
      </w:r>
      <w:r w:rsidR="00AC1611" w:rsidRPr="00B57DAB">
        <w:rPr>
          <w:rFonts w:ascii="GHEA Grapalat" w:hAnsi="GHEA Grapalat" w:cs="Arial"/>
          <w:sz w:val="22"/>
          <w:szCs w:val="22"/>
        </w:rPr>
        <w:t>վ</w:t>
      </w:r>
      <w:r w:rsidR="00AC1611" w:rsidRPr="00B57DAB">
        <w:rPr>
          <w:rFonts w:ascii="GHEA Grapalat" w:hAnsi="GHEA Grapalat" w:cs="Arial"/>
          <w:sz w:val="22"/>
          <w:szCs w:val="22"/>
          <w:lang w:val="zu-ZA"/>
        </w:rPr>
        <w:t xml:space="preserve"> </w:t>
      </w:r>
      <w:r w:rsidR="00AC1611" w:rsidRPr="00B57DAB">
        <w:rPr>
          <w:rFonts w:ascii="GHEA Grapalat" w:hAnsi="GHEA Grapalat" w:cs="Arial"/>
          <w:sz w:val="22"/>
          <w:szCs w:val="22"/>
        </w:rPr>
        <w:t>կամ</w:t>
      </w:r>
      <w:r w:rsidR="00AC1611" w:rsidRPr="00B57DAB">
        <w:rPr>
          <w:rFonts w:ascii="GHEA Grapalat" w:hAnsi="GHEA Grapalat" w:cs="Arial"/>
          <w:sz w:val="22"/>
          <w:szCs w:val="22"/>
          <w:lang w:val="zu-ZA"/>
        </w:rPr>
        <w:t xml:space="preserve"> 2.5 </w:t>
      </w:r>
      <w:r w:rsidR="00AC1611" w:rsidRPr="00B57DAB">
        <w:rPr>
          <w:rFonts w:ascii="GHEA Grapalat" w:hAnsi="GHEA Grapalat" w:cs="Arial"/>
          <w:sz w:val="22"/>
          <w:szCs w:val="22"/>
        </w:rPr>
        <w:t>մլրդ</w:t>
      </w:r>
      <w:r w:rsidR="00AC1611" w:rsidRPr="00B57DAB">
        <w:rPr>
          <w:rFonts w:ascii="GHEA Grapalat" w:hAnsi="GHEA Grapalat" w:cs="Arial"/>
          <w:sz w:val="22"/>
          <w:szCs w:val="22"/>
          <w:lang w:val="zu-ZA"/>
        </w:rPr>
        <w:t xml:space="preserve"> </w:t>
      </w:r>
      <w:r w:rsidR="00AC1611" w:rsidRPr="00B57DAB">
        <w:rPr>
          <w:rFonts w:ascii="GHEA Grapalat" w:hAnsi="GHEA Grapalat" w:cs="Arial"/>
          <w:sz w:val="22"/>
          <w:szCs w:val="22"/>
        </w:rPr>
        <w:t>դրամով՝</w:t>
      </w:r>
      <w:r w:rsidR="00AC1611" w:rsidRPr="00B57DAB">
        <w:rPr>
          <w:rFonts w:ascii="GHEA Grapalat" w:hAnsi="GHEA Grapalat" w:cs="Arial"/>
          <w:sz w:val="22"/>
          <w:szCs w:val="22"/>
          <w:lang w:val="zu-ZA"/>
        </w:rPr>
        <w:t xml:space="preserve"> </w:t>
      </w:r>
      <w:r w:rsidR="00AC1611" w:rsidRPr="00B57DAB">
        <w:rPr>
          <w:rFonts w:ascii="GHEA Grapalat" w:hAnsi="GHEA Grapalat" w:cs="Arial"/>
          <w:sz w:val="22"/>
          <w:szCs w:val="22"/>
        </w:rPr>
        <w:t>հիմնականում</w:t>
      </w:r>
      <w:r w:rsidR="00AC1611" w:rsidRPr="00B57DAB">
        <w:rPr>
          <w:rFonts w:ascii="GHEA Grapalat" w:hAnsi="GHEA Grapalat" w:cs="Arial"/>
          <w:sz w:val="22"/>
          <w:szCs w:val="22"/>
          <w:lang w:val="zu-ZA"/>
        </w:rPr>
        <w:t xml:space="preserve"> պայմանավորված Հանրային առողջության պահպանման ծրագրի </w:t>
      </w:r>
      <w:r w:rsidR="00AC1611" w:rsidRPr="00B57DAB">
        <w:rPr>
          <w:rFonts w:ascii="GHEA Grapalat" w:hAnsi="GHEA Grapalat" w:cs="Arial"/>
          <w:sz w:val="22"/>
          <w:szCs w:val="22"/>
        </w:rPr>
        <w:t>շրջանակներում</w:t>
      </w:r>
      <w:r w:rsidR="00AC1611" w:rsidRPr="00B57DAB">
        <w:rPr>
          <w:rFonts w:ascii="GHEA Grapalat" w:hAnsi="GHEA Grapalat" w:cs="Arial"/>
          <w:sz w:val="22"/>
          <w:szCs w:val="22"/>
          <w:lang w:val="zu-ZA"/>
        </w:rPr>
        <w:t xml:space="preserve"> </w:t>
      </w:r>
      <w:r w:rsidR="00AC1611" w:rsidRPr="00B57DAB">
        <w:rPr>
          <w:rFonts w:ascii="GHEA Grapalat" w:hAnsi="GHEA Grapalat" w:cs="Arial"/>
          <w:sz w:val="22"/>
          <w:szCs w:val="22"/>
        </w:rPr>
        <w:t>կատարված</w:t>
      </w:r>
      <w:r w:rsidR="00AC1611" w:rsidRPr="00B57DAB">
        <w:rPr>
          <w:rFonts w:ascii="GHEA Grapalat" w:hAnsi="GHEA Grapalat" w:cs="Arial"/>
          <w:sz w:val="22"/>
          <w:szCs w:val="22"/>
          <w:lang w:val="zu-ZA"/>
        </w:rPr>
        <w:t xml:space="preserve"> </w:t>
      </w:r>
      <w:r w:rsidR="00AC1611" w:rsidRPr="00B57DAB">
        <w:rPr>
          <w:rFonts w:ascii="GHEA Grapalat" w:hAnsi="GHEA Grapalat" w:cs="Arial"/>
          <w:sz w:val="22"/>
          <w:szCs w:val="22"/>
        </w:rPr>
        <w:t>ծախսերի</w:t>
      </w:r>
      <w:r w:rsidR="00AC1611" w:rsidRPr="00B57DAB">
        <w:rPr>
          <w:rFonts w:ascii="GHEA Grapalat" w:hAnsi="GHEA Grapalat" w:cs="Arial"/>
          <w:sz w:val="22"/>
          <w:szCs w:val="22"/>
          <w:lang w:val="zu-ZA"/>
        </w:rPr>
        <w:t xml:space="preserve"> նվազմամբ:</w:t>
      </w:r>
    </w:p>
    <w:p w:rsidR="00AC1611" w:rsidRPr="00B57DAB" w:rsidRDefault="00AC1611" w:rsidP="00AC1611">
      <w:pPr>
        <w:autoSpaceDE w:val="0"/>
        <w:autoSpaceDN w:val="0"/>
        <w:adjustRightInd w:val="0"/>
        <w:spacing w:line="360" w:lineRule="auto"/>
        <w:ind w:firstLine="567"/>
        <w:jc w:val="both"/>
        <w:rPr>
          <w:rFonts w:ascii="GHEA Grapalat" w:hAnsi="GHEA Grapalat" w:cs="Arial"/>
          <w:sz w:val="22"/>
          <w:szCs w:val="22"/>
          <w:lang w:val="zu-ZA"/>
        </w:rPr>
      </w:pPr>
    </w:p>
    <w:p w:rsidR="00AC1611" w:rsidRPr="00B57DAB" w:rsidRDefault="00AC1611" w:rsidP="00770F24">
      <w:pPr>
        <w:pStyle w:val="Caption"/>
        <w:keepNext/>
        <w:numPr>
          <w:ilvl w:val="0"/>
          <w:numId w:val="8"/>
        </w:numPr>
        <w:tabs>
          <w:tab w:val="left" w:pos="1276"/>
        </w:tabs>
        <w:ind w:left="0" w:firstLine="0"/>
        <w:jc w:val="left"/>
        <w:rPr>
          <w:rFonts w:ascii="GHEA Grapalat" w:hAnsi="GHEA Grapalat"/>
          <w:i/>
          <w:sz w:val="18"/>
          <w:szCs w:val="18"/>
          <w:lang w:val="zu-ZA"/>
        </w:rPr>
      </w:pPr>
      <w:r w:rsidRPr="00B57DAB">
        <w:rPr>
          <w:rFonts w:ascii="GHEA Grapalat" w:hAnsi="GHEA Grapalat"/>
          <w:i/>
          <w:sz w:val="18"/>
          <w:szCs w:val="18"/>
          <w:lang w:val="zu-ZA"/>
        </w:rPr>
        <w:t>2022</w:t>
      </w:r>
      <w:r w:rsidRPr="00B57DAB">
        <w:rPr>
          <w:rFonts w:ascii="GHEA Grapalat" w:hAnsi="GHEA Grapalat"/>
          <w:i/>
          <w:sz w:val="18"/>
          <w:szCs w:val="18"/>
          <w:lang w:val="en-US"/>
        </w:rPr>
        <w:t>թ.</w:t>
      </w:r>
      <w:r w:rsidRPr="00B57DAB">
        <w:rPr>
          <w:rFonts w:ascii="GHEA Grapalat" w:hAnsi="GHEA Grapalat"/>
          <w:i/>
          <w:sz w:val="18"/>
          <w:szCs w:val="18"/>
          <w:lang w:val="zu-ZA"/>
        </w:rPr>
        <w:t xml:space="preserve"> </w:t>
      </w:r>
      <w:r w:rsidRPr="00B57DAB">
        <w:rPr>
          <w:rFonts w:ascii="GHEA Grapalat" w:hAnsi="GHEA Grapalat"/>
          <w:i/>
          <w:sz w:val="18"/>
          <w:szCs w:val="18"/>
          <w:lang w:val="en-US"/>
        </w:rPr>
        <w:t>առաջին</w:t>
      </w:r>
      <w:r w:rsidRPr="00B57DAB">
        <w:rPr>
          <w:rFonts w:ascii="GHEA Grapalat" w:hAnsi="GHEA Grapalat"/>
          <w:i/>
          <w:sz w:val="18"/>
          <w:szCs w:val="18"/>
          <w:lang w:val="zu-ZA"/>
        </w:rPr>
        <w:t xml:space="preserve"> </w:t>
      </w:r>
      <w:r w:rsidRPr="00B57DAB">
        <w:rPr>
          <w:rFonts w:ascii="GHEA Grapalat" w:hAnsi="GHEA Grapalat"/>
          <w:i/>
          <w:sz w:val="18"/>
          <w:szCs w:val="18"/>
          <w:lang w:val="en-US"/>
        </w:rPr>
        <w:t>եռամսյակում</w:t>
      </w:r>
      <w:r w:rsidRPr="00B57DAB">
        <w:rPr>
          <w:rFonts w:ascii="GHEA Grapalat" w:hAnsi="GHEA Grapalat"/>
          <w:i/>
          <w:sz w:val="18"/>
          <w:szCs w:val="18"/>
          <w:lang w:val="zu-ZA"/>
        </w:rPr>
        <w:t xml:space="preserve"> </w:t>
      </w:r>
      <w:r w:rsidRPr="00B57DAB">
        <w:rPr>
          <w:rFonts w:ascii="GHEA Grapalat" w:hAnsi="GHEA Grapalat"/>
          <w:i/>
          <w:sz w:val="18"/>
          <w:szCs w:val="18"/>
          <w:lang w:val="en-US"/>
        </w:rPr>
        <w:t>ՀՀ</w:t>
      </w:r>
      <w:r w:rsidRPr="00B57DAB">
        <w:rPr>
          <w:rFonts w:ascii="GHEA Grapalat" w:hAnsi="GHEA Grapalat"/>
          <w:i/>
          <w:sz w:val="18"/>
          <w:szCs w:val="18"/>
          <w:lang w:val="zu-ZA"/>
        </w:rPr>
        <w:t xml:space="preserve"> </w:t>
      </w:r>
      <w:r w:rsidRPr="00B57DAB">
        <w:rPr>
          <w:rFonts w:ascii="GHEA Grapalat" w:hAnsi="GHEA Grapalat"/>
          <w:i/>
          <w:sz w:val="18"/>
          <w:szCs w:val="18"/>
          <w:lang w:val="en-US"/>
        </w:rPr>
        <w:t>առողջապահության</w:t>
      </w:r>
      <w:r w:rsidRPr="00B57DAB">
        <w:rPr>
          <w:rFonts w:ascii="GHEA Grapalat" w:hAnsi="GHEA Grapalat"/>
          <w:i/>
          <w:sz w:val="18"/>
          <w:szCs w:val="18"/>
          <w:lang w:val="zu-ZA"/>
        </w:rPr>
        <w:t xml:space="preserve"> </w:t>
      </w:r>
      <w:r w:rsidRPr="00B57DAB">
        <w:rPr>
          <w:rFonts w:ascii="GHEA Grapalat" w:hAnsi="GHEA Grapalat"/>
          <w:i/>
          <w:sz w:val="18"/>
          <w:szCs w:val="18"/>
          <w:lang w:val="en-US"/>
        </w:rPr>
        <w:t>նախարարության</w:t>
      </w:r>
      <w:r w:rsidRPr="00B57DAB">
        <w:rPr>
          <w:rFonts w:ascii="GHEA Grapalat" w:hAnsi="GHEA Grapalat"/>
          <w:i/>
          <w:sz w:val="18"/>
          <w:szCs w:val="18"/>
          <w:lang w:val="zu-ZA"/>
        </w:rPr>
        <w:t xml:space="preserve"> </w:t>
      </w:r>
      <w:r w:rsidRPr="00B57DAB">
        <w:rPr>
          <w:rFonts w:ascii="GHEA Grapalat" w:hAnsi="GHEA Grapalat"/>
          <w:i/>
          <w:sz w:val="18"/>
          <w:szCs w:val="18"/>
          <w:lang w:val="en-US"/>
        </w:rPr>
        <w:t>կողմից</w:t>
      </w:r>
      <w:r w:rsidRPr="00B57DAB">
        <w:rPr>
          <w:rFonts w:ascii="GHEA Grapalat" w:hAnsi="GHEA Grapalat"/>
          <w:i/>
          <w:sz w:val="18"/>
          <w:szCs w:val="18"/>
          <w:lang w:val="zu-ZA"/>
        </w:rPr>
        <w:t xml:space="preserve"> </w:t>
      </w:r>
      <w:r w:rsidRPr="00B57DAB">
        <w:rPr>
          <w:rFonts w:ascii="GHEA Grapalat" w:hAnsi="GHEA Grapalat"/>
          <w:i/>
          <w:sz w:val="18"/>
          <w:szCs w:val="18"/>
          <w:lang w:val="en-US"/>
        </w:rPr>
        <w:t>իրականացված</w:t>
      </w:r>
      <w:r w:rsidRPr="00B57DAB">
        <w:rPr>
          <w:rFonts w:ascii="GHEA Grapalat" w:hAnsi="GHEA Grapalat"/>
          <w:i/>
          <w:sz w:val="18"/>
          <w:szCs w:val="18"/>
          <w:lang w:val="zu-ZA"/>
        </w:rPr>
        <w:t xml:space="preserve"> </w:t>
      </w:r>
      <w:r w:rsidRPr="00B57DAB">
        <w:rPr>
          <w:rFonts w:ascii="GHEA Grapalat" w:hAnsi="GHEA Grapalat"/>
          <w:i/>
          <w:sz w:val="18"/>
          <w:szCs w:val="18"/>
          <w:lang w:val="en-US"/>
        </w:rPr>
        <w:t>ծրագրերը</w:t>
      </w:r>
      <w:r w:rsidRPr="00B57DAB">
        <w:rPr>
          <w:rFonts w:ascii="GHEA Grapalat" w:hAnsi="GHEA Grapalat"/>
          <w:i/>
          <w:sz w:val="18"/>
          <w:szCs w:val="18"/>
          <w:lang w:val="zu-ZA"/>
        </w:rPr>
        <w:t xml:space="preserve"> (</w:t>
      </w:r>
      <w:r w:rsidRPr="00B57DAB">
        <w:rPr>
          <w:rFonts w:ascii="GHEA Grapalat" w:hAnsi="GHEA Grapalat"/>
          <w:i/>
          <w:sz w:val="18"/>
          <w:szCs w:val="18"/>
          <w:lang w:val="en-US"/>
        </w:rPr>
        <w:t>մլն</w:t>
      </w:r>
      <w:r w:rsidRPr="00B57DAB">
        <w:rPr>
          <w:rFonts w:ascii="GHEA Grapalat" w:hAnsi="GHEA Grapalat"/>
          <w:i/>
          <w:sz w:val="18"/>
          <w:szCs w:val="18"/>
          <w:lang w:val="zu-ZA"/>
        </w:rPr>
        <w:t xml:space="preserve"> </w:t>
      </w:r>
      <w:r w:rsidRPr="00B57DAB">
        <w:rPr>
          <w:rFonts w:ascii="GHEA Grapalat" w:hAnsi="GHEA Grapalat"/>
          <w:i/>
          <w:sz w:val="18"/>
          <w:szCs w:val="18"/>
          <w:lang w:val="en-US"/>
        </w:rPr>
        <w:t>դրամ</w:t>
      </w:r>
      <w:r w:rsidRPr="00B57DAB">
        <w:rPr>
          <w:rFonts w:ascii="GHEA Grapalat" w:hAnsi="GHEA Grapalat"/>
          <w:i/>
          <w:sz w:val="18"/>
          <w:szCs w:val="18"/>
          <w:lang w:val="zu-ZA"/>
        </w:rPr>
        <w:t>)</w:t>
      </w:r>
    </w:p>
    <w:tbl>
      <w:tblPr>
        <w:tblW w:w="10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1203"/>
        <w:gridCol w:w="1203"/>
        <w:gridCol w:w="1203"/>
        <w:gridCol w:w="1203"/>
        <w:gridCol w:w="1203"/>
        <w:gridCol w:w="1048"/>
      </w:tblGrid>
      <w:tr w:rsidR="00AC1611" w:rsidRPr="00B57DAB" w:rsidTr="005B7DCC">
        <w:trPr>
          <w:trHeight w:val="1429"/>
          <w:jc w:val="center"/>
        </w:trPr>
        <w:tc>
          <w:tcPr>
            <w:tcW w:w="3526" w:type="dxa"/>
            <w:tcBorders>
              <w:top w:val="single" w:sz="4" w:space="0" w:color="auto"/>
              <w:left w:val="single" w:sz="4" w:space="0" w:color="auto"/>
              <w:bottom w:val="single" w:sz="4" w:space="0" w:color="auto"/>
              <w:right w:val="single" w:sz="4" w:space="0" w:color="auto"/>
            </w:tcBorders>
            <w:noWrap/>
            <w:vAlign w:val="bottom"/>
            <w:hideMark/>
          </w:tcPr>
          <w:p w:rsidR="00AC1611" w:rsidRPr="00B57DAB" w:rsidRDefault="00AC1611" w:rsidP="005B7DCC">
            <w:pPr>
              <w:rPr>
                <w:rFonts w:ascii="GHEA Grapalat" w:hAnsi="GHEA Grapalat"/>
                <w:sz w:val="18"/>
                <w:szCs w:val="18"/>
                <w:lang w:val="zu-ZA"/>
              </w:rPr>
            </w:pPr>
          </w:p>
        </w:tc>
        <w:tc>
          <w:tcPr>
            <w:tcW w:w="1203" w:type="dxa"/>
            <w:tcBorders>
              <w:top w:val="single" w:sz="4" w:space="0" w:color="auto"/>
              <w:left w:val="single" w:sz="4" w:space="0" w:color="auto"/>
              <w:bottom w:val="single" w:sz="4" w:space="0" w:color="auto"/>
              <w:right w:val="single" w:sz="4" w:space="0" w:color="auto"/>
            </w:tcBorders>
            <w:hideMark/>
          </w:tcPr>
          <w:p w:rsidR="00AC1611" w:rsidRPr="00B57DAB" w:rsidRDefault="00AC1611" w:rsidP="005B7DCC">
            <w:pPr>
              <w:jc w:val="center"/>
              <w:rPr>
                <w:rFonts w:ascii="GHEA Grapalat" w:hAnsi="GHEA Grapalat" w:cs="Calibri"/>
                <w:b/>
                <w:color w:val="000000"/>
                <w:sz w:val="18"/>
                <w:szCs w:val="18"/>
              </w:rPr>
            </w:pPr>
            <w:r w:rsidRPr="00B57DAB">
              <w:rPr>
                <w:rFonts w:ascii="GHEA Grapalat" w:hAnsi="GHEA Grapalat" w:cs="Calibri"/>
                <w:b/>
                <w:color w:val="000000"/>
                <w:sz w:val="18"/>
                <w:szCs w:val="18"/>
              </w:rPr>
              <w:t xml:space="preserve">2021թ. </w:t>
            </w:r>
            <w:r w:rsidRPr="00B57DAB">
              <w:rPr>
                <w:rFonts w:ascii="GHEA Grapalat" w:hAnsi="GHEA Grapalat" w:cs="Calibri"/>
                <w:b/>
                <w:bCs/>
                <w:color w:val="000000"/>
                <w:sz w:val="18"/>
                <w:szCs w:val="18"/>
              </w:rPr>
              <w:t xml:space="preserve">առաջին եռամսյակի </w:t>
            </w:r>
            <w:r w:rsidRPr="00B57DAB">
              <w:rPr>
                <w:rFonts w:ascii="GHEA Grapalat" w:hAnsi="GHEA Grapalat" w:cs="Calibri"/>
                <w:b/>
                <w:color w:val="000000"/>
                <w:sz w:val="18"/>
                <w:szCs w:val="18"/>
              </w:rPr>
              <w:t>փաստ</w:t>
            </w:r>
          </w:p>
        </w:tc>
        <w:tc>
          <w:tcPr>
            <w:tcW w:w="1203" w:type="dxa"/>
            <w:tcBorders>
              <w:top w:val="single" w:sz="4" w:space="0" w:color="auto"/>
              <w:left w:val="single" w:sz="4" w:space="0" w:color="auto"/>
              <w:bottom w:val="single" w:sz="4" w:space="0" w:color="auto"/>
              <w:right w:val="single" w:sz="4" w:space="0" w:color="auto"/>
            </w:tcBorders>
            <w:hideMark/>
          </w:tcPr>
          <w:p w:rsidR="00AC1611" w:rsidRPr="00B57DAB" w:rsidRDefault="00AC1611" w:rsidP="005B7DCC">
            <w:pPr>
              <w:jc w:val="center"/>
              <w:rPr>
                <w:rFonts w:ascii="GHEA Grapalat" w:hAnsi="GHEA Grapalat" w:cs="Calibri"/>
                <w:b/>
                <w:color w:val="000000"/>
                <w:sz w:val="18"/>
                <w:szCs w:val="18"/>
              </w:rPr>
            </w:pPr>
            <w:r w:rsidRPr="00B57DAB">
              <w:rPr>
                <w:rFonts w:ascii="GHEA Grapalat" w:hAnsi="GHEA Grapalat" w:cs="Calibri"/>
                <w:b/>
                <w:color w:val="000000"/>
                <w:sz w:val="18"/>
                <w:szCs w:val="18"/>
              </w:rPr>
              <w:t xml:space="preserve">2022թ. </w:t>
            </w:r>
          </w:p>
          <w:p w:rsidR="00AC1611" w:rsidRPr="00B57DAB" w:rsidRDefault="00AC1611" w:rsidP="005B7DCC">
            <w:pPr>
              <w:jc w:val="center"/>
              <w:rPr>
                <w:rFonts w:ascii="GHEA Grapalat" w:hAnsi="GHEA Grapalat" w:cs="Calibri"/>
                <w:b/>
                <w:color w:val="000000"/>
                <w:sz w:val="18"/>
                <w:szCs w:val="18"/>
              </w:rPr>
            </w:pPr>
            <w:r w:rsidRPr="00B57DAB">
              <w:rPr>
                <w:rFonts w:ascii="GHEA Grapalat" w:hAnsi="GHEA Grapalat" w:cs="Calibri"/>
                <w:b/>
                <w:bCs/>
                <w:color w:val="000000"/>
                <w:sz w:val="18"/>
                <w:szCs w:val="18"/>
              </w:rPr>
              <w:t xml:space="preserve">առաջին եռամսյակի </w:t>
            </w:r>
            <w:r w:rsidRPr="00B57DAB">
              <w:rPr>
                <w:rFonts w:ascii="GHEA Grapalat" w:hAnsi="GHEA Grapalat" w:cs="Calibri"/>
                <w:b/>
                <w:color w:val="000000"/>
                <w:sz w:val="18"/>
                <w:szCs w:val="18"/>
              </w:rPr>
              <w:t>ճշտված պլան</w:t>
            </w:r>
          </w:p>
        </w:tc>
        <w:tc>
          <w:tcPr>
            <w:tcW w:w="1203" w:type="dxa"/>
            <w:tcBorders>
              <w:top w:val="single" w:sz="4" w:space="0" w:color="auto"/>
              <w:left w:val="single" w:sz="4" w:space="0" w:color="auto"/>
              <w:bottom w:val="single" w:sz="4" w:space="0" w:color="auto"/>
              <w:right w:val="single" w:sz="4" w:space="0" w:color="auto"/>
            </w:tcBorders>
            <w:noWrap/>
            <w:hideMark/>
          </w:tcPr>
          <w:p w:rsidR="00AC1611" w:rsidRPr="00B57DAB" w:rsidRDefault="00AC1611" w:rsidP="005B7DCC">
            <w:pPr>
              <w:jc w:val="center"/>
              <w:rPr>
                <w:rFonts w:ascii="GHEA Grapalat" w:hAnsi="GHEA Grapalat" w:cs="Calibri"/>
                <w:b/>
                <w:color w:val="000000"/>
                <w:sz w:val="18"/>
                <w:szCs w:val="18"/>
              </w:rPr>
            </w:pPr>
            <w:r w:rsidRPr="00B57DAB">
              <w:rPr>
                <w:rFonts w:ascii="GHEA Grapalat" w:hAnsi="GHEA Grapalat" w:cs="Calibri"/>
                <w:b/>
                <w:color w:val="000000"/>
                <w:sz w:val="18"/>
                <w:szCs w:val="18"/>
              </w:rPr>
              <w:t xml:space="preserve">2022թ. </w:t>
            </w:r>
            <w:r w:rsidRPr="00B57DAB">
              <w:rPr>
                <w:rFonts w:ascii="GHEA Grapalat" w:hAnsi="GHEA Grapalat" w:cs="Calibri"/>
                <w:b/>
                <w:bCs/>
                <w:color w:val="000000"/>
                <w:sz w:val="18"/>
                <w:szCs w:val="18"/>
              </w:rPr>
              <w:t xml:space="preserve">առաջին եռամսյակի </w:t>
            </w:r>
            <w:r w:rsidRPr="00B57DAB">
              <w:rPr>
                <w:rFonts w:ascii="GHEA Grapalat" w:hAnsi="GHEA Grapalat" w:cs="Calibri"/>
                <w:b/>
                <w:color w:val="000000"/>
                <w:sz w:val="18"/>
                <w:szCs w:val="18"/>
              </w:rPr>
              <w:t>փաստ</w:t>
            </w:r>
          </w:p>
        </w:tc>
        <w:tc>
          <w:tcPr>
            <w:tcW w:w="1203" w:type="dxa"/>
            <w:tcBorders>
              <w:top w:val="single" w:sz="4" w:space="0" w:color="auto"/>
              <w:left w:val="single" w:sz="4" w:space="0" w:color="auto"/>
              <w:bottom w:val="single" w:sz="4" w:space="0" w:color="auto"/>
              <w:right w:val="single" w:sz="4" w:space="0" w:color="auto"/>
            </w:tcBorders>
            <w:hideMark/>
          </w:tcPr>
          <w:p w:rsidR="00AC1611" w:rsidRPr="00B57DAB" w:rsidRDefault="00AC1611" w:rsidP="005B7DCC">
            <w:pPr>
              <w:jc w:val="center"/>
              <w:rPr>
                <w:rFonts w:ascii="GHEA Grapalat" w:hAnsi="GHEA Grapalat" w:cs="Calibri"/>
                <w:b/>
                <w:color w:val="000000"/>
                <w:sz w:val="18"/>
                <w:szCs w:val="18"/>
              </w:rPr>
            </w:pPr>
            <w:r w:rsidRPr="00B57DAB">
              <w:rPr>
                <w:rFonts w:ascii="GHEA Grapalat" w:hAnsi="GHEA Grapalat" w:cs="Calibri"/>
                <w:b/>
                <w:bCs/>
                <w:color w:val="000000"/>
                <w:sz w:val="18"/>
                <w:szCs w:val="18"/>
              </w:rPr>
              <w:t>Կատարո-ղականը առաջին եռամսյակի ճշտված պլանի նկատմամբ</w:t>
            </w:r>
          </w:p>
          <w:p w:rsidR="00AC1611" w:rsidRPr="00B57DAB" w:rsidRDefault="00AC1611" w:rsidP="005B7DCC">
            <w:pPr>
              <w:jc w:val="center"/>
              <w:rPr>
                <w:rFonts w:ascii="GHEA Grapalat" w:hAnsi="GHEA Grapalat" w:cs="Calibri"/>
                <w:b/>
                <w:color w:val="000000"/>
                <w:sz w:val="18"/>
                <w:szCs w:val="18"/>
                <w:lang w:val="hy-AM"/>
              </w:rPr>
            </w:pPr>
            <w:r w:rsidRPr="00B57DAB">
              <w:rPr>
                <w:rFonts w:ascii="GHEA Grapalat" w:hAnsi="GHEA Grapalat"/>
                <w:b/>
                <w:sz w:val="18"/>
                <w:szCs w:val="18"/>
                <w:lang w:val="hy-AM"/>
              </w:rPr>
              <w:t>(</w:t>
            </w:r>
            <w:r w:rsidRPr="00B57DAB">
              <w:rPr>
                <w:rFonts w:ascii="GHEA Grapalat" w:hAnsi="GHEA Grapalat"/>
                <w:b/>
                <w:sz w:val="18"/>
                <w:szCs w:val="18"/>
              </w:rPr>
              <w:t>%)</w:t>
            </w:r>
          </w:p>
        </w:tc>
        <w:tc>
          <w:tcPr>
            <w:tcW w:w="1203" w:type="dxa"/>
            <w:tcBorders>
              <w:top w:val="single" w:sz="4" w:space="0" w:color="auto"/>
              <w:left w:val="single" w:sz="4" w:space="0" w:color="auto"/>
              <w:bottom w:val="single" w:sz="4" w:space="0" w:color="auto"/>
              <w:right w:val="single" w:sz="4" w:space="0" w:color="auto"/>
            </w:tcBorders>
            <w:hideMark/>
          </w:tcPr>
          <w:p w:rsidR="00AC1611" w:rsidRPr="00B57DAB" w:rsidRDefault="00AC1611" w:rsidP="005B7DCC">
            <w:pPr>
              <w:jc w:val="center"/>
              <w:rPr>
                <w:rFonts w:ascii="GHEA Grapalat" w:hAnsi="GHEA Grapalat" w:cs="Calibri"/>
                <w:b/>
                <w:color w:val="000000"/>
                <w:sz w:val="18"/>
                <w:szCs w:val="18"/>
                <w:lang w:val="hy-AM"/>
              </w:rPr>
            </w:pPr>
            <w:r w:rsidRPr="00B57DAB">
              <w:rPr>
                <w:rFonts w:ascii="GHEA Grapalat" w:hAnsi="GHEA Grapalat" w:cs="Calibri"/>
                <w:b/>
                <w:bCs/>
                <w:color w:val="000000"/>
                <w:sz w:val="18"/>
                <w:szCs w:val="18"/>
                <w:lang w:val="hy-AM"/>
              </w:rPr>
              <w:t>2022թ առաջին եռամսյակը 2021թ. առաջին եռամսյակի նկատմամբ</w:t>
            </w:r>
          </w:p>
          <w:p w:rsidR="00AC1611" w:rsidRPr="00B57DAB" w:rsidRDefault="00AC1611" w:rsidP="005B7DCC">
            <w:pPr>
              <w:jc w:val="center"/>
              <w:rPr>
                <w:rFonts w:ascii="GHEA Grapalat" w:hAnsi="GHEA Grapalat" w:cs="Calibri"/>
                <w:b/>
                <w:color w:val="000000"/>
                <w:sz w:val="18"/>
                <w:szCs w:val="18"/>
                <w:lang w:val="hy-AM"/>
              </w:rPr>
            </w:pPr>
            <w:r w:rsidRPr="00B57DAB">
              <w:rPr>
                <w:rFonts w:ascii="GHEA Grapalat" w:hAnsi="GHEA Grapalat"/>
                <w:b/>
                <w:sz w:val="18"/>
                <w:szCs w:val="18"/>
                <w:lang w:val="hy-AM"/>
              </w:rPr>
              <w:t>(%)</w:t>
            </w:r>
          </w:p>
        </w:tc>
        <w:tc>
          <w:tcPr>
            <w:tcW w:w="1048" w:type="dxa"/>
            <w:tcBorders>
              <w:top w:val="single" w:sz="4" w:space="0" w:color="auto"/>
              <w:left w:val="single" w:sz="4" w:space="0" w:color="auto"/>
              <w:bottom w:val="single" w:sz="4" w:space="0" w:color="auto"/>
              <w:right w:val="single" w:sz="4" w:space="0" w:color="auto"/>
            </w:tcBorders>
            <w:hideMark/>
          </w:tcPr>
          <w:p w:rsidR="00AC1611" w:rsidRPr="00B57DAB" w:rsidRDefault="00AC1611" w:rsidP="005B7DCC">
            <w:pPr>
              <w:jc w:val="center"/>
              <w:rPr>
                <w:rFonts w:ascii="GHEA Grapalat" w:hAnsi="GHEA Grapalat" w:cs="Calibri"/>
                <w:b/>
                <w:color w:val="000000"/>
                <w:sz w:val="18"/>
                <w:szCs w:val="18"/>
                <w:lang w:val="hy-AM"/>
              </w:rPr>
            </w:pPr>
            <w:r w:rsidRPr="00B57DAB">
              <w:rPr>
                <w:rFonts w:ascii="GHEA Grapalat" w:hAnsi="GHEA Grapalat" w:cs="Calibri"/>
                <w:b/>
                <w:bCs/>
                <w:color w:val="000000"/>
                <w:sz w:val="18"/>
                <w:szCs w:val="18"/>
                <w:lang w:val="hy-AM"/>
              </w:rPr>
              <w:t>2022թ. և 2021թ. տարբե-րությունը</w:t>
            </w:r>
          </w:p>
        </w:tc>
      </w:tr>
      <w:tr w:rsidR="00AC1611" w:rsidRPr="00B57DAB" w:rsidTr="009550D0">
        <w:trPr>
          <w:trHeight w:val="313"/>
          <w:jc w:val="center"/>
        </w:trPr>
        <w:tc>
          <w:tcPr>
            <w:tcW w:w="3526" w:type="dxa"/>
            <w:tcBorders>
              <w:top w:val="single" w:sz="4" w:space="0" w:color="auto"/>
              <w:left w:val="single" w:sz="4" w:space="0" w:color="auto"/>
              <w:bottom w:val="single" w:sz="4" w:space="0" w:color="auto"/>
              <w:right w:val="single" w:sz="4" w:space="0" w:color="auto"/>
            </w:tcBorders>
            <w:vAlign w:val="bottom"/>
            <w:hideMark/>
          </w:tcPr>
          <w:p w:rsidR="00AC1611" w:rsidRPr="00B57DAB" w:rsidRDefault="00AC1611" w:rsidP="009550D0">
            <w:pPr>
              <w:rPr>
                <w:rFonts w:ascii="GHEA Grapalat" w:hAnsi="GHEA Grapalat" w:cs="Calibri"/>
                <w:b/>
                <w:color w:val="000000"/>
                <w:sz w:val="18"/>
                <w:szCs w:val="18"/>
              </w:rPr>
            </w:pPr>
            <w:r w:rsidRPr="00B57DAB">
              <w:rPr>
                <w:rFonts w:ascii="GHEA Grapalat" w:hAnsi="GHEA Grapalat" w:cs="Calibri"/>
                <w:b/>
                <w:color w:val="000000"/>
                <w:sz w:val="18"/>
                <w:szCs w:val="18"/>
              </w:rPr>
              <w:t>ԸՆԴԱՄԵՆԸ</w:t>
            </w:r>
          </w:p>
        </w:tc>
        <w:tc>
          <w:tcPr>
            <w:tcW w:w="1203" w:type="dxa"/>
            <w:tcBorders>
              <w:top w:val="single" w:sz="4" w:space="0" w:color="auto"/>
              <w:left w:val="single" w:sz="4" w:space="0" w:color="auto"/>
              <w:bottom w:val="single" w:sz="4" w:space="0" w:color="auto"/>
              <w:right w:val="single" w:sz="4" w:space="0" w:color="auto"/>
            </w:tcBorders>
            <w:vAlign w:val="bottom"/>
          </w:tcPr>
          <w:p w:rsidR="00AC1611" w:rsidRPr="00B57DAB" w:rsidRDefault="00AC1611" w:rsidP="009550D0">
            <w:pPr>
              <w:jc w:val="right"/>
              <w:rPr>
                <w:rFonts w:ascii="GHEA Grapalat" w:hAnsi="GHEA Grapalat"/>
                <w:b/>
                <w:sz w:val="18"/>
                <w:szCs w:val="18"/>
              </w:rPr>
            </w:pPr>
            <w:r w:rsidRPr="00B57DAB">
              <w:rPr>
                <w:rFonts w:ascii="GHEA Grapalat" w:hAnsi="GHEA Grapalat"/>
                <w:b/>
                <w:sz w:val="18"/>
                <w:szCs w:val="18"/>
              </w:rPr>
              <w:t>23,457.3</w:t>
            </w:r>
          </w:p>
        </w:tc>
        <w:tc>
          <w:tcPr>
            <w:tcW w:w="1203" w:type="dxa"/>
            <w:tcBorders>
              <w:top w:val="single" w:sz="4" w:space="0" w:color="auto"/>
              <w:left w:val="single" w:sz="4" w:space="0" w:color="auto"/>
              <w:bottom w:val="single" w:sz="4" w:space="0" w:color="auto"/>
              <w:right w:val="single" w:sz="4" w:space="0" w:color="auto"/>
            </w:tcBorders>
            <w:vAlign w:val="bottom"/>
          </w:tcPr>
          <w:p w:rsidR="00AC1611" w:rsidRPr="00B57DAB" w:rsidRDefault="00AC1611" w:rsidP="009550D0">
            <w:pPr>
              <w:jc w:val="right"/>
              <w:rPr>
                <w:rFonts w:ascii="GHEA Grapalat" w:hAnsi="GHEA Grapalat"/>
                <w:b/>
                <w:sz w:val="18"/>
                <w:szCs w:val="18"/>
              </w:rPr>
            </w:pPr>
            <w:r w:rsidRPr="00B57DAB">
              <w:rPr>
                <w:rFonts w:ascii="GHEA Grapalat" w:hAnsi="GHEA Grapalat" w:cs="Calibri"/>
                <w:b/>
                <w:sz w:val="18"/>
                <w:szCs w:val="18"/>
              </w:rPr>
              <w:t>23,921.9</w:t>
            </w:r>
          </w:p>
        </w:tc>
        <w:tc>
          <w:tcPr>
            <w:tcW w:w="1203" w:type="dxa"/>
            <w:tcBorders>
              <w:top w:val="single" w:sz="4" w:space="0" w:color="auto"/>
              <w:left w:val="single" w:sz="4" w:space="0" w:color="auto"/>
              <w:bottom w:val="single" w:sz="4" w:space="0" w:color="auto"/>
              <w:right w:val="single" w:sz="4" w:space="0" w:color="auto"/>
            </w:tcBorders>
            <w:vAlign w:val="bottom"/>
          </w:tcPr>
          <w:p w:rsidR="00AC1611" w:rsidRPr="00B57DAB" w:rsidRDefault="00AC1611" w:rsidP="009550D0">
            <w:pPr>
              <w:jc w:val="right"/>
              <w:rPr>
                <w:rFonts w:ascii="GHEA Grapalat" w:hAnsi="GHEA Grapalat"/>
                <w:b/>
                <w:sz w:val="18"/>
                <w:szCs w:val="18"/>
              </w:rPr>
            </w:pPr>
            <w:r w:rsidRPr="00B57DAB">
              <w:rPr>
                <w:rFonts w:ascii="GHEA Grapalat" w:hAnsi="GHEA Grapalat"/>
                <w:b/>
                <w:sz w:val="18"/>
                <w:szCs w:val="18"/>
              </w:rPr>
              <w:t>20,908.2</w:t>
            </w:r>
          </w:p>
        </w:tc>
        <w:tc>
          <w:tcPr>
            <w:tcW w:w="1203" w:type="dxa"/>
            <w:tcBorders>
              <w:top w:val="single" w:sz="4" w:space="0" w:color="auto"/>
              <w:left w:val="single" w:sz="4" w:space="0" w:color="auto"/>
              <w:bottom w:val="single" w:sz="4" w:space="0" w:color="auto"/>
              <w:right w:val="single" w:sz="4" w:space="0" w:color="auto"/>
            </w:tcBorders>
            <w:vAlign w:val="bottom"/>
            <w:hideMark/>
          </w:tcPr>
          <w:p w:rsidR="00AC1611" w:rsidRPr="00B57DAB" w:rsidRDefault="00AC1611" w:rsidP="009550D0">
            <w:pPr>
              <w:jc w:val="right"/>
              <w:rPr>
                <w:rFonts w:ascii="GHEA Grapalat" w:hAnsi="GHEA Grapalat"/>
                <w:b/>
                <w:sz w:val="18"/>
                <w:szCs w:val="18"/>
              </w:rPr>
            </w:pPr>
            <w:r w:rsidRPr="00B57DAB">
              <w:rPr>
                <w:rFonts w:ascii="GHEA Grapalat" w:hAnsi="GHEA Grapalat"/>
                <w:b/>
                <w:sz w:val="18"/>
                <w:szCs w:val="18"/>
                <w:lang w:val="hy-AM"/>
              </w:rPr>
              <w:t>87.4</w:t>
            </w:r>
          </w:p>
        </w:tc>
        <w:tc>
          <w:tcPr>
            <w:tcW w:w="1203" w:type="dxa"/>
            <w:tcBorders>
              <w:top w:val="single" w:sz="4" w:space="0" w:color="auto"/>
              <w:left w:val="single" w:sz="4" w:space="0" w:color="auto"/>
              <w:bottom w:val="single" w:sz="4" w:space="0" w:color="auto"/>
              <w:right w:val="single" w:sz="4" w:space="0" w:color="auto"/>
            </w:tcBorders>
            <w:vAlign w:val="bottom"/>
            <w:hideMark/>
          </w:tcPr>
          <w:p w:rsidR="00AC1611" w:rsidRPr="00B57DAB" w:rsidRDefault="00AC1611" w:rsidP="009550D0">
            <w:pPr>
              <w:jc w:val="right"/>
              <w:rPr>
                <w:rFonts w:ascii="GHEA Grapalat" w:hAnsi="GHEA Grapalat"/>
                <w:b/>
                <w:sz w:val="18"/>
                <w:szCs w:val="18"/>
              </w:rPr>
            </w:pPr>
            <w:r w:rsidRPr="00B57DAB">
              <w:rPr>
                <w:rFonts w:ascii="GHEA Grapalat" w:hAnsi="GHEA Grapalat"/>
                <w:b/>
                <w:sz w:val="18"/>
                <w:szCs w:val="18"/>
                <w:lang w:val="hy-AM"/>
              </w:rPr>
              <w:t>89.1</w:t>
            </w:r>
          </w:p>
        </w:tc>
        <w:tc>
          <w:tcPr>
            <w:tcW w:w="1048" w:type="dxa"/>
            <w:tcBorders>
              <w:top w:val="single" w:sz="4" w:space="0" w:color="auto"/>
              <w:left w:val="single" w:sz="4" w:space="0" w:color="auto"/>
              <w:bottom w:val="single" w:sz="4" w:space="0" w:color="auto"/>
              <w:right w:val="single" w:sz="4" w:space="0" w:color="auto"/>
            </w:tcBorders>
            <w:vAlign w:val="bottom"/>
          </w:tcPr>
          <w:p w:rsidR="00AC1611" w:rsidRPr="00B57DAB" w:rsidRDefault="00AC1611" w:rsidP="009550D0">
            <w:pPr>
              <w:jc w:val="right"/>
              <w:rPr>
                <w:rFonts w:ascii="GHEA Grapalat" w:hAnsi="GHEA Grapalat"/>
                <w:b/>
                <w:sz w:val="18"/>
                <w:szCs w:val="18"/>
              </w:rPr>
            </w:pPr>
            <w:r w:rsidRPr="00B57DAB">
              <w:rPr>
                <w:rFonts w:ascii="GHEA Grapalat" w:hAnsi="GHEA Grapalat"/>
                <w:b/>
                <w:sz w:val="18"/>
                <w:szCs w:val="18"/>
              </w:rPr>
              <w:t>(2,549.1)</w:t>
            </w:r>
          </w:p>
        </w:tc>
      </w:tr>
      <w:tr w:rsidR="00AC1611" w:rsidRPr="00B57DAB" w:rsidTr="009550D0">
        <w:trPr>
          <w:trHeight w:val="331"/>
          <w:jc w:val="center"/>
        </w:trPr>
        <w:tc>
          <w:tcPr>
            <w:tcW w:w="3526" w:type="dxa"/>
            <w:tcBorders>
              <w:top w:val="single" w:sz="4" w:space="0" w:color="auto"/>
              <w:left w:val="single" w:sz="4" w:space="0" w:color="auto"/>
              <w:bottom w:val="single" w:sz="4" w:space="0" w:color="auto"/>
              <w:right w:val="single" w:sz="4" w:space="0" w:color="auto"/>
            </w:tcBorders>
            <w:vAlign w:val="bottom"/>
          </w:tcPr>
          <w:p w:rsidR="00AC1611" w:rsidRPr="00B57DAB" w:rsidRDefault="00AC1611" w:rsidP="009550D0">
            <w:pPr>
              <w:rPr>
                <w:rFonts w:ascii="GHEA Grapalat" w:hAnsi="GHEA Grapalat"/>
                <w:sz w:val="18"/>
                <w:szCs w:val="18"/>
              </w:rPr>
            </w:pPr>
            <w:r w:rsidRPr="00B57DAB">
              <w:rPr>
                <w:rFonts w:ascii="GHEA Grapalat" w:hAnsi="GHEA Grapalat"/>
                <w:sz w:val="18"/>
                <w:szCs w:val="18"/>
              </w:rPr>
              <w:t>Հանրային առողջության պահպանում</w:t>
            </w:r>
          </w:p>
        </w:tc>
        <w:tc>
          <w:tcPr>
            <w:tcW w:w="1203" w:type="dxa"/>
            <w:tcBorders>
              <w:top w:val="single" w:sz="4" w:space="0" w:color="auto"/>
              <w:left w:val="single" w:sz="4" w:space="0" w:color="auto"/>
              <w:bottom w:val="single" w:sz="4" w:space="0" w:color="auto"/>
              <w:right w:val="single" w:sz="4" w:space="0" w:color="auto"/>
            </w:tcBorders>
            <w:vAlign w:val="bottom"/>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5,587.8</w:t>
            </w:r>
          </w:p>
        </w:tc>
        <w:tc>
          <w:tcPr>
            <w:tcW w:w="1203" w:type="dxa"/>
            <w:tcBorders>
              <w:top w:val="single" w:sz="4" w:space="0" w:color="auto"/>
              <w:left w:val="single" w:sz="4" w:space="0" w:color="auto"/>
              <w:bottom w:val="single" w:sz="4" w:space="0" w:color="auto"/>
              <w:right w:val="single" w:sz="4" w:space="0" w:color="auto"/>
            </w:tcBorders>
            <w:vAlign w:val="bottom"/>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3,702.5</w:t>
            </w:r>
          </w:p>
        </w:tc>
        <w:tc>
          <w:tcPr>
            <w:tcW w:w="1203" w:type="dxa"/>
            <w:tcBorders>
              <w:top w:val="single" w:sz="4" w:space="0" w:color="auto"/>
              <w:left w:val="single" w:sz="4" w:space="0" w:color="auto"/>
              <w:bottom w:val="single" w:sz="4" w:space="0" w:color="auto"/>
              <w:right w:val="single" w:sz="4" w:space="0" w:color="auto"/>
            </w:tcBorders>
            <w:vAlign w:val="bottom"/>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2,991.8</w:t>
            </w:r>
          </w:p>
        </w:tc>
        <w:tc>
          <w:tcPr>
            <w:tcW w:w="1203" w:type="dxa"/>
            <w:tcBorders>
              <w:top w:val="single" w:sz="4" w:space="0" w:color="auto"/>
              <w:left w:val="single" w:sz="4" w:space="0" w:color="auto"/>
              <w:bottom w:val="single" w:sz="4" w:space="0" w:color="auto"/>
              <w:right w:val="single" w:sz="4" w:space="0" w:color="auto"/>
            </w:tcBorders>
            <w:vAlign w:val="bottom"/>
            <w:hideMark/>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80.8</w:t>
            </w:r>
          </w:p>
        </w:tc>
        <w:tc>
          <w:tcPr>
            <w:tcW w:w="1203" w:type="dxa"/>
            <w:tcBorders>
              <w:top w:val="single" w:sz="4" w:space="0" w:color="auto"/>
              <w:left w:val="single" w:sz="4" w:space="0" w:color="auto"/>
              <w:bottom w:val="single" w:sz="4" w:space="0" w:color="auto"/>
              <w:right w:val="single" w:sz="4" w:space="0" w:color="auto"/>
            </w:tcBorders>
            <w:vAlign w:val="bottom"/>
            <w:hideMark/>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53.5</w:t>
            </w:r>
          </w:p>
        </w:tc>
        <w:tc>
          <w:tcPr>
            <w:tcW w:w="1048" w:type="dxa"/>
            <w:tcBorders>
              <w:top w:val="single" w:sz="4" w:space="0" w:color="auto"/>
              <w:left w:val="single" w:sz="4" w:space="0" w:color="auto"/>
              <w:bottom w:val="single" w:sz="4" w:space="0" w:color="auto"/>
              <w:right w:val="single" w:sz="4" w:space="0" w:color="auto"/>
            </w:tcBorders>
            <w:vAlign w:val="bottom"/>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(2,596.0)</w:t>
            </w:r>
          </w:p>
        </w:tc>
      </w:tr>
      <w:tr w:rsidR="00AC1611" w:rsidRPr="00B57DAB" w:rsidTr="009550D0">
        <w:trPr>
          <w:trHeight w:val="300"/>
          <w:jc w:val="center"/>
        </w:trPr>
        <w:tc>
          <w:tcPr>
            <w:tcW w:w="3526" w:type="dxa"/>
            <w:tcBorders>
              <w:top w:val="single" w:sz="4" w:space="0" w:color="auto"/>
              <w:left w:val="single" w:sz="4" w:space="0" w:color="auto"/>
              <w:bottom w:val="single" w:sz="4" w:space="0" w:color="auto"/>
              <w:right w:val="single" w:sz="4" w:space="0" w:color="auto"/>
            </w:tcBorders>
            <w:vAlign w:val="bottom"/>
          </w:tcPr>
          <w:p w:rsidR="00AC1611" w:rsidRPr="00B57DAB" w:rsidRDefault="00AC1611" w:rsidP="009550D0">
            <w:pPr>
              <w:rPr>
                <w:rFonts w:ascii="GHEA Grapalat" w:hAnsi="GHEA Grapalat"/>
                <w:sz w:val="18"/>
                <w:szCs w:val="18"/>
              </w:rPr>
            </w:pPr>
            <w:r w:rsidRPr="00B57DAB">
              <w:rPr>
                <w:rFonts w:ascii="GHEA Grapalat" w:hAnsi="GHEA Grapalat"/>
                <w:sz w:val="18"/>
                <w:szCs w:val="18"/>
              </w:rPr>
              <w:t>Առողջության առաջնային պահպանում</w:t>
            </w:r>
          </w:p>
        </w:tc>
        <w:tc>
          <w:tcPr>
            <w:tcW w:w="1203" w:type="dxa"/>
            <w:tcBorders>
              <w:top w:val="single" w:sz="4" w:space="0" w:color="auto"/>
              <w:left w:val="single" w:sz="4" w:space="0" w:color="auto"/>
              <w:bottom w:val="single" w:sz="4" w:space="0" w:color="auto"/>
              <w:right w:val="single" w:sz="4" w:space="0" w:color="auto"/>
            </w:tcBorders>
            <w:vAlign w:val="bottom"/>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5,296.3</w:t>
            </w:r>
          </w:p>
        </w:tc>
        <w:tc>
          <w:tcPr>
            <w:tcW w:w="1203" w:type="dxa"/>
            <w:tcBorders>
              <w:top w:val="single" w:sz="4" w:space="0" w:color="auto"/>
              <w:left w:val="single" w:sz="4" w:space="0" w:color="auto"/>
              <w:bottom w:val="single" w:sz="4" w:space="0" w:color="auto"/>
              <w:right w:val="single" w:sz="4" w:space="0" w:color="auto"/>
            </w:tcBorders>
            <w:vAlign w:val="bottom"/>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5,289.4</w:t>
            </w:r>
          </w:p>
        </w:tc>
        <w:tc>
          <w:tcPr>
            <w:tcW w:w="1203" w:type="dxa"/>
            <w:tcBorders>
              <w:top w:val="single" w:sz="4" w:space="0" w:color="auto"/>
              <w:left w:val="single" w:sz="4" w:space="0" w:color="auto"/>
              <w:bottom w:val="single" w:sz="4" w:space="0" w:color="auto"/>
              <w:right w:val="single" w:sz="4" w:space="0" w:color="auto"/>
            </w:tcBorders>
            <w:vAlign w:val="bottom"/>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5,248.5</w:t>
            </w:r>
          </w:p>
        </w:tc>
        <w:tc>
          <w:tcPr>
            <w:tcW w:w="1203" w:type="dxa"/>
            <w:tcBorders>
              <w:top w:val="single" w:sz="4" w:space="0" w:color="auto"/>
              <w:left w:val="single" w:sz="4" w:space="0" w:color="auto"/>
              <w:bottom w:val="single" w:sz="4" w:space="0" w:color="auto"/>
              <w:right w:val="single" w:sz="4" w:space="0" w:color="auto"/>
            </w:tcBorders>
            <w:vAlign w:val="bottom"/>
            <w:hideMark/>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99.2</w:t>
            </w:r>
          </w:p>
        </w:tc>
        <w:tc>
          <w:tcPr>
            <w:tcW w:w="1203" w:type="dxa"/>
            <w:tcBorders>
              <w:top w:val="single" w:sz="4" w:space="0" w:color="auto"/>
              <w:left w:val="single" w:sz="4" w:space="0" w:color="auto"/>
              <w:bottom w:val="single" w:sz="4" w:space="0" w:color="auto"/>
              <w:right w:val="single" w:sz="4" w:space="0" w:color="auto"/>
            </w:tcBorders>
            <w:vAlign w:val="bottom"/>
            <w:hideMark/>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99.1</w:t>
            </w:r>
          </w:p>
        </w:tc>
        <w:tc>
          <w:tcPr>
            <w:tcW w:w="1048" w:type="dxa"/>
            <w:tcBorders>
              <w:top w:val="single" w:sz="4" w:space="0" w:color="auto"/>
              <w:left w:val="single" w:sz="4" w:space="0" w:color="auto"/>
              <w:bottom w:val="single" w:sz="4" w:space="0" w:color="auto"/>
              <w:right w:val="single" w:sz="4" w:space="0" w:color="auto"/>
            </w:tcBorders>
            <w:vAlign w:val="bottom"/>
            <w:hideMark/>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(47.8)</w:t>
            </w:r>
          </w:p>
        </w:tc>
      </w:tr>
      <w:tr w:rsidR="00AC1611" w:rsidRPr="00B57DAB" w:rsidTr="009550D0">
        <w:trPr>
          <w:trHeight w:val="300"/>
          <w:jc w:val="center"/>
        </w:trPr>
        <w:tc>
          <w:tcPr>
            <w:tcW w:w="3526" w:type="dxa"/>
            <w:tcBorders>
              <w:top w:val="single" w:sz="4" w:space="0" w:color="auto"/>
              <w:left w:val="single" w:sz="4" w:space="0" w:color="auto"/>
              <w:bottom w:val="single" w:sz="4" w:space="0" w:color="auto"/>
              <w:right w:val="single" w:sz="4" w:space="0" w:color="auto"/>
            </w:tcBorders>
            <w:vAlign w:val="bottom"/>
          </w:tcPr>
          <w:p w:rsidR="00AC1611" w:rsidRPr="00B57DAB" w:rsidRDefault="00AC1611" w:rsidP="009550D0">
            <w:pPr>
              <w:rPr>
                <w:rFonts w:ascii="GHEA Grapalat" w:hAnsi="GHEA Grapalat"/>
                <w:sz w:val="18"/>
                <w:szCs w:val="18"/>
              </w:rPr>
            </w:pPr>
            <w:r w:rsidRPr="00B57DAB">
              <w:rPr>
                <w:rFonts w:ascii="GHEA Grapalat" w:hAnsi="GHEA Grapalat"/>
                <w:sz w:val="18"/>
                <w:szCs w:val="18"/>
              </w:rPr>
              <w:t>Մոր և մանկան առողջության պահպանում</w:t>
            </w:r>
          </w:p>
        </w:tc>
        <w:tc>
          <w:tcPr>
            <w:tcW w:w="1203" w:type="dxa"/>
            <w:tcBorders>
              <w:top w:val="single" w:sz="4" w:space="0" w:color="auto"/>
              <w:left w:val="single" w:sz="4" w:space="0" w:color="auto"/>
              <w:bottom w:val="single" w:sz="4" w:space="0" w:color="auto"/>
              <w:right w:val="single" w:sz="4" w:space="0" w:color="auto"/>
            </w:tcBorders>
            <w:vAlign w:val="bottom"/>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2,816.9</w:t>
            </w:r>
          </w:p>
        </w:tc>
        <w:tc>
          <w:tcPr>
            <w:tcW w:w="1203" w:type="dxa"/>
            <w:tcBorders>
              <w:top w:val="single" w:sz="4" w:space="0" w:color="auto"/>
              <w:left w:val="single" w:sz="4" w:space="0" w:color="auto"/>
              <w:bottom w:val="single" w:sz="4" w:space="0" w:color="auto"/>
              <w:right w:val="single" w:sz="4" w:space="0" w:color="auto"/>
            </w:tcBorders>
            <w:vAlign w:val="bottom"/>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3,760.4</w:t>
            </w:r>
          </w:p>
        </w:tc>
        <w:tc>
          <w:tcPr>
            <w:tcW w:w="1203" w:type="dxa"/>
            <w:tcBorders>
              <w:top w:val="single" w:sz="4" w:space="0" w:color="auto"/>
              <w:left w:val="single" w:sz="4" w:space="0" w:color="auto"/>
              <w:bottom w:val="single" w:sz="4" w:space="0" w:color="auto"/>
              <w:right w:val="single" w:sz="4" w:space="0" w:color="auto"/>
            </w:tcBorders>
            <w:vAlign w:val="bottom"/>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3,430.7</w:t>
            </w:r>
          </w:p>
        </w:tc>
        <w:tc>
          <w:tcPr>
            <w:tcW w:w="1203" w:type="dxa"/>
            <w:tcBorders>
              <w:top w:val="single" w:sz="4" w:space="0" w:color="auto"/>
              <w:left w:val="single" w:sz="4" w:space="0" w:color="auto"/>
              <w:bottom w:val="single" w:sz="4" w:space="0" w:color="auto"/>
              <w:right w:val="single" w:sz="4" w:space="0" w:color="auto"/>
            </w:tcBorders>
            <w:vAlign w:val="bottom"/>
            <w:hideMark/>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91.2</w:t>
            </w:r>
          </w:p>
        </w:tc>
        <w:tc>
          <w:tcPr>
            <w:tcW w:w="1203" w:type="dxa"/>
            <w:tcBorders>
              <w:top w:val="single" w:sz="4" w:space="0" w:color="auto"/>
              <w:left w:val="single" w:sz="4" w:space="0" w:color="auto"/>
              <w:bottom w:val="single" w:sz="4" w:space="0" w:color="auto"/>
              <w:right w:val="single" w:sz="4" w:space="0" w:color="auto"/>
            </w:tcBorders>
            <w:vAlign w:val="bottom"/>
            <w:hideMark/>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121.8</w:t>
            </w:r>
          </w:p>
        </w:tc>
        <w:tc>
          <w:tcPr>
            <w:tcW w:w="1048" w:type="dxa"/>
            <w:tcBorders>
              <w:top w:val="single" w:sz="4" w:space="0" w:color="auto"/>
              <w:left w:val="single" w:sz="4" w:space="0" w:color="auto"/>
              <w:bottom w:val="single" w:sz="4" w:space="0" w:color="auto"/>
              <w:right w:val="single" w:sz="4" w:space="0" w:color="auto"/>
            </w:tcBorders>
            <w:vAlign w:val="bottom"/>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 xml:space="preserve">613.8 </w:t>
            </w:r>
          </w:p>
        </w:tc>
      </w:tr>
      <w:tr w:rsidR="00AC1611" w:rsidRPr="00B57DAB" w:rsidTr="009550D0">
        <w:trPr>
          <w:trHeight w:val="300"/>
          <w:jc w:val="center"/>
        </w:trPr>
        <w:tc>
          <w:tcPr>
            <w:tcW w:w="3526" w:type="dxa"/>
            <w:tcBorders>
              <w:top w:val="single" w:sz="4" w:space="0" w:color="auto"/>
              <w:left w:val="single" w:sz="4" w:space="0" w:color="auto"/>
              <w:bottom w:val="single" w:sz="4" w:space="0" w:color="auto"/>
              <w:right w:val="single" w:sz="4" w:space="0" w:color="auto"/>
            </w:tcBorders>
            <w:vAlign w:val="bottom"/>
          </w:tcPr>
          <w:p w:rsidR="00AC1611" w:rsidRPr="00B57DAB" w:rsidRDefault="00AC1611" w:rsidP="009550D0">
            <w:pPr>
              <w:rPr>
                <w:rFonts w:ascii="GHEA Grapalat" w:hAnsi="GHEA Grapalat"/>
                <w:sz w:val="18"/>
                <w:szCs w:val="18"/>
              </w:rPr>
            </w:pPr>
            <w:r w:rsidRPr="00B57DAB">
              <w:rPr>
                <w:rFonts w:ascii="GHEA Grapalat" w:hAnsi="GHEA Grapalat"/>
                <w:sz w:val="18"/>
                <w:szCs w:val="18"/>
              </w:rPr>
              <w:t>Ոչ վարակիչ հիվանդությունների բժշկական օգնության ապահովում</w:t>
            </w:r>
          </w:p>
        </w:tc>
        <w:tc>
          <w:tcPr>
            <w:tcW w:w="1203" w:type="dxa"/>
            <w:tcBorders>
              <w:top w:val="single" w:sz="4" w:space="0" w:color="auto"/>
              <w:left w:val="single" w:sz="4" w:space="0" w:color="auto"/>
              <w:bottom w:val="single" w:sz="4" w:space="0" w:color="auto"/>
              <w:right w:val="single" w:sz="4" w:space="0" w:color="auto"/>
            </w:tcBorders>
            <w:vAlign w:val="bottom"/>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2,779.6</w:t>
            </w:r>
          </w:p>
        </w:tc>
        <w:tc>
          <w:tcPr>
            <w:tcW w:w="1203" w:type="dxa"/>
            <w:tcBorders>
              <w:top w:val="single" w:sz="4" w:space="0" w:color="auto"/>
              <w:left w:val="single" w:sz="4" w:space="0" w:color="auto"/>
              <w:bottom w:val="single" w:sz="4" w:space="0" w:color="auto"/>
              <w:right w:val="single" w:sz="4" w:space="0" w:color="auto"/>
            </w:tcBorders>
            <w:vAlign w:val="bottom"/>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2,771.4</w:t>
            </w:r>
          </w:p>
        </w:tc>
        <w:tc>
          <w:tcPr>
            <w:tcW w:w="1203" w:type="dxa"/>
            <w:tcBorders>
              <w:top w:val="single" w:sz="4" w:space="0" w:color="auto"/>
              <w:left w:val="single" w:sz="4" w:space="0" w:color="auto"/>
              <w:bottom w:val="single" w:sz="4" w:space="0" w:color="auto"/>
              <w:right w:val="single" w:sz="4" w:space="0" w:color="auto"/>
            </w:tcBorders>
            <w:vAlign w:val="bottom"/>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2,675.2</w:t>
            </w:r>
          </w:p>
        </w:tc>
        <w:tc>
          <w:tcPr>
            <w:tcW w:w="1203" w:type="dxa"/>
            <w:tcBorders>
              <w:top w:val="single" w:sz="4" w:space="0" w:color="auto"/>
              <w:left w:val="single" w:sz="4" w:space="0" w:color="auto"/>
              <w:bottom w:val="single" w:sz="4" w:space="0" w:color="auto"/>
              <w:right w:val="single" w:sz="4" w:space="0" w:color="auto"/>
            </w:tcBorders>
            <w:vAlign w:val="bottom"/>
            <w:hideMark/>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96.5</w:t>
            </w:r>
          </w:p>
        </w:tc>
        <w:tc>
          <w:tcPr>
            <w:tcW w:w="1203" w:type="dxa"/>
            <w:tcBorders>
              <w:top w:val="single" w:sz="4" w:space="0" w:color="auto"/>
              <w:left w:val="single" w:sz="4" w:space="0" w:color="auto"/>
              <w:bottom w:val="single" w:sz="4" w:space="0" w:color="auto"/>
              <w:right w:val="single" w:sz="4" w:space="0" w:color="auto"/>
            </w:tcBorders>
            <w:vAlign w:val="bottom"/>
            <w:hideMark/>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96.2</w:t>
            </w:r>
          </w:p>
        </w:tc>
        <w:tc>
          <w:tcPr>
            <w:tcW w:w="1048" w:type="dxa"/>
            <w:tcBorders>
              <w:top w:val="single" w:sz="4" w:space="0" w:color="auto"/>
              <w:left w:val="single" w:sz="4" w:space="0" w:color="auto"/>
              <w:bottom w:val="single" w:sz="4" w:space="0" w:color="auto"/>
              <w:right w:val="single" w:sz="4" w:space="0" w:color="auto"/>
            </w:tcBorders>
            <w:vAlign w:val="bottom"/>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(104.3)</w:t>
            </w:r>
          </w:p>
        </w:tc>
      </w:tr>
      <w:tr w:rsidR="00AC1611" w:rsidRPr="00B57DAB" w:rsidTr="009550D0">
        <w:trPr>
          <w:trHeight w:val="300"/>
          <w:jc w:val="center"/>
        </w:trPr>
        <w:tc>
          <w:tcPr>
            <w:tcW w:w="3526" w:type="dxa"/>
            <w:tcBorders>
              <w:top w:val="single" w:sz="4" w:space="0" w:color="auto"/>
              <w:left w:val="single" w:sz="4" w:space="0" w:color="auto"/>
              <w:bottom w:val="single" w:sz="4" w:space="0" w:color="auto"/>
              <w:right w:val="single" w:sz="4" w:space="0" w:color="auto"/>
            </w:tcBorders>
            <w:vAlign w:val="bottom"/>
          </w:tcPr>
          <w:p w:rsidR="00AC1611" w:rsidRPr="00B57DAB" w:rsidRDefault="00AC1611" w:rsidP="009550D0">
            <w:pPr>
              <w:rPr>
                <w:rFonts w:ascii="GHEA Grapalat" w:hAnsi="GHEA Grapalat"/>
                <w:sz w:val="18"/>
                <w:szCs w:val="18"/>
              </w:rPr>
            </w:pPr>
            <w:r w:rsidRPr="00B57DAB">
              <w:rPr>
                <w:rFonts w:ascii="GHEA Grapalat" w:hAnsi="GHEA Grapalat"/>
                <w:sz w:val="18"/>
                <w:szCs w:val="18"/>
              </w:rPr>
              <w:t>Սոցիալապես անապահով և առանձին խմբերի անձանց բժշկական օգնություն</w:t>
            </w:r>
          </w:p>
        </w:tc>
        <w:tc>
          <w:tcPr>
            <w:tcW w:w="1203" w:type="dxa"/>
            <w:tcBorders>
              <w:top w:val="single" w:sz="4" w:space="0" w:color="auto"/>
              <w:left w:val="single" w:sz="4" w:space="0" w:color="auto"/>
              <w:bottom w:val="single" w:sz="4" w:space="0" w:color="auto"/>
              <w:right w:val="single" w:sz="4" w:space="0" w:color="auto"/>
            </w:tcBorders>
            <w:vAlign w:val="bottom"/>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4,598.3</w:t>
            </w:r>
          </w:p>
        </w:tc>
        <w:tc>
          <w:tcPr>
            <w:tcW w:w="1203" w:type="dxa"/>
            <w:tcBorders>
              <w:top w:val="single" w:sz="4" w:space="0" w:color="auto"/>
              <w:left w:val="single" w:sz="4" w:space="0" w:color="auto"/>
              <w:bottom w:val="single" w:sz="4" w:space="0" w:color="auto"/>
              <w:right w:val="single" w:sz="4" w:space="0" w:color="auto"/>
            </w:tcBorders>
            <w:vAlign w:val="bottom"/>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4,445.4</w:t>
            </w:r>
          </w:p>
        </w:tc>
        <w:tc>
          <w:tcPr>
            <w:tcW w:w="1203" w:type="dxa"/>
            <w:tcBorders>
              <w:top w:val="single" w:sz="4" w:space="0" w:color="auto"/>
              <w:left w:val="single" w:sz="4" w:space="0" w:color="auto"/>
              <w:bottom w:val="single" w:sz="4" w:space="0" w:color="auto"/>
              <w:right w:val="single" w:sz="4" w:space="0" w:color="auto"/>
            </w:tcBorders>
            <w:vAlign w:val="bottom"/>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4,094.2</w:t>
            </w:r>
          </w:p>
        </w:tc>
        <w:tc>
          <w:tcPr>
            <w:tcW w:w="1203" w:type="dxa"/>
            <w:tcBorders>
              <w:top w:val="single" w:sz="4" w:space="0" w:color="auto"/>
              <w:left w:val="single" w:sz="4" w:space="0" w:color="auto"/>
              <w:bottom w:val="single" w:sz="4" w:space="0" w:color="auto"/>
              <w:right w:val="single" w:sz="4" w:space="0" w:color="auto"/>
            </w:tcBorders>
            <w:vAlign w:val="bottom"/>
            <w:hideMark/>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92.1</w:t>
            </w:r>
          </w:p>
        </w:tc>
        <w:tc>
          <w:tcPr>
            <w:tcW w:w="1203" w:type="dxa"/>
            <w:tcBorders>
              <w:top w:val="single" w:sz="4" w:space="0" w:color="auto"/>
              <w:left w:val="single" w:sz="4" w:space="0" w:color="auto"/>
              <w:bottom w:val="single" w:sz="4" w:space="0" w:color="auto"/>
              <w:right w:val="single" w:sz="4" w:space="0" w:color="auto"/>
            </w:tcBorders>
            <w:vAlign w:val="bottom"/>
            <w:hideMark/>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89.0</w:t>
            </w:r>
          </w:p>
        </w:tc>
        <w:tc>
          <w:tcPr>
            <w:tcW w:w="1048" w:type="dxa"/>
            <w:tcBorders>
              <w:top w:val="single" w:sz="4" w:space="0" w:color="auto"/>
              <w:left w:val="single" w:sz="4" w:space="0" w:color="auto"/>
              <w:bottom w:val="single" w:sz="4" w:space="0" w:color="auto"/>
              <w:right w:val="single" w:sz="4" w:space="0" w:color="auto"/>
            </w:tcBorders>
            <w:vAlign w:val="bottom"/>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(504.2)</w:t>
            </w:r>
          </w:p>
        </w:tc>
      </w:tr>
      <w:tr w:rsidR="00AC1611" w:rsidRPr="00B57DAB" w:rsidTr="009550D0">
        <w:trPr>
          <w:trHeight w:val="300"/>
          <w:jc w:val="center"/>
        </w:trPr>
        <w:tc>
          <w:tcPr>
            <w:tcW w:w="3526" w:type="dxa"/>
            <w:tcBorders>
              <w:top w:val="single" w:sz="4" w:space="0" w:color="auto"/>
              <w:left w:val="single" w:sz="4" w:space="0" w:color="auto"/>
              <w:bottom w:val="single" w:sz="4" w:space="0" w:color="auto"/>
              <w:right w:val="single" w:sz="4" w:space="0" w:color="auto"/>
            </w:tcBorders>
            <w:vAlign w:val="bottom"/>
          </w:tcPr>
          <w:p w:rsidR="00AC1611" w:rsidRPr="00B57DAB" w:rsidRDefault="00AC1611" w:rsidP="009550D0">
            <w:pPr>
              <w:rPr>
                <w:rFonts w:ascii="GHEA Grapalat" w:hAnsi="GHEA Grapalat" w:cs="Calibri"/>
                <w:color w:val="000000"/>
                <w:sz w:val="18"/>
                <w:szCs w:val="18"/>
              </w:rPr>
            </w:pPr>
            <w:r w:rsidRPr="00B57DAB">
              <w:rPr>
                <w:rFonts w:ascii="GHEA Grapalat" w:hAnsi="GHEA Grapalat" w:cs="Calibri"/>
                <w:color w:val="000000"/>
                <w:sz w:val="18"/>
                <w:szCs w:val="18"/>
              </w:rPr>
              <w:t>Այլ ծրագրեր</w:t>
            </w:r>
          </w:p>
        </w:tc>
        <w:tc>
          <w:tcPr>
            <w:tcW w:w="1203" w:type="dxa"/>
            <w:tcBorders>
              <w:top w:val="single" w:sz="4" w:space="0" w:color="auto"/>
              <w:left w:val="single" w:sz="4" w:space="0" w:color="auto"/>
              <w:bottom w:val="single" w:sz="4" w:space="0" w:color="auto"/>
              <w:right w:val="single" w:sz="4" w:space="0" w:color="auto"/>
            </w:tcBorders>
            <w:vAlign w:val="bottom"/>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2,378.5</w:t>
            </w:r>
          </w:p>
        </w:tc>
        <w:tc>
          <w:tcPr>
            <w:tcW w:w="1203" w:type="dxa"/>
            <w:tcBorders>
              <w:top w:val="single" w:sz="4" w:space="0" w:color="auto"/>
              <w:left w:val="single" w:sz="4" w:space="0" w:color="auto"/>
              <w:bottom w:val="single" w:sz="4" w:space="0" w:color="auto"/>
              <w:right w:val="single" w:sz="4" w:space="0" w:color="auto"/>
            </w:tcBorders>
            <w:vAlign w:val="bottom"/>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3,952.9</w:t>
            </w:r>
          </w:p>
        </w:tc>
        <w:tc>
          <w:tcPr>
            <w:tcW w:w="1203" w:type="dxa"/>
            <w:tcBorders>
              <w:top w:val="single" w:sz="4" w:space="0" w:color="auto"/>
              <w:left w:val="single" w:sz="4" w:space="0" w:color="auto"/>
              <w:bottom w:val="single" w:sz="4" w:space="0" w:color="auto"/>
              <w:right w:val="single" w:sz="4" w:space="0" w:color="auto"/>
            </w:tcBorders>
            <w:vAlign w:val="bottom"/>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2,467.9</w:t>
            </w:r>
          </w:p>
        </w:tc>
        <w:tc>
          <w:tcPr>
            <w:tcW w:w="1203" w:type="dxa"/>
            <w:tcBorders>
              <w:top w:val="single" w:sz="4" w:space="0" w:color="auto"/>
              <w:left w:val="single" w:sz="4" w:space="0" w:color="auto"/>
              <w:bottom w:val="single" w:sz="4" w:space="0" w:color="auto"/>
              <w:right w:val="single" w:sz="4" w:space="0" w:color="auto"/>
            </w:tcBorders>
            <w:vAlign w:val="bottom"/>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62.4</w:t>
            </w:r>
          </w:p>
        </w:tc>
        <w:tc>
          <w:tcPr>
            <w:tcW w:w="1203" w:type="dxa"/>
            <w:tcBorders>
              <w:top w:val="single" w:sz="4" w:space="0" w:color="auto"/>
              <w:left w:val="single" w:sz="4" w:space="0" w:color="auto"/>
              <w:bottom w:val="single" w:sz="4" w:space="0" w:color="auto"/>
              <w:right w:val="single" w:sz="4" w:space="0" w:color="auto"/>
            </w:tcBorders>
            <w:vAlign w:val="bottom"/>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103.8</w:t>
            </w:r>
          </w:p>
        </w:tc>
        <w:tc>
          <w:tcPr>
            <w:tcW w:w="1048" w:type="dxa"/>
            <w:tcBorders>
              <w:top w:val="single" w:sz="4" w:space="0" w:color="auto"/>
              <w:left w:val="single" w:sz="4" w:space="0" w:color="auto"/>
              <w:bottom w:val="single" w:sz="4" w:space="0" w:color="auto"/>
              <w:right w:val="single" w:sz="4" w:space="0" w:color="auto"/>
            </w:tcBorders>
            <w:vAlign w:val="bottom"/>
          </w:tcPr>
          <w:p w:rsidR="00AC1611" w:rsidRPr="00B57DAB" w:rsidRDefault="00AC1611" w:rsidP="009550D0">
            <w:pPr>
              <w:jc w:val="right"/>
              <w:rPr>
                <w:rFonts w:ascii="GHEA Grapalat" w:hAnsi="GHEA Grapalat"/>
                <w:sz w:val="18"/>
                <w:szCs w:val="18"/>
              </w:rPr>
            </w:pPr>
            <w:r w:rsidRPr="00B57DAB">
              <w:rPr>
                <w:rFonts w:ascii="GHEA Grapalat" w:hAnsi="GHEA Grapalat"/>
                <w:sz w:val="18"/>
                <w:szCs w:val="18"/>
              </w:rPr>
              <w:t xml:space="preserve">89.4 </w:t>
            </w:r>
          </w:p>
        </w:tc>
      </w:tr>
    </w:tbl>
    <w:p w:rsidR="00AC1611" w:rsidRPr="00B57DAB" w:rsidRDefault="00AC1611" w:rsidP="00AC1611">
      <w:pPr>
        <w:autoSpaceDE w:val="0"/>
        <w:autoSpaceDN w:val="0"/>
        <w:adjustRightInd w:val="0"/>
        <w:spacing w:line="360" w:lineRule="auto"/>
        <w:ind w:firstLine="567"/>
        <w:jc w:val="both"/>
        <w:rPr>
          <w:rFonts w:ascii="GHEA Grapalat" w:hAnsi="GHEA Grapalat" w:cs="Arial"/>
          <w:sz w:val="22"/>
          <w:szCs w:val="22"/>
          <w:lang w:val="zu-ZA"/>
        </w:rPr>
      </w:pPr>
    </w:p>
    <w:p w:rsidR="00AC1611" w:rsidRPr="00B57DAB" w:rsidRDefault="00AC1611" w:rsidP="00AC1611">
      <w:pPr>
        <w:autoSpaceDE w:val="0"/>
        <w:autoSpaceDN w:val="0"/>
        <w:adjustRightInd w:val="0"/>
        <w:spacing w:line="360" w:lineRule="auto"/>
        <w:ind w:firstLine="567"/>
        <w:jc w:val="both"/>
        <w:rPr>
          <w:rFonts w:ascii="GHEA Grapalat" w:hAnsi="GHEA Grapalat" w:cs="Arial"/>
          <w:sz w:val="22"/>
          <w:szCs w:val="22"/>
          <w:lang w:val="zu-ZA"/>
        </w:rPr>
      </w:pPr>
      <w:r w:rsidRPr="00B57DAB">
        <w:rPr>
          <w:rFonts w:ascii="GHEA Grapalat" w:hAnsi="GHEA Grapalat" w:cs="Arial"/>
          <w:sz w:val="22"/>
          <w:szCs w:val="22"/>
          <w:lang w:val="zu-ZA"/>
        </w:rPr>
        <w:t xml:space="preserve">2022 </w:t>
      </w:r>
      <w:r w:rsidRPr="00B57DAB">
        <w:rPr>
          <w:rFonts w:ascii="GHEA Grapalat" w:hAnsi="GHEA Grapalat" w:cs="Arial"/>
          <w:sz w:val="22"/>
          <w:szCs w:val="22"/>
        </w:rPr>
        <w:t>թվականի</w:t>
      </w:r>
      <w:r w:rsidRPr="00B57DAB">
        <w:rPr>
          <w:rFonts w:ascii="GHEA Grapalat" w:hAnsi="GHEA Grapalat" w:cs="Arial"/>
          <w:sz w:val="22"/>
          <w:szCs w:val="22"/>
          <w:lang w:val="zu-ZA"/>
        </w:rPr>
        <w:t xml:space="preserve"> առաջին եռամսյակի </w:t>
      </w:r>
      <w:r w:rsidRPr="00B57DAB">
        <w:rPr>
          <w:rFonts w:ascii="GHEA Grapalat" w:hAnsi="GHEA Grapalat" w:cs="Arial"/>
          <w:sz w:val="22"/>
          <w:szCs w:val="22"/>
        </w:rPr>
        <w:t>ընթացքում</w:t>
      </w:r>
      <w:r w:rsidRPr="00B57DAB">
        <w:rPr>
          <w:rFonts w:ascii="GHEA Grapalat" w:hAnsi="GHEA Grapalat" w:cs="Arial"/>
          <w:sz w:val="22"/>
          <w:szCs w:val="22"/>
          <w:lang w:val="zu-ZA"/>
        </w:rPr>
        <w:t xml:space="preserve"> շուրջ 3 </w:t>
      </w:r>
      <w:r w:rsidRPr="00B57DAB">
        <w:rPr>
          <w:rFonts w:ascii="GHEA Grapalat" w:hAnsi="GHEA Grapalat" w:cs="Arial"/>
          <w:sz w:val="22"/>
          <w:szCs w:val="22"/>
        </w:rPr>
        <w:t>մլրդ</w:t>
      </w:r>
      <w:r w:rsidRPr="00B57DAB">
        <w:rPr>
          <w:rFonts w:ascii="GHEA Grapalat" w:hAnsi="GHEA Grapalat" w:cs="Arial"/>
          <w:sz w:val="22"/>
          <w:szCs w:val="22"/>
          <w:lang w:val="zu-ZA"/>
        </w:rPr>
        <w:t xml:space="preserve"> </w:t>
      </w:r>
      <w:r w:rsidRPr="00B57DAB">
        <w:rPr>
          <w:rFonts w:ascii="GHEA Grapalat" w:hAnsi="GHEA Grapalat" w:cs="Arial"/>
          <w:sz w:val="22"/>
          <w:szCs w:val="22"/>
        </w:rPr>
        <w:t>դրամ</w:t>
      </w:r>
      <w:r w:rsidRPr="00B57DAB">
        <w:rPr>
          <w:rFonts w:ascii="GHEA Grapalat" w:hAnsi="GHEA Grapalat" w:cs="Arial"/>
          <w:sz w:val="22"/>
          <w:szCs w:val="22"/>
          <w:lang w:val="zu-ZA"/>
        </w:rPr>
        <w:t xml:space="preserve"> </w:t>
      </w:r>
      <w:r w:rsidRPr="00B57DAB">
        <w:rPr>
          <w:rFonts w:ascii="GHEA Grapalat" w:hAnsi="GHEA Grapalat" w:cs="Arial"/>
          <w:sz w:val="22"/>
          <w:szCs w:val="22"/>
        </w:rPr>
        <w:t>տրամադրվել</w:t>
      </w:r>
      <w:r w:rsidRPr="00B57DAB">
        <w:rPr>
          <w:rFonts w:ascii="GHEA Grapalat" w:hAnsi="GHEA Grapalat" w:cs="Arial"/>
          <w:sz w:val="22"/>
          <w:szCs w:val="22"/>
          <w:lang w:val="zu-ZA"/>
        </w:rPr>
        <w:t xml:space="preserve"> </w:t>
      </w:r>
      <w:r w:rsidRPr="00B57DAB">
        <w:rPr>
          <w:rFonts w:ascii="GHEA Grapalat" w:hAnsi="GHEA Grapalat" w:cs="Arial"/>
          <w:sz w:val="22"/>
          <w:szCs w:val="22"/>
        </w:rPr>
        <w:t>է</w:t>
      </w:r>
      <w:r w:rsidRPr="00B57DAB">
        <w:rPr>
          <w:rFonts w:ascii="GHEA Grapalat" w:hAnsi="GHEA Grapalat" w:cs="Arial"/>
          <w:sz w:val="22"/>
          <w:szCs w:val="22"/>
          <w:lang w:val="zu-ZA"/>
        </w:rPr>
        <w:t xml:space="preserve"> </w:t>
      </w:r>
      <w:r w:rsidRPr="00B57DAB">
        <w:rPr>
          <w:rFonts w:ascii="GHEA Grapalat" w:hAnsi="GHEA Grapalat" w:cs="Arial"/>
          <w:i/>
          <w:sz w:val="22"/>
          <w:szCs w:val="22"/>
        </w:rPr>
        <w:t>Հանրային</w:t>
      </w:r>
      <w:r w:rsidRPr="00B57DAB">
        <w:rPr>
          <w:rFonts w:ascii="GHEA Grapalat" w:hAnsi="GHEA Grapalat" w:cs="Arial"/>
          <w:i/>
          <w:sz w:val="22"/>
          <w:szCs w:val="22"/>
          <w:lang w:val="zu-ZA"/>
        </w:rPr>
        <w:t xml:space="preserve"> </w:t>
      </w:r>
      <w:r w:rsidRPr="00B57DAB">
        <w:rPr>
          <w:rFonts w:ascii="GHEA Grapalat" w:hAnsi="GHEA Grapalat" w:cs="Arial"/>
          <w:i/>
          <w:sz w:val="22"/>
          <w:szCs w:val="22"/>
        </w:rPr>
        <w:t>առողջության</w:t>
      </w:r>
      <w:r w:rsidRPr="00B57DAB">
        <w:rPr>
          <w:rFonts w:ascii="GHEA Grapalat" w:hAnsi="GHEA Grapalat" w:cs="Arial"/>
          <w:i/>
          <w:sz w:val="22"/>
          <w:szCs w:val="22"/>
          <w:lang w:val="zu-ZA"/>
        </w:rPr>
        <w:t xml:space="preserve"> </w:t>
      </w:r>
      <w:r w:rsidRPr="00B57DAB">
        <w:rPr>
          <w:rFonts w:ascii="GHEA Grapalat" w:hAnsi="GHEA Grapalat" w:cs="Arial"/>
          <w:i/>
          <w:sz w:val="22"/>
          <w:szCs w:val="22"/>
        </w:rPr>
        <w:t>պահպանման</w:t>
      </w:r>
      <w:r w:rsidRPr="00B57DAB">
        <w:rPr>
          <w:rFonts w:ascii="GHEA Grapalat" w:hAnsi="GHEA Grapalat" w:cs="Arial"/>
          <w:sz w:val="22"/>
          <w:szCs w:val="22"/>
          <w:lang w:val="zu-ZA"/>
        </w:rPr>
        <w:t xml:space="preserve"> </w:t>
      </w:r>
      <w:r w:rsidRPr="00B57DAB">
        <w:rPr>
          <w:rFonts w:ascii="GHEA Grapalat" w:hAnsi="GHEA Grapalat" w:cs="Arial"/>
          <w:sz w:val="22"/>
          <w:szCs w:val="22"/>
        </w:rPr>
        <w:t>ծրագրին</w:t>
      </w:r>
      <w:r w:rsidRPr="00B57DAB">
        <w:rPr>
          <w:rFonts w:ascii="GHEA Grapalat" w:hAnsi="GHEA Grapalat" w:cs="Arial"/>
          <w:sz w:val="22"/>
          <w:szCs w:val="22"/>
          <w:lang w:val="zu-ZA"/>
        </w:rPr>
        <w:t xml:space="preserve">` </w:t>
      </w:r>
      <w:r w:rsidRPr="00B57DAB">
        <w:rPr>
          <w:rFonts w:ascii="GHEA Grapalat" w:hAnsi="GHEA Grapalat" w:cs="Arial"/>
          <w:sz w:val="22"/>
          <w:szCs w:val="22"/>
        </w:rPr>
        <w:t>կազմելով</w:t>
      </w:r>
      <w:r w:rsidRPr="00B57DAB">
        <w:rPr>
          <w:rFonts w:ascii="GHEA Grapalat" w:hAnsi="GHEA Grapalat" w:cs="Arial"/>
          <w:sz w:val="22"/>
          <w:szCs w:val="22"/>
          <w:lang w:val="zu-ZA"/>
        </w:rPr>
        <w:t xml:space="preserve"> </w:t>
      </w:r>
      <w:r w:rsidRPr="00B57DAB">
        <w:rPr>
          <w:rFonts w:ascii="GHEA Grapalat" w:hAnsi="GHEA Grapalat" w:cs="Arial"/>
          <w:sz w:val="22"/>
          <w:szCs w:val="22"/>
        </w:rPr>
        <w:t>ծրագրային</w:t>
      </w:r>
      <w:r w:rsidRPr="00B57DAB">
        <w:rPr>
          <w:rFonts w:ascii="GHEA Grapalat" w:hAnsi="GHEA Grapalat" w:cs="Arial"/>
          <w:sz w:val="22"/>
          <w:szCs w:val="22"/>
          <w:lang w:val="zu-ZA"/>
        </w:rPr>
        <w:t xml:space="preserve"> </w:t>
      </w:r>
      <w:r w:rsidRPr="00B57DAB">
        <w:rPr>
          <w:rFonts w:ascii="GHEA Grapalat" w:hAnsi="GHEA Grapalat" w:cs="Arial"/>
          <w:sz w:val="22"/>
          <w:szCs w:val="22"/>
        </w:rPr>
        <w:t>ցուցանիշի</w:t>
      </w:r>
      <w:r w:rsidRPr="00B57DAB">
        <w:rPr>
          <w:rFonts w:ascii="GHEA Grapalat" w:hAnsi="GHEA Grapalat" w:cs="Arial"/>
          <w:sz w:val="22"/>
          <w:szCs w:val="22"/>
          <w:lang w:val="zu-ZA"/>
        </w:rPr>
        <w:t xml:space="preserve"> 80.8%</w:t>
      </w:r>
      <w:r w:rsidRPr="00B57DAB">
        <w:rPr>
          <w:rFonts w:ascii="GHEA Grapalat" w:hAnsi="GHEA Grapalat" w:cs="Arial"/>
          <w:sz w:val="22"/>
          <w:szCs w:val="22"/>
          <w:lang w:val="zu-ZA"/>
        </w:rPr>
        <w:noBreakHyphen/>
      </w:r>
      <w:r w:rsidRPr="00B57DAB">
        <w:rPr>
          <w:rFonts w:ascii="GHEA Grapalat" w:hAnsi="GHEA Grapalat" w:cs="Arial"/>
          <w:sz w:val="22"/>
          <w:szCs w:val="22"/>
        </w:rPr>
        <w:t>ը</w:t>
      </w:r>
      <w:r w:rsidRPr="00B57DAB">
        <w:rPr>
          <w:rFonts w:ascii="GHEA Grapalat" w:hAnsi="GHEA Grapalat" w:cs="Arial"/>
          <w:sz w:val="22"/>
          <w:szCs w:val="22"/>
          <w:lang w:val="zu-ZA"/>
        </w:rPr>
        <w:t xml:space="preserve">: </w:t>
      </w:r>
      <w:r w:rsidRPr="00B57DAB">
        <w:rPr>
          <w:rFonts w:ascii="GHEA Grapalat" w:hAnsi="GHEA Grapalat" w:cs="Arial"/>
          <w:sz w:val="22"/>
          <w:szCs w:val="22"/>
        </w:rPr>
        <w:t>Շեղումը</w:t>
      </w:r>
      <w:r w:rsidRPr="00B57DAB">
        <w:rPr>
          <w:rFonts w:ascii="GHEA Grapalat" w:hAnsi="GHEA Grapalat" w:cs="Arial"/>
          <w:sz w:val="22"/>
          <w:szCs w:val="22"/>
          <w:lang w:val="zu-ZA"/>
        </w:rPr>
        <w:t xml:space="preserve"> </w:t>
      </w:r>
      <w:r w:rsidRPr="00B57DAB">
        <w:rPr>
          <w:rFonts w:ascii="GHEA Grapalat" w:hAnsi="GHEA Grapalat" w:cs="Arial"/>
          <w:sz w:val="22"/>
          <w:szCs w:val="22"/>
        </w:rPr>
        <w:t>հիմնականում</w:t>
      </w:r>
      <w:r w:rsidRPr="00B57DAB">
        <w:rPr>
          <w:rFonts w:ascii="GHEA Grapalat" w:hAnsi="GHEA Grapalat" w:cs="Arial"/>
          <w:sz w:val="22"/>
          <w:szCs w:val="22"/>
          <w:lang w:val="zu-ZA"/>
        </w:rPr>
        <w:t xml:space="preserve"> </w:t>
      </w:r>
      <w:r w:rsidRPr="00B57DAB">
        <w:rPr>
          <w:rFonts w:ascii="GHEA Grapalat" w:hAnsi="GHEA Grapalat" w:cs="Arial"/>
          <w:sz w:val="22"/>
          <w:szCs w:val="22"/>
        </w:rPr>
        <w:t>պայմանավորված</w:t>
      </w:r>
      <w:r w:rsidRPr="00B57DAB">
        <w:rPr>
          <w:rFonts w:ascii="GHEA Grapalat" w:hAnsi="GHEA Grapalat" w:cs="Arial"/>
          <w:sz w:val="22"/>
          <w:szCs w:val="22"/>
          <w:lang w:val="zu-ZA"/>
        </w:rPr>
        <w:t xml:space="preserve"> </w:t>
      </w:r>
      <w:r w:rsidRPr="00B57DAB">
        <w:rPr>
          <w:rFonts w:ascii="GHEA Grapalat" w:hAnsi="GHEA Grapalat" w:cs="Arial"/>
          <w:sz w:val="22"/>
          <w:szCs w:val="22"/>
        </w:rPr>
        <w:t>է</w:t>
      </w:r>
      <w:r w:rsidRPr="00B57DAB">
        <w:rPr>
          <w:rFonts w:ascii="GHEA Grapalat" w:hAnsi="GHEA Grapalat"/>
          <w:sz w:val="22"/>
          <w:szCs w:val="22"/>
          <w:lang w:val="zu-ZA"/>
        </w:rPr>
        <w:t xml:space="preserve"> </w:t>
      </w:r>
      <w:r w:rsidRPr="00B57DAB">
        <w:rPr>
          <w:rFonts w:ascii="GHEA Grapalat" w:hAnsi="GHEA Grapalat" w:cs="Arial"/>
          <w:sz w:val="22"/>
          <w:szCs w:val="22"/>
          <w:lang w:val="zu-ZA"/>
        </w:rPr>
        <w:t xml:space="preserve">«Իմունականխարգելման ազգային ծրագիր» </w:t>
      </w:r>
      <w:r w:rsidRPr="00B57DAB">
        <w:rPr>
          <w:rFonts w:ascii="GHEA Grapalat" w:hAnsi="GHEA Grapalat" w:cs="Arial"/>
          <w:sz w:val="22"/>
          <w:szCs w:val="22"/>
          <w:lang w:val="hy-AM"/>
        </w:rPr>
        <w:t xml:space="preserve">միջոցառման </w:t>
      </w:r>
      <w:r w:rsidRPr="00B57DAB">
        <w:rPr>
          <w:rFonts w:ascii="GHEA Grapalat" w:hAnsi="GHEA Grapalat" w:cs="Arial"/>
          <w:sz w:val="22"/>
          <w:szCs w:val="22"/>
        </w:rPr>
        <w:t>ծախսերի</w:t>
      </w:r>
      <w:r w:rsidRPr="00B57DAB">
        <w:rPr>
          <w:rFonts w:ascii="GHEA Grapalat" w:hAnsi="GHEA Grapalat" w:cs="Arial"/>
          <w:sz w:val="22"/>
          <w:szCs w:val="22"/>
          <w:lang w:val="zu-ZA"/>
        </w:rPr>
        <w:t xml:space="preserve"> </w:t>
      </w:r>
      <w:r w:rsidRPr="00B57DAB">
        <w:rPr>
          <w:rFonts w:ascii="GHEA Grapalat" w:hAnsi="GHEA Grapalat" w:cs="Arial"/>
          <w:sz w:val="22"/>
          <w:szCs w:val="22"/>
        </w:rPr>
        <w:t>կատարողականով</w:t>
      </w:r>
      <w:r w:rsidRPr="00B57DAB">
        <w:rPr>
          <w:rFonts w:ascii="GHEA Grapalat" w:hAnsi="GHEA Grapalat" w:cs="Sylfaen"/>
          <w:sz w:val="22"/>
          <w:szCs w:val="22"/>
          <w:lang w:val="zu-ZA"/>
        </w:rPr>
        <w:t xml:space="preserve">, </w:t>
      </w:r>
      <w:r w:rsidRPr="00B57DAB">
        <w:rPr>
          <w:rFonts w:ascii="GHEA Grapalat" w:hAnsi="GHEA Grapalat" w:cs="Arial"/>
          <w:sz w:val="22"/>
          <w:szCs w:val="22"/>
          <w:lang w:val="zu-ZA"/>
        </w:rPr>
        <w:t>որը կազմել է 411 մլն դրամ կամ</w:t>
      </w:r>
      <w:r w:rsidR="009F324C" w:rsidRPr="00B57DAB">
        <w:rPr>
          <w:rFonts w:ascii="GHEA Grapalat" w:hAnsi="GHEA Grapalat" w:cs="Arial"/>
          <w:sz w:val="22"/>
          <w:szCs w:val="22"/>
          <w:lang w:val="zu-ZA"/>
        </w:rPr>
        <w:t xml:space="preserve"> եռամսյակային ծրագրի</w:t>
      </w:r>
      <w:r w:rsidRPr="00B57DAB">
        <w:rPr>
          <w:rFonts w:ascii="GHEA Grapalat" w:hAnsi="GHEA Grapalat" w:cs="Arial"/>
          <w:sz w:val="22"/>
          <w:szCs w:val="22"/>
          <w:lang w:val="zu-ZA"/>
        </w:rPr>
        <w:t xml:space="preserve"> 37%</w:t>
      </w:r>
      <w:r w:rsidR="009F324C" w:rsidRPr="00B57DAB">
        <w:rPr>
          <w:rFonts w:ascii="GHEA Grapalat" w:hAnsi="GHEA Grapalat" w:cs="Arial"/>
          <w:sz w:val="22"/>
          <w:szCs w:val="22"/>
          <w:lang w:val="zu-ZA"/>
        </w:rPr>
        <w:t>-ը</w:t>
      </w:r>
      <w:r w:rsidRPr="00B57DAB">
        <w:rPr>
          <w:rFonts w:ascii="GHEA Grapalat" w:hAnsi="GHEA Grapalat" w:cs="Arial"/>
          <w:sz w:val="22"/>
          <w:szCs w:val="22"/>
          <w:lang w:val="zu-ZA"/>
        </w:rPr>
        <w:t xml:space="preserve">: Ցածր կատարողականը </w:t>
      </w:r>
      <w:r w:rsidRPr="00B57DAB">
        <w:rPr>
          <w:rFonts w:ascii="GHEA Grapalat" w:hAnsi="GHEA Grapalat" w:cs="Arial"/>
          <w:sz w:val="22"/>
          <w:szCs w:val="22"/>
        </w:rPr>
        <w:t>պայմանավորված</w:t>
      </w:r>
      <w:r w:rsidRPr="00B57DAB">
        <w:rPr>
          <w:rFonts w:ascii="GHEA Grapalat" w:hAnsi="GHEA Grapalat" w:cs="Arial"/>
          <w:sz w:val="22"/>
          <w:szCs w:val="22"/>
          <w:lang w:val="zu-ZA"/>
        </w:rPr>
        <w:t xml:space="preserve"> </w:t>
      </w:r>
      <w:r w:rsidRPr="00B57DAB">
        <w:rPr>
          <w:rFonts w:ascii="GHEA Grapalat" w:hAnsi="GHEA Grapalat" w:cs="Arial"/>
          <w:sz w:val="22"/>
          <w:szCs w:val="22"/>
        </w:rPr>
        <w:t>է</w:t>
      </w:r>
      <w:r w:rsidRPr="00B57DAB">
        <w:rPr>
          <w:rFonts w:ascii="GHEA Grapalat" w:hAnsi="GHEA Grapalat" w:cs="Arial"/>
          <w:sz w:val="22"/>
          <w:szCs w:val="22"/>
          <w:lang w:val="zu-ZA"/>
        </w:rPr>
        <w:t xml:space="preserve"> պատվաստումների թվով, ինչպես նաև պահեստում առկա պատվաստանյութերի քանակով, որի արդյունքում պատվաստանյութերի ձեռքբերումը տեղափոխվել է հաջորդ եռամսյակ: Ի</w:t>
      </w:r>
      <w:r w:rsidRPr="00B57DAB">
        <w:rPr>
          <w:rFonts w:ascii="GHEA Grapalat" w:hAnsi="GHEA Grapalat" w:cs="Arial"/>
          <w:sz w:val="22"/>
          <w:szCs w:val="22"/>
          <w:lang w:val="hy-AM"/>
        </w:rPr>
        <w:t>մունականխարգելման</w:t>
      </w:r>
      <w:r w:rsidRPr="00B57DAB">
        <w:rPr>
          <w:rFonts w:ascii="GHEA Grapalat" w:hAnsi="GHEA Grapalat"/>
          <w:sz w:val="22"/>
          <w:szCs w:val="22"/>
          <w:lang w:val="zu-ZA"/>
        </w:rPr>
        <w:t xml:space="preserve"> </w:t>
      </w:r>
      <w:r w:rsidRPr="00B57DAB">
        <w:rPr>
          <w:rFonts w:ascii="GHEA Grapalat" w:hAnsi="GHEA Grapalat" w:cs="Arial"/>
          <w:sz w:val="22"/>
          <w:szCs w:val="22"/>
          <w:lang w:val="hy-AM"/>
        </w:rPr>
        <w:t>ազգային</w:t>
      </w:r>
      <w:r w:rsidRPr="00B57DAB">
        <w:rPr>
          <w:rFonts w:ascii="GHEA Grapalat" w:hAnsi="GHEA Grapalat"/>
          <w:sz w:val="22"/>
          <w:szCs w:val="22"/>
          <w:lang w:val="zu-ZA"/>
        </w:rPr>
        <w:t xml:space="preserve"> </w:t>
      </w:r>
      <w:r w:rsidRPr="00B57DAB">
        <w:rPr>
          <w:rFonts w:ascii="GHEA Grapalat" w:hAnsi="GHEA Grapalat" w:cs="Arial"/>
          <w:sz w:val="22"/>
          <w:szCs w:val="22"/>
          <w:lang w:val="hy-AM"/>
        </w:rPr>
        <w:t>ծրագ</w:t>
      </w:r>
      <w:r w:rsidRPr="00B57DAB">
        <w:rPr>
          <w:rFonts w:ascii="GHEA Grapalat" w:hAnsi="GHEA Grapalat" w:cs="Arial"/>
          <w:sz w:val="22"/>
          <w:szCs w:val="22"/>
        </w:rPr>
        <w:t>րի</w:t>
      </w:r>
      <w:r w:rsidRPr="00B57DAB">
        <w:rPr>
          <w:rFonts w:ascii="GHEA Grapalat" w:hAnsi="GHEA Grapalat"/>
          <w:sz w:val="22"/>
          <w:szCs w:val="22"/>
          <w:lang w:val="hy-AM"/>
        </w:rPr>
        <w:t xml:space="preserve"> </w:t>
      </w:r>
      <w:r w:rsidRPr="00B57DAB">
        <w:rPr>
          <w:rFonts w:ascii="GHEA Grapalat" w:hAnsi="GHEA Grapalat" w:cs="Arial"/>
          <w:sz w:val="22"/>
          <w:szCs w:val="22"/>
          <w:lang w:val="hy-AM"/>
        </w:rPr>
        <w:t>շրջանակներում</w:t>
      </w:r>
      <w:r w:rsidRPr="00B57DAB">
        <w:rPr>
          <w:rFonts w:ascii="GHEA Grapalat" w:hAnsi="GHEA Grapalat"/>
          <w:sz w:val="22"/>
          <w:szCs w:val="22"/>
          <w:lang w:val="hy-AM"/>
        </w:rPr>
        <w:t xml:space="preserve"> </w:t>
      </w:r>
      <w:r w:rsidRPr="00B57DAB">
        <w:rPr>
          <w:rFonts w:ascii="GHEA Grapalat" w:hAnsi="GHEA Grapalat"/>
          <w:sz w:val="22"/>
          <w:szCs w:val="22"/>
        </w:rPr>
        <w:t>հաշվետու</w:t>
      </w:r>
      <w:r w:rsidRPr="00B57DAB">
        <w:rPr>
          <w:rFonts w:ascii="GHEA Grapalat" w:hAnsi="GHEA Grapalat"/>
          <w:sz w:val="22"/>
          <w:szCs w:val="22"/>
          <w:lang w:val="zu-ZA"/>
        </w:rPr>
        <w:t xml:space="preserve"> </w:t>
      </w:r>
      <w:r w:rsidRPr="00B57DAB">
        <w:rPr>
          <w:rFonts w:ascii="GHEA Grapalat" w:hAnsi="GHEA Grapalat"/>
          <w:sz w:val="22"/>
          <w:szCs w:val="22"/>
        </w:rPr>
        <w:t>ժամանակահատվածում</w:t>
      </w:r>
      <w:r w:rsidRPr="00B57DAB">
        <w:rPr>
          <w:rFonts w:ascii="GHEA Grapalat" w:hAnsi="GHEA Grapalat"/>
          <w:sz w:val="22"/>
          <w:szCs w:val="22"/>
          <w:lang w:val="zu-ZA"/>
        </w:rPr>
        <w:t xml:space="preserve"> </w:t>
      </w:r>
      <w:r w:rsidRPr="00B57DAB">
        <w:rPr>
          <w:rFonts w:ascii="GHEA Grapalat" w:hAnsi="GHEA Grapalat" w:cs="Arial"/>
          <w:sz w:val="22"/>
          <w:szCs w:val="22"/>
          <w:lang w:val="hy-AM"/>
        </w:rPr>
        <w:t>իրականացվել</w:t>
      </w:r>
      <w:r w:rsidRPr="00B57DAB">
        <w:rPr>
          <w:rFonts w:ascii="GHEA Grapalat" w:hAnsi="GHEA Grapalat"/>
          <w:sz w:val="22"/>
          <w:szCs w:val="22"/>
          <w:lang w:val="hy-AM"/>
        </w:rPr>
        <w:t xml:space="preserve"> </w:t>
      </w:r>
      <w:r w:rsidRPr="00B57DAB">
        <w:rPr>
          <w:rFonts w:ascii="GHEA Grapalat" w:hAnsi="GHEA Grapalat" w:cs="Arial"/>
          <w:sz w:val="22"/>
          <w:szCs w:val="22"/>
          <w:lang w:val="zu-ZA"/>
        </w:rPr>
        <w:t xml:space="preserve">է 240615 պատվաստում՝ </w:t>
      </w:r>
      <w:r w:rsidR="00F06E94" w:rsidRPr="00B57DAB">
        <w:rPr>
          <w:rFonts w:ascii="GHEA Grapalat" w:hAnsi="GHEA Grapalat" w:cs="Arial"/>
          <w:sz w:val="22"/>
          <w:szCs w:val="22"/>
          <w:lang w:val="zu-ZA"/>
        </w:rPr>
        <w:t>կան</w:t>
      </w:r>
      <w:r w:rsidRPr="00B57DAB">
        <w:rPr>
          <w:rFonts w:ascii="GHEA Grapalat" w:hAnsi="GHEA Grapalat" w:cs="Arial"/>
          <w:sz w:val="22"/>
          <w:szCs w:val="22"/>
          <w:lang w:val="zu-ZA"/>
        </w:rPr>
        <w:t>խատեսված 345600-ի դիմաց։ Պատվաստումների՝ կ</w:t>
      </w:r>
      <w:r w:rsidRPr="00B57DAB">
        <w:rPr>
          <w:rFonts w:ascii="GHEA Grapalat" w:hAnsi="GHEA Grapalat"/>
          <w:sz w:val="22"/>
          <w:szCs w:val="22"/>
        </w:rPr>
        <w:t>անխատեսվածի</w:t>
      </w:r>
      <w:r w:rsidRPr="00B57DAB">
        <w:rPr>
          <w:rFonts w:ascii="GHEA Grapalat" w:hAnsi="GHEA Grapalat"/>
          <w:sz w:val="22"/>
          <w:szCs w:val="22"/>
          <w:lang w:val="zu-ZA"/>
        </w:rPr>
        <w:t xml:space="preserve"> </w:t>
      </w:r>
      <w:r w:rsidRPr="00B57DAB">
        <w:rPr>
          <w:rFonts w:ascii="GHEA Grapalat" w:hAnsi="GHEA Grapalat"/>
          <w:sz w:val="22"/>
          <w:szCs w:val="22"/>
        </w:rPr>
        <w:t>համեմատ</w:t>
      </w:r>
      <w:r w:rsidRPr="00B57DAB">
        <w:rPr>
          <w:rFonts w:ascii="GHEA Grapalat" w:hAnsi="GHEA Grapalat"/>
          <w:sz w:val="22"/>
          <w:szCs w:val="22"/>
          <w:lang w:val="zu-ZA"/>
        </w:rPr>
        <w:t xml:space="preserve"> </w:t>
      </w:r>
      <w:r w:rsidRPr="00B57DAB">
        <w:rPr>
          <w:rFonts w:ascii="GHEA Grapalat" w:hAnsi="GHEA Grapalat"/>
          <w:sz w:val="22"/>
          <w:szCs w:val="22"/>
        </w:rPr>
        <w:t>ցածր</w:t>
      </w:r>
      <w:r w:rsidRPr="00B57DAB">
        <w:rPr>
          <w:rFonts w:ascii="GHEA Grapalat" w:hAnsi="GHEA Grapalat"/>
          <w:sz w:val="22"/>
          <w:szCs w:val="22"/>
          <w:lang w:val="zu-ZA"/>
        </w:rPr>
        <w:t xml:space="preserve"> </w:t>
      </w:r>
      <w:r w:rsidRPr="00B57DAB">
        <w:rPr>
          <w:rFonts w:ascii="GHEA Grapalat" w:hAnsi="GHEA Grapalat"/>
          <w:sz w:val="22"/>
          <w:szCs w:val="22"/>
        </w:rPr>
        <w:t>փ</w:t>
      </w:r>
      <w:r w:rsidRPr="00B57DAB">
        <w:rPr>
          <w:rFonts w:ascii="GHEA Grapalat" w:hAnsi="GHEA Grapalat"/>
          <w:sz w:val="22"/>
          <w:szCs w:val="22"/>
          <w:lang w:val="hy-AM"/>
        </w:rPr>
        <w:t xml:space="preserve">աստացի </w:t>
      </w:r>
      <w:r w:rsidR="00F06E94" w:rsidRPr="00B57DAB">
        <w:rPr>
          <w:rFonts w:ascii="GHEA Grapalat" w:hAnsi="GHEA Grapalat"/>
          <w:sz w:val="22"/>
          <w:szCs w:val="22"/>
        </w:rPr>
        <w:t xml:space="preserve">թիվը </w:t>
      </w:r>
      <w:r w:rsidRPr="00B57DAB">
        <w:rPr>
          <w:rFonts w:ascii="GHEA Grapalat" w:hAnsi="GHEA Grapalat"/>
          <w:sz w:val="22"/>
          <w:szCs w:val="22"/>
          <w:lang w:val="hy-AM"/>
        </w:rPr>
        <w:t xml:space="preserve">հիմնականում </w:t>
      </w:r>
      <w:r w:rsidRPr="00B57DAB">
        <w:rPr>
          <w:rFonts w:ascii="GHEA Grapalat" w:hAnsi="GHEA Grapalat"/>
          <w:sz w:val="22"/>
          <w:szCs w:val="22"/>
          <w:lang w:val="hy-AM"/>
        </w:rPr>
        <w:lastRenderedPageBreak/>
        <w:t>պայմանավորված է կորոնավիրուսի համավարակի պայմաններում պատվաստումների թվի նվազմամբ։</w:t>
      </w:r>
    </w:p>
    <w:p w:rsidR="00AC1611" w:rsidRPr="00B57DAB" w:rsidRDefault="00AC1611" w:rsidP="00AC1611">
      <w:pPr>
        <w:autoSpaceDE w:val="0"/>
        <w:autoSpaceDN w:val="0"/>
        <w:adjustRightInd w:val="0"/>
        <w:spacing w:line="360" w:lineRule="auto"/>
        <w:ind w:firstLine="567"/>
        <w:jc w:val="both"/>
        <w:rPr>
          <w:rFonts w:ascii="GHEA Grapalat" w:hAnsi="GHEA Grapalat" w:cs="Arial"/>
          <w:sz w:val="22"/>
          <w:szCs w:val="22"/>
          <w:lang w:val="zu-ZA"/>
        </w:rPr>
      </w:pPr>
      <w:r w:rsidRPr="00B57DAB">
        <w:rPr>
          <w:rFonts w:ascii="GHEA Grapalat" w:hAnsi="GHEA Grapalat" w:cs="Arial"/>
          <w:sz w:val="22"/>
          <w:szCs w:val="22"/>
          <w:lang w:val="zu-ZA"/>
        </w:rPr>
        <w:t>Ամբողջությամբ օգտագործվել են «Հայաստանի Հանրապետությանում կորոնավիրուսային վարակի (COVID-19) կանխարգելման, վերահսկման, բուժման և այլ համալիր միջոցառումների իրականացում» և «Բնակչության սանիտարահամաճարակային անվտանգության</w:t>
      </w:r>
      <w:r w:rsidRPr="00B57DAB">
        <w:rPr>
          <w:rFonts w:ascii="GHEA Grapalat" w:hAnsi="GHEA Grapalat"/>
          <w:sz w:val="22"/>
          <w:szCs w:val="22"/>
          <w:lang w:val="zu-ZA"/>
        </w:rPr>
        <w:t xml:space="preserve"> </w:t>
      </w:r>
      <w:r w:rsidRPr="00B57DAB">
        <w:rPr>
          <w:rFonts w:ascii="GHEA Grapalat" w:hAnsi="GHEA Grapalat" w:cs="Arial"/>
          <w:sz w:val="22"/>
          <w:szCs w:val="22"/>
          <w:lang w:val="hy-AM"/>
        </w:rPr>
        <w:t>ապահովման</w:t>
      </w:r>
      <w:r w:rsidRPr="00B57DAB">
        <w:rPr>
          <w:rFonts w:ascii="GHEA Grapalat" w:hAnsi="GHEA Grapalat"/>
          <w:sz w:val="22"/>
          <w:szCs w:val="22"/>
          <w:lang w:val="zu-ZA"/>
        </w:rPr>
        <w:t xml:space="preserve"> </w:t>
      </w:r>
      <w:r w:rsidRPr="00B57DAB">
        <w:rPr>
          <w:rFonts w:ascii="GHEA Grapalat" w:hAnsi="GHEA Grapalat" w:cs="Arial"/>
          <w:sz w:val="22"/>
          <w:szCs w:val="22"/>
          <w:lang w:val="hy-AM"/>
        </w:rPr>
        <w:t>և</w:t>
      </w:r>
      <w:r w:rsidRPr="00B57DAB">
        <w:rPr>
          <w:rFonts w:ascii="GHEA Grapalat" w:hAnsi="GHEA Grapalat"/>
          <w:sz w:val="22"/>
          <w:szCs w:val="22"/>
          <w:lang w:val="zu-ZA"/>
        </w:rPr>
        <w:t xml:space="preserve"> </w:t>
      </w:r>
      <w:r w:rsidRPr="00B57DAB">
        <w:rPr>
          <w:rFonts w:ascii="GHEA Grapalat" w:hAnsi="GHEA Grapalat" w:cs="Arial"/>
          <w:sz w:val="22"/>
          <w:szCs w:val="22"/>
          <w:lang w:val="hy-AM"/>
        </w:rPr>
        <w:t>հանրային</w:t>
      </w:r>
      <w:r w:rsidRPr="00B57DAB">
        <w:rPr>
          <w:rFonts w:ascii="GHEA Grapalat" w:hAnsi="GHEA Grapalat"/>
          <w:sz w:val="22"/>
          <w:szCs w:val="22"/>
          <w:lang w:val="zu-ZA"/>
        </w:rPr>
        <w:t xml:space="preserve"> </w:t>
      </w:r>
      <w:r w:rsidRPr="00B57DAB">
        <w:rPr>
          <w:rFonts w:ascii="GHEA Grapalat" w:hAnsi="GHEA Grapalat" w:cs="Arial"/>
          <w:sz w:val="22"/>
          <w:szCs w:val="22"/>
          <w:lang w:val="hy-AM"/>
        </w:rPr>
        <w:t>առողջապահական</w:t>
      </w:r>
      <w:r w:rsidRPr="00B57DAB">
        <w:rPr>
          <w:rFonts w:ascii="GHEA Grapalat" w:hAnsi="GHEA Grapalat"/>
          <w:sz w:val="22"/>
          <w:szCs w:val="22"/>
          <w:lang w:val="zu-ZA"/>
        </w:rPr>
        <w:t xml:space="preserve"> </w:t>
      </w:r>
      <w:r w:rsidRPr="00B57DAB">
        <w:rPr>
          <w:rFonts w:ascii="GHEA Grapalat" w:hAnsi="GHEA Grapalat" w:cs="Arial"/>
          <w:sz w:val="22"/>
          <w:szCs w:val="22"/>
          <w:lang w:val="hy-AM"/>
        </w:rPr>
        <w:t>ծառայություններ</w:t>
      </w:r>
      <w:r w:rsidRPr="00B57DAB">
        <w:rPr>
          <w:rFonts w:ascii="GHEA Grapalat" w:hAnsi="GHEA Grapalat" w:cs="Arial"/>
          <w:sz w:val="22"/>
          <w:szCs w:val="22"/>
          <w:lang w:val="zu-ZA"/>
        </w:rPr>
        <w:t xml:space="preserve">» միջոցառումների </w:t>
      </w:r>
      <w:r w:rsidRPr="00B57DAB">
        <w:rPr>
          <w:rFonts w:ascii="GHEA Grapalat" w:hAnsi="GHEA Grapalat" w:cs="Arial"/>
          <w:sz w:val="22"/>
          <w:szCs w:val="22"/>
          <w:lang w:val="hy-AM"/>
        </w:rPr>
        <w:t>համար</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նախատեսված</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միջոցները</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որոնք</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կազմել</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են</w:t>
      </w:r>
      <w:r w:rsidRPr="00B57DAB">
        <w:rPr>
          <w:rFonts w:ascii="GHEA Grapalat" w:hAnsi="GHEA Grapalat" w:cs="Arial"/>
          <w:sz w:val="22"/>
          <w:szCs w:val="22"/>
          <w:lang w:val="zu-ZA"/>
        </w:rPr>
        <w:t xml:space="preserve"> համապատասխանաբար 2.2 </w:t>
      </w:r>
      <w:r w:rsidRPr="00B57DAB">
        <w:rPr>
          <w:rFonts w:ascii="GHEA Grapalat" w:hAnsi="GHEA Grapalat" w:cs="Arial"/>
          <w:sz w:val="22"/>
          <w:szCs w:val="22"/>
          <w:lang w:val="hy-AM"/>
        </w:rPr>
        <w:t>մլրդ</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դրամ</w:t>
      </w:r>
      <w:r w:rsidRPr="00B57DAB">
        <w:rPr>
          <w:rFonts w:ascii="GHEA Grapalat" w:hAnsi="GHEA Grapalat" w:cs="Arial"/>
          <w:sz w:val="22"/>
          <w:szCs w:val="22"/>
          <w:lang w:val="zu-ZA"/>
        </w:rPr>
        <w:t xml:space="preserve"> </w:t>
      </w:r>
      <w:r w:rsidRPr="00B57DAB">
        <w:rPr>
          <w:rFonts w:ascii="GHEA Grapalat" w:hAnsi="GHEA Grapalat" w:cs="Arial"/>
          <w:sz w:val="22"/>
          <w:szCs w:val="22"/>
        </w:rPr>
        <w:t>և</w:t>
      </w:r>
      <w:r w:rsidRPr="00B57DAB">
        <w:rPr>
          <w:rFonts w:ascii="GHEA Grapalat" w:hAnsi="GHEA Grapalat" w:cs="Arial"/>
          <w:sz w:val="22"/>
          <w:szCs w:val="22"/>
          <w:lang w:val="zu-ZA"/>
        </w:rPr>
        <w:t xml:space="preserve"> 401.9</w:t>
      </w:r>
      <w:r w:rsidRPr="00B57DAB">
        <w:rPr>
          <w:rFonts w:ascii="Courier New" w:hAnsi="Courier New" w:cs="Courier New"/>
          <w:sz w:val="22"/>
          <w:szCs w:val="22"/>
          <w:lang w:val="zu-ZA"/>
        </w:rPr>
        <w:t> </w:t>
      </w:r>
      <w:r w:rsidRPr="00B57DAB">
        <w:rPr>
          <w:rFonts w:ascii="GHEA Grapalat" w:hAnsi="GHEA Grapalat" w:cs="Arial"/>
          <w:sz w:val="22"/>
          <w:szCs w:val="22"/>
          <w:lang w:val="hy-AM"/>
        </w:rPr>
        <w:t>մլ</w:t>
      </w:r>
      <w:r w:rsidRPr="00B57DAB">
        <w:rPr>
          <w:rFonts w:ascii="GHEA Grapalat" w:hAnsi="GHEA Grapalat" w:cs="Arial"/>
          <w:sz w:val="22"/>
          <w:szCs w:val="22"/>
        </w:rPr>
        <w:t>ն</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դրամ</w:t>
      </w:r>
      <w:r w:rsidRPr="00B57DAB">
        <w:rPr>
          <w:rFonts w:ascii="GHEA Grapalat" w:hAnsi="GHEA Grapalat" w:cs="Arial"/>
          <w:sz w:val="22"/>
          <w:szCs w:val="22"/>
          <w:lang w:val="zu-ZA"/>
        </w:rPr>
        <w:t>: Բնակչության սանիտարահամաճարակային անվտանգության</w:t>
      </w:r>
      <w:r w:rsidRPr="00B57DAB">
        <w:rPr>
          <w:rFonts w:ascii="GHEA Grapalat" w:hAnsi="GHEA Grapalat"/>
          <w:sz w:val="22"/>
          <w:szCs w:val="22"/>
          <w:lang w:val="zu-ZA"/>
        </w:rPr>
        <w:t xml:space="preserve"> </w:t>
      </w:r>
      <w:r w:rsidRPr="00B57DAB">
        <w:rPr>
          <w:rFonts w:ascii="GHEA Grapalat" w:hAnsi="GHEA Grapalat" w:cs="Arial"/>
          <w:sz w:val="22"/>
          <w:szCs w:val="22"/>
          <w:lang w:val="hy-AM"/>
        </w:rPr>
        <w:t>ապահովման</w:t>
      </w:r>
      <w:r w:rsidRPr="00B57DAB">
        <w:rPr>
          <w:rFonts w:ascii="GHEA Grapalat" w:hAnsi="GHEA Grapalat"/>
          <w:sz w:val="22"/>
          <w:szCs w:val="22"/>
          <w:lang w:val="zu-ZA"/>
        </w:rPr>
        <w:t xml:space="preserve"> </w:t>
      </w:r>
      <w:r w:rsidRPr="00B57DAB">
        <w:rPr>
          <w:rFonts w:ascii="GHEA Grapalat" w:hAnsi="GHEA Grapalat" w:cs="Arial"/>
          <w:sz w:val="22"/>
          <w:szCs w:val="22"/>
          <w:lang w:val="hy-AM"/>
        </w:rPr>
        <w:t>և</w:t>
      </w:r>
      <w:r w:rsidRPr="00B57DAB">
        <w:rPr>
          <w:rFonts w:ascii="GHEA Grapalat" w:hAnsi="GHEA Grapalat"/>
          <w:sz w:val="22"/>
          <w:szCs w:val="22"/>
          <w:lang w:val="zu-ZA"/>
        </w:rPr>
        <w:t xml:space="preserve"> </w:t>
      </w:r>
      <w:r w:rsidRPr="00B57DAB">
        <w:rPr>
          <w:rFonts w:ascii="GHEA Grapalat" w:hAnsi="GHEA Grapalat" w:cs="Arial"/>
          <w:sz w:val="22"/>
          <w:szCs w:val="22"/>
          <w:lang w:val="hy-AM"/>
        </w:rPr>
        <w:t>հանրային</w:t>
      </w:r>
      <w:r w:rsidRPr="00B57DAB">
        <w:rPr>
          <w:rFonts w:ascii="GHEA Grapalat" w:hAnsi="GHEA Grapalat"/>
          <w:sz w:val="22"/>
          <w:szCs w:val="22"/>
          <w:lang w:val="zu-ZA"/>
        </w:rPr>
        <w:t xml:space="preserve"> </w:t>
      </w:r>
      <w:r w:rsidRPr="00B57DAB">
        <w:rPr>
          <w:rFonts w:ascii="GHEA Grapalat" w:hAnsi="GHEA Grapalat" w:cs="Arial"/>
          <w:sz w:val="22"/>
          <w:szCs w:val="22"/>
          <w:lang w:val="hy-AM"/>
        </w:rPr>
        <w:t>առողջապահական</w:t>
      </w:r>
      <w:r w:rsidRPr="00B57DAB">
        <w:rPr>
          <w:rFonts w:ascii="GHEA Grapalat" w:hAnsi="GHEA Grapalat"/>
          <w:sz w:val="22"/>
          <w:szCs w:val="22"/>
          <w:lang w:val="zu-ZA"/>
        </w:rPr>
        <w:t xml:space="preserve"> </w:t>
      </w:r>
      <w:r w:rsidRPr="00B57DAB">
        <w:rPr>
          <w:rFonts w:ascii="GHEA Grapalat" w:hAnsi="GHEA Grapalat" w:cs="Arial"/>
          <w:sz w:val="22"/>
          <w:szCs w:val="22"/>
          <w:lang w:val="hy-AM"/>
        </w:rPr>
        <w:t>ծառայություններ</w:t>
      </w:r>
      <w:r w:rsidRPr="00B57DAB">
        <w:rPr>
          <w:rFonts w:ascii="GHEA Grapalat" w:hAnsi="GHEA Grapalat" w:cs="Arial"/>
          <w:sz w:val="22"/>
          <w:szCs w:val="22"/>
          <w:lang w:val="zu-ZA"/>
        </w:rPr>
        <w:t>ի մ</w:t>
      </w:r>
      <w:r w:rsidRPr="00B57DAB">
        <w:rPr>
          <w:rFonts w:ascii="GHEA Grapalat" w:hAnsi="GHEA Grapalat" w:cs="Arial"/>
          <w:color w:val="000000" w:themeColor="text1"/>
          <w:sz w:val="22"/>
          <w:szCs w:val="22"/>
          <w:lang w:val="zu-ZA"/>
        </w:rPr>
        <w:t>իջոցառման շրջանակներում</w:t>
      </w:r>
      <w:r w:rsidRPr="00B57DAB">
        <w:rPr>
          <w:rFonts w:ascii="GHEA Grapalat" w:hAnsi="GHEA Grapalat"/>
          <w:color w:val="000000" w:themeColor="text1"/>
          <w:sz w:val="22"/>
          <w:szCs w:val="22"/>
          <w:lang w:val="zu-ZA"/>
        </w:rPr>
        <w:t xml:space="preserve"> կատարվել են 113037 </w:t>
      </w:r>
      <w:r w:rsidRPr="00B57DAB">
        <w:rPr>
          <w:rFonts w:ascii="GHEA Grapalat" w:hAnsi="GHEA Grapalat"/>
          <w:sz w:val="22"/>
          <w:szCs w:val="22"/>
          <w:lang w:val="zu-ZA"/>
        </w:rPr>
        <w:t xml:space="preserve">հետազոտություններ` </w:t>
      </w:r>
      <w:r w:rsidRPr="00B57DAB">
        <w:rPr>
          <w:rFonts w:ascii="GHEA Grapalat" w:hAnsi="GHEA Grapalat"/>
          <w:color w:val="000000" w:themeColor="text1"/>
          <w:sz w:val="22"/>
          <w:szCs w:val="22"/>
          <w:lang w:val="zu-ZA"/>
        </w:rPr>
        <w:t xml:space="preserve">կանխատեսված 93500-ի </w:t>
      </w:r>
      <w:r w:rsidRPr="00B57DAB">
        <w:rPr>
          <w:rFonts w:ascii="GHEA Grapalat" w:hAnsi="GHEA Grapalat"/>
          <w:sz w:val="22"/>
          <w:szCs w:val="22"/>
          <w:lang w:val="zu-ZA"/>
        </w:rPr>
        <w:t xml:space="preserve">փոխարեն, մատուցվել են վարակիչ օջախների </w:t>
      </w:r>
      <w:r w:rsidRPr="00B57DAB">
        <w:rPr>
          <w:rFonts w:ascii="GHEA Grapalat" w:hAnsi="GHEA Grapalat" w:cs="Arial"/>
          <w:color w:val="000000" w:themeColor="text1"/>
          <w:sz w:val="22"/>
          <w:szCs w:val="22"/>
          <w:lang w:val="hy-AM"/>
        </w:rPr>
        <w:t>ախտահանման 337 ծառայություններ</w:t>
      </w:r>
      <w:r w:rsidRPr="00B57DAB">
        <w:rPr>
          <w:rFonts w:ascii="GHEA Grapalat" w:hAnsi="GHEA Grapalat"/>
          <w:sz w:val="22"/>
          <w:szCs w:val="22"/>
          <w:lang w:val="zu-ZA"/>
        </w:rPr>
        <w:t xml:space="preserve">՝ կանխատեսված 850-ի փոխարեն: Հետազոտությունների փաստացի քանակների գերազանցումը կանխատեսվածի համեմատ պայմանավորված է կորոնավիրուսի համավարակի դեմ պայքարի շրջանակներում իրականացված հետազոտությունների քանակով, իսկ վարակիչ օջախների </w:t>
      </w:r>
      <w:r w:rsidRPr="00B57DAB">
        <w:rPr>
          <w:rFonts w:ascii="GHEA Grapalat" w:hAnsi="GHEA Grapalat" w:cs="Arial"/>
          <w:color w:val="000000" w:themeColor="text1"/>
          <w:sz w:val="22"/>
          <w:szCs w:val="22"/>
          <w:lang w:val="hy-AM"/>
        </w:rPr>
        <w:t>ախտահանման ծառայություններ</w:t>
      </w:r>
      <w:r w:rsidRPr="00B57DAB">
        <w:rPr>
          <w:rFonts w:ascii="GHEA Grapalat" w:hAnsi="GHEA Grapalat" w:cs="Arial"/>
          <w:color w:val="000000" w:themeColor="text1"/>
          <w:sz w:val="22"/>
          <w:szCs w:val="22"/>
        </w:rPr>
        <w:t>ի</w:t>
      </w:r>
      <w:r w:rsidRPr="00B57DAB">
        <w:rPr>
          <w:rFonts w:ascii="GHEA Grapalat" w:hAnsi="GHEA Grapalat" w:cs="Arial"/>
          <w:color w:val="000000" w:themeColor="text1"/>
          <w:sz w:val="22"/>
          <w:szCs w:val="22"/>
          <w:lang w:val="zu-ZA"/>
        </w:rPr>
        <w:t xml:space="preserve"> </w:t>
      </w:r>
      <w:r w:rsidRPr="00B57DAB">
        <w:rPr>
          <w:rFonts w:ascii="GHEA Grapalat" w:hAnsi="GHEA Grapalat" w:cs="Arial"/>
          <w:color w:val="000000" w:themeColor="text1"/>
          <w:sz w:val="22"/>
          <w:szCs w:val="22"/>
        </w:rPr>
        <w:t>գծով</w:t>
      </w:r>
      <w:r w:rsidRPr="00B57DAB">
        <w:rPr>
          <w:rFonts w:ascii="GHEA Grapalat" w:hAnsi="GHEA Grapalat"/>
          <w:sz w:val="22"/>
          <w:szCs w:val="22"/>
          <w:lang w:val="zu-ZA"/>
        </w:rPr>
        <w:t xml:space="preserve"> փաստացի ցածր արդյունքային ցուցանիշը պայմանավորված է ախտահանման ենթակա օջախների փաստացի թվով: </w:t>
      </w:r>
      <w:r w:rsidR="00F06E94" w:rsidRPr="00B57DAB">
        <w:rPr>
          <w:rFonts w:ascii="GHEA Grapalat" w:hAnsi="GHEA Grapalat"/>
          <w:sz w:val="22"/>
          <w:szCs w:val="22"/>
          <w:lang w:val="zu-ZA"/>
        </w:rPr>
        <w:t xml:space="preserve">Միջոցառման շրջանակներում </w:t>
      </w:r>
      <w:r w:rsidRPr="00B57DAB">
        <w:rPr>
          <w:rFonts w:ascii="GHEA Grapalat" w:hAnsi="GHEA Grapalat"/>
          <w:sz w:val="22"/>
          <w:szCs w:val="22"/>
          <w:lang w:val="zu-ZA"/>
        </w:rPr>
        <w:t xml:space="preserve">2022 թվականի առաջին եռամսյակի ընթացքում </w:t>
      </w:r>
      <w:r w:rsidR="00F06E94" w:rsidRPr="00B57DAB">
        <w:rPr>
          <w:rFonts w:ascii="GHEA Grapalat" w:hAnsi="GHEA Grapalat"/>
          <w:sz w:val="22"/>
          <w:szCs w:val="22"/>
          <w:lang w:val="zu-ZA"/>
        </w:rPr>
        <w:t>ստացվել է նաև</w:t>
      </w:r>
      <w:r w:rsidRPr="00B57DAB">
        <w:rPr>
          <w:rFonts w:ascii="GHEA Grapalat" w:hAnsi="GHEA Grapalat"/>
          <w:sz w:val="22"/>
          <w:szCs w:val="22"/>
          <w:lang w:val="zu-ZA"/>
        </w:rPr>
        <w:t xml:space="preserve"> պատվաստանյութերի 127020 դեղաչափ` կանխատեսված 197200-ի փոխարեն</w:t>
      </w:r>
      <w:r w:rsidR="00F06E94" w:rsidRPr="00B57DAB">
        <w:rPr>
          <w:rFonts w:ascii="GHEA Grapalat" w:hAnsi="GHEA Grapalat"/>
          <w:sz w:val="22"/>
          <w:szCs w:val="22"/>
          <w:lang w:val="zu-ZA"/>
        </w:rPr>
        <w:t>, որը պայմանավորված է</w:t>
      </w:r>
      <w:r w:rsidRPr="00B57DAB">
        <w:rPr>
          <w:rFonts w:ascii="GHEA Grapalat" w:hAnsi="GHEA Grapalat" w:cs="Sylfaen"/>
          <w:sz w:val="22"/>
          <w:szCs w:val="22"/>
          <w:lang w:val="hy-AM"/>
        </w:rPr>
        <w:t xml:space="preserve"> </w:t>
      </w:r>
      <w:r w:rsidRPr="00B57DAB">
        <w:rPr>
          <w:rFonts w:ascii="GHEA Grapalat" w:hAnsi="GHEA Grapalat" w:cs="Sylfaen"/>
          <w:sz w:val="22"/>
          <w:szCs w:val="22"/>
          <w:lang w:val="zu-ZA"/>
        </w:rPr>
        <w:t>պատվաստանյութերի մատակարարման ժամկետներով:</w:t>
      </w:r>
    </w:p>
    <w:p w:rsidR="00AC1611" w:rsidRPr="00B57DAB" w:rsidRDefault="00AC1611" w:rsidP="00AC1611">
      <w:pPr>
        <w:autoSpaceDE w:val="0"/>
        <w:autoSpaceDN w:val="0"/>
        <w:adjustRightInd w:val="0"/>
        <w:spacing w:line="360" w:lineRule="auto"/>
        <w:ind w:firstLine="567"/>
        <w:jc w:val="both"/>
        <w:rPr>
          <w:rFonts w:ascii="GHEA Grapalat" w:hAnsi="GHEA Grapalat"/>
          <w:sz w:val="22"/>
          <w:szCs w:val="22"/>
          <w:lang w:val="zu-ZA"/>
        </w:rPr>
      </w:pPr>
      <w:r w:rsidRPr="00B57DAB">
        <w:rPr>
          <w:rFonts w:ascii="GHEA Grapalat" w:hAnsi="GHEA Grapalat" w:cs="Arial"/>
          <w:sz w:val="22"/>
          <w:szCs w:val="22"/>
          <w:lang w:val="hy-AM"/>
        </w:rPr>
        <w:t>Նախորդ</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տարվա</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նույն</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ժամանակահատվածի</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համեմատ</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Հանրային</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առողջության</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պահպանման</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ծրագրի</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ծախսեր</w:t>
      </w:r>
      <w:r w:rsidRPr="00B57DAB">
        <w:rPr>
          <w:rFonts w:ascii="GHEA Grapalat" w:hAnsi="GHEA Grapalat" w:cs="Arial"/>
          <w:sz w:val="22"/>
          <w:szCs w:val="22"/>
        </w:rPr>
        <w:t>ը</w:t>
      </w:r>
      <w:r w:rsidRPr="00B57DAB">
        <w:rPr>
          <w:rFonts w:ascii="GHEA Grapalat" w:hAnsi="GHEA Grapalat" w:cs="Arial"/>
          <w:sz w:val="22"/>
          <w:szCs w:val="22"/>
          <w:lang w:val="zu-ZA"/>
        </w:rPr>
        <w:t xml:space="preserve"> նվազել </w:t>
      </w:r>
      <w:r w:rsidRPr="00B57DAB">
        <w:rPr>
          <w:rFonts w:ascii="GHEA Grapalat" w:hAnsi="GHEA Grapalat" w:cs="Arial"/>
          <w:sz w:val="22"/>
          <w:szCs w:val="22"/>
          <w:lang w:val="hy-AM"/>
        </w:rPr>
        <w:t>են</w:t>
      </w:r>
      <w:r w:rsidRPr="00B57DAB">
        <w:rPr>
          <w:rFonts w:ascii="GHEA Grapalat" w:hAnsi="GHEA Grapalat" w:cs="Arial"/>
          <w:sz w:val="22"/>
          <w:szCs w:val="22"/>
          <w:lang w:val="zu-ZA"/>
        </w:rPr>
        <w:t xml:space="preserve"> 46.5%-ով</w:t>
      </w:r>
      <w:r w:rsidRPr="00B57DAB">
        <w:rPr>
          <w:rFonts w:ascii="GHEA Grapalat" w:hAnsi="GHEA Grapalat" w:cs="Arial"/>
          <w:sz w:val="22"/>
          <w:szCs w:val="22"/>
          <w:lang w:val="hy-AM"/>
        </w:rPr>
        <w:t xml:space="preserve"> կամ</w:t>
      </w:r>
      <w:r w:rsidRPr="00B57DAB">
        <w:rPr>
          <w:rFonts w:ascii="GHEA Grapalat" w:hAnsi="GHEA Grapalat" w:cs="Arial"/>
          <w:sz w:val="22"/>
          <w:szCs w:val="22"/>
          <w:lang w:val="zu-ZA"/>
        </w:rPr>
        <w:t xml:space="preserve"> 2.6</w:t>
      </w:r>
      <w:r w:rsidRPr="00B57DAB">
        <w:rPr>
          <w:rFonts w:ascii="GHEA Grapalat" w:hAnsi="GHEA Grapalat" w:cs="Arial"/>
          <w:sz w:val="22"/>
          <w:szCs w:val="22"/>
          <w:lang w:val="hy-AM"/>
        </w:rPr>
        <w:t xml:space="preserve"> մլրդ</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դրամով՝</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հիմնականում</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պայմանավորված</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կորոնավիրուս</w:t>
      </w:r>
      <w:r w:rsidRPr="00B57DAB">
        <w:rPr>
          <w:rFonts w:ascii="GHEA Grapalat" w:hAnsi="GHEA Grapalat" w:cs="Arial"/>
          <w:sz w:val="22"/>
          <w:szCs w:val="22"/>
        </w:rPr>
        <w:t>ի</w:t>
      </w:r>
      <w:r w:rsidRPr="00B57DAB">
        <w:rPr>
          <w:rFonts w:ascii="GHEA Grapalat" w:hAnsi="GHEA Grapalat" w:cs="Arial"/>
          <w:sz w:val="22"/>
          <w:szCs w:val="22"/>
          <w:lang w:val="zu-ZA"/>
        </w:rPr>
        <w:t xml:space="preserve"> համա</w:t>
      </w:r>
      <w:r w:rsidRPr="00B57DAB">
        <w:rPr>
          <w:rFonts w:ascii="GHEA Grapalat" w:hAnsi="GHEA Grapalat" w:cs="Arial"/>
          <w:sz w:val="22"/>
          <w:szCs w:val="22"/>
          <w:lang w:val="hy-AM"/>
        </w:rPr>
        <w:t>վարակի</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հետ</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կապված</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ծախսերի</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և</w:t>
      </w:r>
      <w:r w:rsidRPr="00B57DAB">
        <w:rPr>
          <w:rFonts w:ascii="GHEA Grapalat" w:hAnsi="GHEA Grapalat" w:cs="Times Armenian"/>
          <w:sz w:val="22"/>
          <w:szCs w:val="22"/>
          <w:lang w:val="zu-ZA"/>
        </w:rPr>
        <w:t xml:space="preserve"> </w:t>
      </w:r>
      <w:r w:rsidRPr="00B57DAB">
        <w:rPr>
          <w:rFonts w:ascii="GHEA Grapalat" w:hAnsi="GHEA Grapalat" w:cs="Arial"/>
          <w:sz w:val="22"/>
          <w:szCs w:val="22"/>
          <w:lang w:val="zu-ZA"/>
        </w:rPr>
        <w:t>ի</w:t>
      </w:r>
      <w:r w:rsidRPr="00B57DAB">
        <w:rPr>
          <w:rFonts w:ascii="GHEA Grapalat" w:hAnsi="GHEA Grapalat" w:cs="Arial"/>
          <w:sz w:val="22"/>
          <w:szCs w:val="22"/>
          <w:lang w:val="hy-AM"/>
        </w:rPr>
        <w:t>մունականխարգելման</w:t>
      </w:r>
      <w:r w:rsidRPr="00B57DAB">
        <w:rPr>
          <w:rFonts w:ascii="GHEA Grapalat" w:hAnsi="GHEA Grapalat"/>
          <w:sz w:val="22"/>
          <w:szCs w:val="22"/>
          <w:lang w:val="zu-ZA"/>
        </w:rPr>
        <w:t xml:space="preserve"> </w:t>
      </w:r>
      <w:r w:rsidRPr="00B57DAB">
        <w:rPr>
          <w:rFonts w:ascii="GHEA Grapalat" w:hAnsi="GHEA Grapalat" w:cs="Arial"/>
          <w:sz w:val="22"/>
          <w:szCs w:val="22"/>
          <w:lang w:val="hy-AM"/>
        </w:rPr>
        <w:t>ազգային</w:t>
      </w:r>
      <w:r w:rsidRPr="00B57DAB">
        <w:rPr>
          <w:rFonts w:ascii="GHEA Grapalat" w:hAnsi="GHEA Grapalat"/>
          <w:sz w:val="22"/>
          <w:szCs w:val="22"/>
          <w:lang w:val="zu-ZA"/>
        </w:rPr>
        <w:t xml:space="preserve"> </w:t>
      </w:r>
      <w:r w:rsidRPr="00B57DAB">
        <w:rPr>
          <w:rFonts w:ascii="GHEA Grapalat" w:hAnsi="GHEA Grapalat" w:cs="Arial"/>
          <w:sz w:val="22"/>
          <w:szCs w:val="22"/>
          <w:lang w:val="hy-AM"/>
        </w:rPr>
        <w:t>ծրագրի</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շրջանակներում</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կատարված</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ծախսերի</w:t>
      </w:r>
      <w:r w:rsidRPr="00B57DAB">
        <w:rPr>
          <w:rFonts w:ascii="GHEA Grapalat" w:hAnsi="GHEA Grapalat" w:cs="Arial"/>
          <w:sz w:val="22"/>
          <w:szCs w:val="22"/>
          <w:lang w:val="zu-ZA"/>
        </w:rPr>
        <w:t xml:space="preserve"> </w:t>
      </w:r>
      <w:r w:rsidRPr="00B57DAB">
        <w:rPr>
          <w:rFonts w:ascii="GHEA Grapalat" w:hAnsi="GHEA Grapalat" w:cs="Arial"/>
          <w:sz w:val="22"/>
          <w:szCs w:val="22"/>
        </w:rPr>
        <w:t>համապատասխանաբար</w:t>
      </w:r>
      <w:r w:rsidRPr="00B57DAB">
        <w:rPr>
          <w:rFonts w:ascii="GHEA Grapalat" w:hAnsi="GHEA Grapalat" w:cs="Arial"/>
          <w:sz w:val="22"/>
          <w:szCs w:val="22"/>
          <w:lang w:val="zu-ZA"/>
        </w:rPr>
        <w:t xml:space="preserve"> </w:t>
      </w:r>
      <w:r w:rsidR="00F06E94" w:rsidRPr="00B57DAB">
        <w:rPr>
          <w:rFonts w:ascii="GHEA Grapalat" w:hAnsi="GHEA Grapalat" w:cs="Arial"/>
          <w:sz w:val="22"/>
          <w:szCs w:val="22"/>
          <w:lang w:val="zu-ZA"/>
        </w:rPr>
        <w:t>48</w:t>
      </w:r>
      <w:r w:rsidRPr="00B57DAB">
        <w:rPr>
          <w:rFonts w:ascii="GHEA Grapalat" w:hAnsi="GHEA Grapalat" w:cs="Arial"/>
          <w:sz w:val="22"/>
          <w:szCs w:val="22"/>
          <w:lang w:val="zu-ZA"/>
        </w:rPr>
        <w:t>.3</w:t>
      </w:r>
      <w:r w:rsidR="00F06E94" w:rsidRPr="00B57DAB">
        <w:rPr>
          <w:rFonts w:ascii="GHEA Grapalat" w:hAnsi="GHEA Grapalat" w:cs="Arial"/>
          <w:sz w:val="22"/>
          <w:szCs w:val="22"/>
          <w:lang w:val="zu-ZA"/>
        </w:rPr>
        <w:t>% (2</w:t>
      </w:r>
      <w:r w:rsidRPr="00B57DAB">
        <w:rPr>
          <w:rFonts w:ascii="GHEA Grapalat" w:hAnsi="GHEA Grapalat" w:cs="Arial"/>
          <w:sz w:val="22"/>
          <w:szCs w:val="22"/>
          <w:lang w:val="zu-ZA"/>
        </w:rPr>
        <w:t xml:space="preserve"> </w:t>
      </w:r>
      <w:r w:rsidRPr="00B57DAB">
        <w:rPr>
          <w:rFonts w:ascii="GHEA Grapalat" w:hAnsi="GHEA Grapalat" w:cs="Arial"/>
          <w:sz w:val="22"/>
          <w:szCs w:val="22"/>
        </w:rPr>
        <w:t>մլրդ</w:t>
      </w:r>
      <w:r w:rsidRPr="00B57DAB">
        <w:rPr>
          <w:rFonts w:ascii="GHEA Grapalat" w:hAnsi="GHEA Grapalat" w:cs="Arial"/>
          <w:sz w:val="22"/>
          <w:szCs w:val="22"/>
          <w:lang w:val="zu-ZA"/>
        </w:rPr>
        <w:t xml:space="preserve"> </w:t>
      </w:r>
      <w:r w:rsidRPr="00B57DAB">
        <w:rPr>
          <w:rFonts w:ascii="GHEA Grapalat" w:hAnsi="GHEA Grapalat" w:cs="Arial"/>
          <w:sz w:val="22"/>
          <w:szCs w:val="22"/>
        </w:rPr>
        <w:t>դրամ</w:t>
      </w:r>
      <w:r w:rsidRPr="00B57DAB">
        <w:rPr>
          <w:rFonts w:ascii="GHEA Grapalat" w:hAnsi="GHEA Grapalat" w:cs="Arial"/>
          <w:sz w:val="22"/>
          <w:szCs w:val="22"/>
          <w:lang w:val="zu-ZA"/>
        </w:rPr>
        <w:t xml:space="preserve">) </w:t>
      </w:r>
      <w:r w:rsidRPr="00B57DAB">
        <w:rPr>
          <w:rFonts w:ascii="GHEA Grapalat" w:hAnsi="GHEA Grapalat" w:cs="Arial"/>
          <w:sz w:val="22"/>
          <w:szCs w:val="22"/>
        </w:rPr>
        <w:t>և</w:t>
      </w:r>
      <w:r w:rsidRPr="00B57DAB">
        <w:rPr>
          <w:rFonts w:ascii="GHEA Grapalat" w:hAnsi="GHEA Grapalat" w:cs="Arial"/>
          <w:sz w:val="22"/>
          <w:szCs w:val="22"/>
          <w:lang w:val="zu-ZA"/>
        </w:rPr>
        <w:t xml:space="preserve"> 58.6% (581.6 </w:t>
      </w:r>
      <w:r w:rsidRPr="00B57DAB">
        <w:rPr>
          <w:rFonts w:ascii="GHEA Grapalat" w:hAnsi="GHEA Grapalat" w:cs="Arial"/>
          <w:sz w:val="22"/>
          <w:szCs w:val="22"/>
        </w:rPr>
        <w:t>մլն</w:t>
      </w:r>
      <w:r w:rsidRPr="00B57DAB">
        <w:rPr>
          <w:rFonts w:ascii="GHEA Grapalat" w:hAnsi="GHEA Grapalat" w:cs="Arial"/>
          <w:sz w:val="22"/>
          <w:szCs w:val="22"/>
          <w:lang w:val="zu-ZA"/>
        </w:rPr>
        <w:t xml:space="preserve"> </w:t>
      </w:r>
      <w:r w:rsidRPr="00B57DAB">
        <w:rPr>
          <w:rFonts w:ascii="GHEA Grapalat" w:hAnsi="GHEA Grapalat" w:cs="Arial"/>
          <w:sz w:val="22"/>
          <w:szCs w:val="22"/>
        </w:rPr>
        <w:t>դրամ</w:t>
      </w:r>
      <w:r w:rsidRPr="00B57DAB">
        <w:rPr>
          <w:rFonts w:ascii="GHEA Grapalat" w:hAnsi="GHEA Grapalat" w:cs="Arial"/>
          <w:sz w:val="22"/>
          <w:szCs w:val="22"/>
          <w:lang w:val="zu-ZA"/>
        </w:rPr>
        <w:t>) նվազմամբ:</w:t>
      </w:r>
    </w:p>
    <w:p w:rsidR="00AC1611" w:rsidRPr="00B57DAB" w:rsidRDefault="00AC1611" w:rsidP="00AC1611">
      <w:pPr>
        <w:autoSpaceDE w:val="0"/>
        <w:autoSpaceDN w:val="0"/>
        <w:adjustRightInd w:val="0"/>
        <w:spacing w:line="360" w:lineRule="auto"/>
        <w:ind w:firstLine="567"/>
        <w:jc w:val="both"/>
        <w:rPr>
          <w:rFonts w:ascii="GHEA Grapalat" w:hAnsi="GHEA Grapalat" w:cs="Sylfaen"/>
          <w:color w:val="FF0000"/>
          <w:sz w:val="22"/>
          <w:szCs w:val="22"/>
          <w:lang w:val="zu-ZA"/>
        </w:rPr>
      </w:pPr>
      <w:r w:rsidRPr="00B57DAB">
        <w:rPr>
          <w:rFonts w:ascii="GHEA Grapalat" w:hAnsi="GHEA Grapalat" w:cs="Arial"/>
          <w:sz w:val="22"/>
          <w:szCs w:val="22"/>
          <w:lang w:val="hy-AM"/>
        </w:rPr>
        <w:t>Հաշվետու</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ժամանակահատվածում</w:t>
      </w:r>
      <w:r w:rsidRPr="00B57DAB">
        <w:rPr>
          <w:rFonts w:ascii="GHEA Grapalat" w:hAnsi="GHEA Grapalat" w:cs="Sylfaen"/>
          <w:sz w:val="22"/>
          <w:szCs w:val="22"/>
          <w:lang w:val="zu-ZA"/>
        </w:rPr>
        <w:t xml:space="preserve"> </w:t>
      </w:r>
      <w:r w:rsidRPr="00B57DAB">
        <w:rPr>
          <w:rFonts w:ascii="GHEA Grapalat" w:hAnsi="GHEA Grapalat" w:cs="Arial"/>
          <w:i/>
          <w:sz w:val="22"/>
          <w:szCs w:val="22"/>
          <w:lang w:val="hy-AM"/>
        </w:rPr>
        <w:t>Առողջության</w:t>
      </w:r>
      <w:r w:rsidRPr="00B57DAB">
        <w:rPr>
          <w:rFonts w:ascii="GHEA Grapalat" w:hAnsi="GHEA Grapalat" w:cs="Sylfaen"/>
          <w:i/>
          <w:sz w:val="22"/>
          <w:szCs w:val="22"/>
          <w:lang w:val="zu-ZA"/>
        </w:rPr>
        <w:t xml:space="preserve"> </w:t>
      </w:r>
      <w:r w:rsidRPr="00B57DAB">
        <w:rPr>
          <w:rFonts w:ascii="GHEA Grapalat" w:hAnsi="GHEA Grapalat" w:cs="Arial"/>
          <w:i/>
          <w:sz w:val="22"/>
          <w:szCs w:val="22"/>
          <w:lang w:val="hy-AM"/>
        </w:rPr>
        <w:t>առաջնային</w:t>
      </w:r>
      <w:r w:rsidRPr="00B57DAB">
        <w:rPr>
          <w:rFonts w:ascii="GHEA Grapalat" w:hAnsi="GHEA Grapalat" w:cs="Sylfaen"/>
          <w:i/>
          <w:sz w:val="22"/>
          <w:szCs w:val="22"/>
          <w:lang w:val="zu-ZA"/>
        </w:rPr>
        <w:t xml:space="preserve"> </w:t>
      </w:r>
      <w:r w:rsidRPr="00B57DAB">
        <w:rPr>
          <w:rFonts w:ascii="GHEA Grapalat" w:hAnsi="GHEA Grapalat" w:cs="Arial"/>
          <w:i/>
          <w:sz w:val="22"/>
          <w:szCs w:val="22"/>
          <w:lang w:val="hy-AM"/>
        </w:rPr>
        <w:t>պահպանման</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ծրագրի</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շրջանակներում</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օգտագործվել</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է</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ավելի քան</w:t>
      </w:r>
      <w:r w:rsidRPr="00B57DAB">
        <w:rPr>
          <w:rFonts w:ascii="GHEA Grapalat" w:hAnsi="GHEA Grapalat" w:cs="Arial"/>
          <w:sz w:val="22"/>
          <w:szCs w:val="22"/>
          <w:lang w:val="zu-ZA"/>
        </w:rPr>
        <w:t xml:space="preserve"> 5.2</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մլրդ</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դրամ</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կազմելով</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ծրագրված</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ցուցանիշի</w:t>
      </w:r>
      <w:r w:rsidRPr="00B57DAB">
        <w:rPr>
          <w:rFonts w:ascii="GHEA Grapalat" w:hAnsi="GHEA Grapalat" w:cs="Sylfaen"/>
          <w:sz w:val="22"/>
          <w:szCs w:val="22"/>
          <w:lang w:val="zu-ZA"/>
        </w:rPr>
        <w:t xml:space="preserve"> 99.2</w:t>
      </w:r>
      <w:r w:rsidR="00DB40D3" w:rsidRPr="00B57DAB">
        <w:rPr>
          <w:rFonts w:ascii="GHEA Grapalat" w:hAnsi="GHEA Grapalat" w:cs="Sylfaen"/>
          <w:sz w:val="22"/>
          <w:szCs w:val="22"/>
          <w:lang w:val="zu-ZA"/>
        </w:rPr>
        <w:t>%</w:t>
      </w:r>
      <w:r w:rsidR="00DB40D3" w:rsidRPr="00B57DAB">
        <w:rPr>
          <w:rFonts w:ascii="GHEA Grapalat" w:hAnsi="GHEA Grapalat" w:cs="Sylfaen"/>
          <w:sz w:val="22"/>
          <w:szCs w:val="22"/>
          <w:lang w:val="zu-ZA"/>
        </w:rPr>
        <w:noBreakHyphen/>
      </w:r>
      <w:r w:rsidRPr="00B57DAB">
        <w:rPr>
          <w:rFonts w:ascii="GHEA Grapalat" w:hAnsi="GHEA Grapalat" w:cs="Arial"/>
          <w:sz w:val="22"/>
          <w:szCs w:val="22"/>
          <w:lang w:val="hy-AM"/>
        </w:rPr>
        <w:t>ը</w:t>
      </w:r>
      <w:r w:rsidRPr="00B57DAB">
        <w:rPr>
          <w:rFonts w:ascii="GHEA Grapalat" w:hAnsi="GHEA Grapalat" w:cs="Sylfaen"/>
          <w:sz w:val="22"/>
          <w:szCs w:val="22"/>
          <w:lang w:val="zu-ZA"/>
        </w:rPr>
        <w:t xml:space="preserve">: </w:t>
      </w:r>
      <w:r w:rsidR="007050B0" w:rsidRPr="00B57DAB">
        <w:rPr>
          <w:rFonts w:ascii="GHEA Grapalat" w:hAnsi="GHEA Grapalat" w:cs="Arial"/>
          <w:sz w:val="22"/>
          <w:szCs w:val="22"/>
          <w:lang w:val="zu-ZA"/>
        </w:rPr>
        <w:t>Միջոցները հիմնականում ուղղվել են</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ամբուլատոր</w:t>
      </w:r>
      <w:r w:rsidRPr="00B57DAB">
        <w:rPr>
          <w:rFonts w:ascii="GHEA Grapalat" w:hAnsi="GHEA Grapalat" w:cs="Sylfaen"/>
          <w:sz w:val="22"/>
          <w:szCs w:val="22"/>
          <w:lang w:val="zu-ZA"/>
        </w:rPr>
        <w:t>-</w:t>
      </w:r>
      <w:r w:rsidRPr="00B57DAB">
        <w:rPr>
          <w:rFonts w:ascii="GHEA Grapalat" w:hAnsi="GHEA Grapalat" w:cs="Arial"/>
          <w:sz w:val="22"/>
          <w:szCs w:val="22"/>
          <w:lang w:val="hy-AM"/>
        </w:rPr>
        <w:t>պոլիկլինիկական</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բժշկական</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օգնության</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ծառայությունների</w:t>
      </w:r>
      <w:r w:rsidRPr="00B57DAB">
        <w:rPr>
          <w:rFonts w:ascii="GHEA Grapalat" w:hAnsi="GHEA Grapalat" w:cs="Sylfaen"/>
          <w:sz w:val="22"/>
          <w:szCs w:val="22"/>
          <w:lang w:val="zu-ZA"/>
        </w:rPr>
        <w:t xml:space="preserve"> </w:t>
      </w:r>
      <w:r w:rsidR="007050B0" w:rsidRPr="00B57DAB">
        <w:rPr>
          <w:rFonts w:ascii="GHEA Grapalat" w:hAnsi="GHEA Grapalat" w:cs="Sylfaen"/>
          <w:sz w:val="22"/>
          <w:szCs w:val="22"/>
          <w:lang w:val="zu-ZA"/>
        </w:rPr>
        <w:t>ձեռքբերմանը</w:t>
      </w:r>
      <w:r w:rsidRPr="00B57DAB">
        <w:rPr>
          <w:rFonts w:ascii="GHEA Grapalat" w:hAnsi="GHEA Grapalat" w:cs="Arial"/>
          <w:sz w:val="22"/>
          <w:szCs w:val="22"/>
          <w:lang w:val="zu-ZA"/>
        </w:rPr>
        <w:t>:</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Միջոցառման շրջանակներում բնակչության առողջության առաջնային պահպանման կազմակերպություններում գրանցվ</w:t>
      </w:r>
      <w:r w:rsidR="007050B0" w:rsidRPr="00B57DAB">
        <w:rPr>
          <w:rFonts w:ascii="GHEA Grapalat" w:hAnsi="GHEA Grapalat" w:cs="Arial"/>
          <w:sz w:val="22"/>
          <w:szCs w:val="22"/>
        </w:rPr>
        <w:t>ած անձանց թիվը կազմել է</w:t>
      </w:r>
      <w:r w:rsidRPr="00B57DAB">
        <w:rPr>
          <w:rFonts w:ascii="GHEA Grapalat" w:hAnsi="GHEA Grapalat" w:cs="Arial"/>
          <w:sz w:val="22"/>
          <w:szCs w:val="22"/>
          <w:lang w:val="hy-AM"/>
        </w:rPr>
        <w:t xml:space="preserve"> 3077.3</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 xml:space="preserve">հազար մարդ` կանխատեսված 2940 հազարի դիմաց, այդ թվում՝ 18 և ավելի բարձր տարիքի 2365.2 հազար անձ՝ կանխատեսված 2244 հազարի դիմաց, մինչև 18 տարեկան 712 հազար երեխա՝ կանխատեսված 696 հազարի դիմաց: Միջոցառման շրջանակներում նաև դպրոցում բժշկական օգնություն և սպասարկում է ստացել 389.7 հազար աշակերտ՝ կանխատեսված 374 հազարի դիմաց, անվճար և արտոնյալ պայմաններով դեղեր ստանալու իրավունք ունեցող անձանց թիվը </w:t>
      </w:r>
      <w:r w:rsidRPr="00B57DAB">
        <w:rPr>
          <w:rFonts w:ascii="GHEA Grapalat" w:hAnsi="GHEA Grapalat" w:cs="Arial"/>
          <w:sz w:val="22"/>
          <w:szCs w:val="22"/>
          <w:lang w:val="hy-AM"/>
        </w:rPr>
        <w:lastRenderedPageBreak/>
        <w:t>համապատասխանել է կանխատեսված ցուցանիշին՝ կազմելով</w:t>
      </w:r>
      <w:r w:rsidR="007050B0" w:rsidRPr="00B57DAB">
        <w:rPr>
          <w:rFonts w:ascii="GHEA Grapalat" w:hAnsi="GHEA Grapalat" w:cs="Arial"/>
          <w:sz w:val="22"/>
          <w:szCs w:val="22"/>
          <w:lang w:val="hy-AM"/>
        </w:rPr>
        <w:t xml:space="preserve"> 1036871</w:t>
      </w:r>
      <w:r w:rsidR="007050B0" w:rsidRPr="00B57DAB">
        <w:rPr>
          <w:rFonts w:ascii="GHEA Grapalat" w:hAnsi="GHEA Grapalat" w:cs="Arial"/>
          <w:sz w:val="22"/>
          <w:szCs w:val="22"/>
        </w:rPr>
        <w:t>:</w:t>
      </w:r>
      <w:r w:rsidRPr="00B57DAB">
        <w:rPr>
          <w:rFonts w:ascii="GHEA Grapalat" w:hAnsi="GHEA Grapalat" w:cs="Arial"/>
          <w:sz w:val="22"/>
          <w:szCs w:val="22"/>
          <w:lang w:val="hy-AM"/>
        </w:rPr>
        <w:t xml:space="preserve"> Փաստացի արդյունքային ցուցանիշների գերազանցումը կանխատեսվածների նկատմամբ պայմանավորված է Էլեկտրոնային առողջապահության միասնական համակարգում փաստացի հավա</w:t>
      </w:r>
      <w:r w:rsidR="007050B0" w:rsidRPr="00B57DAB">
        <w:rPr>
          <w:rFonts w:ascii="GHEA Grapalat" w:hAnsi="GHEA Grapalat" w:cs="Arial"/>
          <w:sz w:val="22"/>
          <w:szCs w:val="22"/>
          <w:lang w:val="hy-AM"/>
        </w:rPr>
        <w:t>քագրված բնակչության թվաքանակով</w:t>
      </w:r>
      <w:r w:rsidR="007050B0" w:rsidRPr="00B57DAB">
        <w:rPr>
          <w:rFonts w:ascii="GHEA Grapalat" w:hAnsi="GHEA Grapalat" w:cs="Arial"/>
          <w:sz w:val="22"/>
          <w:szCs w:val="22"/>
        </w:rPr>
        <w:t>: Ա</w:t>
      </w:r>
      <w:r w:rsidR="007050B0" w:rsidRPr="00B57DAB">
        <w:rPr>
          <w:rFonts w:ascii="GHEA Grapalat" w:hAnsi="GHEA Grapalat" w:cs="Arial"/>
          <w:sz w:val="22"/>
          <w:szCs w:val="22"/>
          <w:lang w:val="hy-AM"/>
        </w:rPr>
        <w:t>մբուլատոր</w:t>
      </w:r>
      <w:r w:rsidR="007050B0" w:rsidRPr="00B57DAB">
        <w:rPr>
          <w:rFonts w:ascii="GHEA Grapalat" w:hAnsi="GHEA Grapalat" w:cs="Sylfaen"/>
          <w:sz w:val="22"/>
          <w:szCs w:val="22"/>
          <w:lang w:val="zu-ZA"/>
        </w:rPr>
        <w:t>-</w:t>
      </w:r>
      <w:r w:rsidR="007050B0" w:rsidRPr="00B57DAB">
        <w:rPr>
          <w:rFonts w:ascii="GHEA Grapalat" w:hAnsi="GHEA Grapalat" w:cs="Arial"/>
          <w:sz w:val="22"/>
          <w:szCs w:val="22"/>
          <w:lang w:val="hy-AM"/>
        </w:rPr>
        <w:t>պոլիկլինիկական</w:t>
      </w:r>
      <w:r w:rsidR="007050B0" w:rsidRPr="00B57DAB">
        <w:rPr>
          <w:rFonts w:ascii="GHEA Grapalat" w:hAnsi="GHEA Grapalat" w:cs="Sylfaen"/>
          <w:sz w:val="22"/>
          <w:szCs w:val="22"/>
          <w:lang w:val="zu-ZA"/>
        </w:rPr>
        <w:t xml:space="preserve"> </w:t>
      </w:r>
      <w:r w:rsidR="007050B0" w:rsidRPr="00B57DAB">
        <w:rPr>
          <w:rFonts w:ascii="GHEA Grapalat" w:hAnsi="GHEA Grapalat" w:cs="Arial"/>
          <w:sz w:val="22"/>
          <w:szCs w:val="22"/>
          <w:lang w:val="hy-AM"/>
        </w:rPr>
        <w:t>բժշկական</w:t>
      </w:r>
      <w:r w:rsidR="007050B0" w:rsidRPr="00B57DAB">
        <w:rPr>
          <w:rFonts w:ascii="GHEA Grapalat" w:hAnsi="GHEA Grapalat" w:cs="Arial"/>
          <w:sz w:val="22"/>
          <w:szCs w:val="22"/>
        </w:rPr>
        <w:t xml:space="preserve"> հաստատություններում </w:t>
      </w:r>
      <w:r w:rsidR="007050B0" w:rsidRPr="00B57DAB">
        <w:rPr>
          <w:rFonts w:ascii="GHEA Grapalat" w:hAnsi="GHEA Grapalat" w:cs="Arial"/>
          <w:sz w:val="22"/>
          <w:szCs w:val="22"/>
          <w:lang w:val="hy-AM"/>
        </w:rPr>
        <w:t xml:space="preserve">իրականացվել են </w:t>
      </w:r>
      <w:r w:rsidR="007050B0" w:rsidRPr="00B57DAB">
        <w:rPr>
          <w:rFonts w:ascii="GHEA Grapalat" w:hAnsi="GHEA Grapalat" w:cs="Arial"/>
          <w:sz w:val="22"/>
          <w:szCs w:val="22"/>
        </w:rPr>
        <w:t xml:space="preserve">նաև </w:t>
      </w:r>
      <w:r w:rsidR="007050B0" w:rsidRPr="00B57DAB">
        <w:rPr>
          <w:rFonts w:ascii="GHEA Grapalat" w:hAnsi="GHEA Grapalat" w:cs="Arial"/>
          <w:sz w:val="22"/>
          <w:szCs w:val="22"/>
          <w:lang w:val="hy-AM"/>
        </w:rPr>
        <w:t>հղիների նախածննդյան և հետծննդյան հսկողության ընթացքում լաբորատոր-գործիքային ախտորոշիչ 206812 հետազոտություններ՝ կանխատեսված 281500-ի դիմաց:</w:t>
      </w:r>
      <w:r w:rsidRPr="00B57DAB">
        <w:rPr>
          <w:rFonts w:ascii="GHEA Grapalat" w:hAnsi="GHEA Grapalat" w:cs="Arial"/>
          <w:sz w:val="22"/>
          <w:szCs w:val="22"/>
          <w:lang w:val="hy-AM"/>
        </w:rPr>
        <w:t xml:space="preserve"> </w:t>
      </w:r>
      <w:r w:rsidR="007050B0" w:rsidRPr="00B57DAB">
        <w:rPr>
          <w:rFonts w:ascii="GHEA Grapalat" w:hAnsi="GHEA Grapalat" w:cs="Arial"/>
          <w:sz w:val="22"/>
          <w:szCs w:val="22"/>
        </w:rPr>
        <w:t>Կ</w:t>
      </w:r>
      <w:r w:rsidRPr="00B57DAB">
        <w:rPr>
          <w:rFonts w:ascii="GHEA Grapalat" w:hAnsi="GHEA Grapalat" w:cs="Arial"/>
          <w:sz w:val="22"/>
          <w:szCs w:val="22"/>
          <w:lang w:val="hy-AM"/>
        </w:rPr>
        <w:t>անխատեսվածից ցածր ցուցանիշ</w:t>
      </w:r>
      <w:r w:rsidR="007050B0" w:rsidRPr="00B57DAB">
        <w:rPr>
          <w:rFonts w:ascii="GHEA Grapalat" w:hAnsi="GHEA Grapalat" w:cs="Arial"/>
          <w:sz w:val="22"/>
          <w:szCs w:val="22"/>
          <w:lang w:val="hy-AM"/>
        </w:rPr>
        <w:t xml:space="preserve">ը պայմանավորված </w:t>
      </w:r>
      <w:r w:rsidR="007050B0" w:rsidRPr="00B57DAB">
        <w:rPr>
          <w:rFonts w:ascii="GHEA Grapalat" w:hAnsi="GHEA Grapalat" w:cs="Arial"/>
          <w:sz w:val="22"/>
          <w:szCs w:val="22"/>
        </w:rPr>
        <w:t>է</w:t>
      </w:r>
      <w:r w:rsidRPr="00B57DAB">
        <w:rPr>
          <w:rFonts w:ascii="GHEA Grapalat" w:hAnsi="GHEA Grapalat" w:cs="Arial"/>
          <w:sz w:val="22"/>
          <w:szCs w:val="22"/>
          <w:lang w:val="hy-AM"/>
        </w:rPr>
        <w:t xml:space="preserve"> կորոնավիրուսի համավարակով, որի </w:t>
      </w:r>
      <w:r w:rsidR="007050B0" w:rsidRPr="00B57DAB">
        <w:rPr>
          <w:rFonts w:ascii="GHEA Grapalat" w:hAnsi="GHEA Grapalat" w:cs="Arial"/>
          <w:sz w:val="22"/>
          <w:szCs w:val="22"/>
        </w:rPr>
        <w:t>պայմաններում</w:t>
      </w:r>
      <w:r w:rsidRPr="00B57DAB">
        <w:rPr>
          <w:rFonts w:ascii="GHEA Grapalat" w:hAnsi="GHEA Grapalat" w:cs="Arial"/>
          <w:sz w:val="22"/>
          <w:szCs w:val="22"/>
          <w:lang w:val="hy-AM"/>
        </w:rPr>
        <w:t xml:space="preserve"> նվազել է </w:t>
      </w:r>
      <w:r w:rsidRPr="00B57DAB">
        <w:rPr>
          <w:rFonts w:ascii="GHEA Grapalat" w:hAnsi="GHEA Grapalat" w:cs="Arial"/>
          <w:sz w:val="22"/>
          <w:szCs w:val="22"/>
        </w:rPr>
        <w:t>հղիների</w:t>
      </w:r>
      <w:r w:rsidR="007050B0" w:rsidRPr="00B57DAB">
        <w:rPr>
          <w:rFonts w:ascii="GHEA Grapalat" w:hAnsi="GHEA Grapalat" w:cs="Arial"/>
          <w:sz w:val="22"/>
          <w:szCs w:val="22"/>
        </w:rPr>
        <w:t>՝</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ամբուլատոր օղակ դիմելիությունը։</w:t>
      </w:r>
      <w:r w:rsidRPr="00B57DAB">
        <w:rPr>
          <w:rFonts w:ascii="GHEA Grapalat" w:hAnsi="GHEA Grapalat" w:cs="Arial"/>
          <w:sz w:val="22"/>
          <w:szCs w:val="22"/>
          <w:lang w:val="zu-ZA"/>
        </w:rPr>
        <w:t xml:space="preserve"> </w:t>
      </w:r>
    </w:p>
    <w:p w:rsidR="00AC1611" w:rsidRPr="00B57DAB" w:rsidRDefault="00AC1611" w:rsidP="00AC1611">
      <w:pPr>
        <w:autoSpaceDE w:val="0"/>
        <w:autoSpaceDN w:val="0"/>
        <w:adjustRightInd w:val="0"/>
        <w:spacing w:line="360" w:lineRule="auto"/>
        <w:ind w:firstLine="567"/>
        <w:jc w:val="both"/>
        <w:rPr>
          <w:rFonts w:ascii="GHEA Grapalat" w:hAnsi="GHEA Grapalat" w:cs="Sylfaen"/>
          <w:sz w:val="22"/>
          <w:szCs w:val="22"/>
          <w:lang w:val="hy-AM"/>
        </w:rPr>
      </w:pPr>
      <w:r w:rsidRPr="00B57DAB">
        <w:rPr>
          <w:rFonts w:ascii="GHEA Grapalat" w:hAnsi="GHEA Grapalat" w:cs="Arial"/>
          <w:sz w:val="22"/>
          <w:szCs w:val="22"/>
          <w:lang w:val="hy-AM"/>
        </w:rPr>
        <w:t>Նախորդ տարվա նույն ժամանակահատվածի համեմատ Առողջության առաջնային պահպանման ծրագրի ծախսերն էական փոփոխություն չեն կրել</w:t>
      </w:r>
      <w:r w:rsidRPr="00B57DAB">
        <w:rPr>
          <w:rFonts w:ascii="GHEA Grapalat" w:hAnsi="GHEA Grapalat" w:cs="Sylfaen"/>
          <w:sz w:val="22"/>
          <w:szCs w:val="22"/>
          <w:lang w:val="hy-AM"/>
        </w:rPr>
        <w:t>:</w:t>
      </w:r>
    </w:p>
    <w:p w:rsidR="00AC1611" w:rsidRPr="00B57DAB" w:rsidRDefault="00AC1611" w:rsidP="00AC1611">
      <w:pPr>
        <w:autoSpaceDE w:val="0"/>
        <w:autoSpaceDN w:val="0"/>
        <w:adjustRightInd w:val="0"/>
        <w:spacing w:line="360" w:lineRule="auto"/>
        <w:ind w:firstLine="567"/>
        <w:jc w:val="both"/>
        <w:rPr>
          <w:rFonts w:ascii="GHEA Grapalat" w:hAnsi="GHEA Grapalat" w:cs="Sylfaen"/>
          <w:sz w:val="22"/>
          <w:szCs w:val="22"/>
          <w:lang w:val="zu-ZA"/>
        </w:rPr>
      </w:pPr>
      <w:r w:rsidRPr="00B57DAB">
        <w:rPr>
          <w:rFonts w:ascii="GHEA Grapalat" w:hAnsi="GHEA Grapalat"/>
          <w:sz w:val="22"/>
          <w:szCs w:val="22"/>
          <w:lang w:val="hy-AM"/>
        </w:rPr>
        <w:t xml:space="preserve">2022 </w:t>
      </w:r>
      <w:r w:rsidRPr="00B57DAB">
        <w:rPr>
          <w:rFonts w:ascii="GHEA Grapalat" w:hAnsi="GHEA Grapalat" w:cs="Arial"/>
          <w:sz w:val="22"/>
          <w:szCs w:val="22"/>
          <w:lang w:val="hy-AM"/>
        </w:rPr>
        <w:t>թվականի</w:t>
      </w:r>
      <w:r w:rsidRPr="00B57DAB">
        <w:rPr>
          <w:rFonts w:ascii="GHEA Grapalat" w:hAnsi="GHEA Grapalat"/>
          <w:sz w:val="22"/>
          <w:szCs w:val="22"/>
          <w:lang w:val="hy-AM"/>
        </w:rPr>
        <w:t xml:space="preserve"> առաջին եռամսյակի</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ընթացքում</w:t>
      </w:r>
      <w:r w:rsidRPr="00B57DAB">
        <w:rPr>
          <w:rFonts w:ascii="GHEA Grapalat" w:hAnsi="GHEA Grapalat"/>
          <w:sz w:val="22"/>
          <w:szCs w:val="22"/>
          <w:lang w:val="zu-ZA"/>
        </w:rPr>
        <w:t xml:space="preserve"> </w:t>
      </w:r>
      <w:r w:rsidRPr="00B57DAB">
        <w:rPr>
          <w:rFonts w:ascii="GHEA Grapalat" w:hAnsi="GHEA Grapalat" w:cs="Arial"/>
          <w:i/>
          <w:sz w:val="22"/>
          <w:szCs w:val="22"/>
          <w:lang w:val="hy-AM"/>
        </w:rPr>
        <w:t>Մոր</w:t>
      </w:r>
      <w:r w:rsidRPr="00B57DAB">
        <w:rPr>
          <w:rFonts w:ascii="GHEA Grapalat" w:hAnsi="GHEA Grapalat"/>
          <w:i/>
          <w:sz w:val="22"/>
          <w:szCs w:val="22"/>
          <w:lang w:val="zu-ZA"/>
        </w:rPr>
        <w:t xml:space="preserve"> </w:t>
      </w:r>
      <w:r w:rsidRPr="00B57DAB">
        <w:rPr>
          <w:rFonts w:ascii="GHEA Grapalat" w:hAnsi="GHEA Grapalat" w:cs="Arial"/>
          <w:i/>
          <w:sz w:val="22"/>
          <w:szCs w:val="22"/>
          <w:lang w:val="hy-AM"/>
        </w:rPr>
        <w:t>և</w:t>
      </w:r>
      <w:r w:rsidRPr="00B57DAB">
        <w:rPr>
          <w:rFonts w:ascii="GHEA Grapalat" w:hAnsi="GHEA Grapalat"/>
          <w:i/>
          <w:sz w:val="22"/>
          <w:szCs w:val="22"/>
          <w:lang w:val="zu-ZA"/>
        </w:rPr>
        <w:t xml:space="preserve"> </w:t>
      </w:r>
      <w:r w:rsidRPr="00B57DAB">
        <w:rPr>
          <w:rFonts w:ascii="GHEA Grapalat" w:hAnsi="GHEA Grapalat" w:cs="Arial"/>
          <w:i/>
          <w:sz w:val="22"/>
          <w:szCs w:val="22"/>
          <w:lang w:val="hy-AM"/>
        </w:rPr>
        <w:t>մանկան</w:t>
      </w:r>
      <w:r w:rsidRPr="00B57DAB">
        <w:rPr>
          <w:rFonts w:ascii="GHEA Grapalat" w:hAnsi="GHEA Grapalat"/>
          <w:i/>
          <w:sz w:val="22"/>
          <w:szCs w:val="22"/>
          <w:lang w:val="zu-ZA"/>
        </w:rPr>
        <w:t xml:space="preserve"> </w:t>
      </w:r>
      <w:r w:rsidRPr="00B57DAB">
        <w:rPr>
          <w:rFonts w:ascii="GHEA Grapalat" w:hAnsi="GHEA Grapalat" w:cs="Arial"/>
          <w:i/>
          <w:sz w:val="22"/>
          <w:szCs w:val="22"/>
          <w:lang w:val="hy-AM"/>
        </w:rPr>
        <w:t>առողջության</w:t>
      </w:r>
      <w:r w:rsidRPr="00B57DAB">
        <w:rPr>
          <w:rFonts w:ascii="GHEA Grapalat" w:hAnsi="GHEA Grapalat"/>
          <w:i/>
          <w:sz w:val="22"/>
          <w:szCs w:val="22"/>
          <w:lang w:val="zu-ZA"/>
        </w:rPr>
        <w:t xml:space="preserve"> </w:t>
      </w:r>
      <w:r w:rsidRPr="00B57DAB">
        <w:rPr>
          <w:rFonts w:ascii="GHEA Grapalat" w:hAnsi="GHEA Grapalat" w:cs="Arial"/>
          <w:i/>
          <w:sz w:val="22"/>
          <w:szCs w:val="22"/>
          <w:lang w:val="hy-AM"/>
        </w:rPr>
        <w:t>պահպանման</w:t>
      </w:r>
      <w:r w:rsidRPr="00B57DAB">
        <w:rPr>
          <w:rFonts w:ascii="GHEA Grapalat" w:hAnsi="GHEA Grapalat"/>
          <w:i/>
          <w:sz w:val="22"/>
          <w:szCs w:val="22"/>
          <w:lang w:val="zu-ZA"/>
        </w:rPr>
        <w:t xml:space="preserve"> </w:t>
      </w:r>
      <w:r w:rsidRPr="00B57DAB">
        <w:rPr>
          <w:rFonts w:ascii="GHEA Grapalat" w:hAnsi="GHEA Grapalat" w:cs="Arial"/>
          <w:sz w:val="22"/>
          <w:szCs w:val="22"/>
          <w:lang w:val="hy-AM"/>
        </w:rPr>
        <w:t>ծրագրի</w:t>
      </w:r>
      <w:r w:rsidRPr="00B57DAB">
        <w:rPr>
          <w:rFonts w:ascii="GHEA Grapalat" w:hAnsi="GHEA Grapalat"/>
          <w:sz w:val="22"/>
          <w:szCs w:val="22"/>
          <w:lang w:val="zu-ZA"/>
        </w:rPr>
        <w:t xml:space="preserve"> </w:t>
      </w:r>
      <w:r w:rsidRPr="00B57DAB">
        <w:rPr>
          <w:rFonts w:ascii="GHEA Grapalat" w:hAnsi="GHEA Grapalat" w:cs="Arial"/>
          <w:sz w:val="22"/>
          <w:szCs w:val="22"/>
          <w:lang w:val="hy-AM"/>
        </w:rPr>
        <w:t>շրջանակներում</w:t>
      </w:r>
      <w:r w:rsidRPr="00B57DAB">
        <w:rPr>
          <w:rFonts w:ascii="GHEA Grapalat" w:hAnsi="GHEA Grapalat"/>
          <w:sz w:val="22"/>
          <w:szCs w:val="22"/>
          <w:lang w:val="zu-ZA"/>
        </w:rPr>
        <w:t xml:space="preserve"> </w:t>
      </w:r>
      <w:r w:rsidRPr="00B57DAB">
        <w:rPr>
          <w:rFonts w:ascii="GHEA Grapalat" w:hAnsi="GHEA Grapalat" w:cs="Arial"/>
          <w:sz w:val="22"/>
          <w:szCs w:val="22"/>
          <w:lang w:val="hy-AM"/>
        </w:rPr>
        <w:t>օգտագործվել</w:t>
      </w:r>
      <w:r w:rsidRPr="00B57DAB">
        <w:rPr>
          <w:rFonts w:ascii="GHEA Grapalat" w:hAnsi="GHEA Grapalat"/>
          <w:sz w:val="22"/>
          <w:szCs w:val="22"/>
          <w:lang w:val="zu-ZA"/>
        </w:rPr>
        <w:t xml:space="preserve"> </w:t>
      </w:r>
      <w:r w:rsidRPr="00B57DAB">
        <w:rPr>
          <w:rFonts w:ascii="GHEA Grapalat" w:hAnsi="GHEA Grapalat" w:cs="Arial"/>
          <w:sz w:val="22"/>
          <w:szCs w:val="22"/>
          <w:lang w:val="hy-AM"/>
        </w:rPr>
        <w:t>է</w:t>
      </w:r>
      <w:r w:rsidRPr="00B57DAB">
        <w:rPr>
          <w:rFonts w:ascii="GHEA Grapalat" w:hAnsi="GHEA Grapalat"/>
          <w:sz w:val="22"/>
          <w:szCs w:val="22"/>
          <w:lang w:val="zu-ZA"/>
        </w:rPr>
        <w:t xml:space="preserve"> 3.4 </w:t>
      </w:r>
      <w:r w:rsidRPr="00B57DAB">
        <w:rPr>
          <w:rFonts w:ascii="GHEA Grapalat" w:hAnsi="GHEA Grapalat" w:cs="Arial"/>
          <w:sz w:val="22"/>
          <w:szCs w:val="22"/>
          <w:lang w:val="hy-AM"/>
        </w:rPr>
        <w:t>մլրդ</w:t>
      </w:r>
      <w:r w:rsidRPr="00B57DAB">
        <w:rPr>
          <w:rFonts w:ascii="GHEA Grapalat" w:hAnsi="GHEA Grapalat"/>
          <w:sz w:val="22"/>
          <w:szCs w:val="22"/>
          <w:lang w:val="zu-ZA"/>
        </w:rPr>
        <w:t xml:space="preserve"> </w:t>
      </w:r>
      <w:r w:rsidRPr="00B57DAB">
        <w:rPr>
          <w:rFonts w:ascii="GHEA Grapalat" w:hAnsi="GHEA Grapalat" w:cs="Arial"/>
          <w:sz w:val="22"/>
          <w:szCs w:val="22"/>
          <w:lang w:val="hy-AM"/>
        </w:rPr>
        <w:t>դրամ</w:t>
      </w:r>
      <w:r w:rsidRPr="00B57DAB">
        <w:rPr>
          <w:rFonts w:ascii="GHEA Grapalat" w:hAnsi="GHEA Grapalat"/>
          <w:sz w:val="22"/>
          <w:szCs w:val="22"/>
          <w:lang w:val="zu-ZA"/>
        </w:rPr>
        <w:t xml:space="preserve">` </w:t>
      </w:r>
      <w:r w:rsidRPr="00B57DAB">
        <w:rPr>
          <w:rFonts w:ascii="GHEA Grapalat" w:hAnsi="GHEA Grapalat" w:cs="Arial"/>
          <w:sz w:val="22"/>
          <w:szCs w:val="22"/>
          <w:lang w:val="hy-AM"/>
        </w:rPr>
        <w:t>ապահովելով</w:t>
      </w:r>
      <w:r w:rsidRPr="00B57DAB">
        <w:rPr>
          <w:rFonts w:ascii="GHEA Grapalat" w:hAnsi="GHEA Grapalat"/>
          <w:sz w:val="22"/>
          <w:szCs w:val="22"/>
          <w:lang w:val="zu-ZA"/>
        </w:rPr>
        <w:t xml:space="preserve"> 91.2% </w:t>
      </w:r>
      <w:r w:rsidRPr="00B57DAB">
        <w:rPr>
          <w:rFonts w:ascii="GHEA Grapalat" w:hAnsi="GHEA Grapalat" w:cs="Arial"/>
          <w:sz w:val="22"/>
          <w:szCs w:val="22"/>
          <w:lang w:val="hy-AM"/>
        </w:rPr>
        <w:t>կատարողական</w:t>
      </w:r>
      <w:r w:rsidRPr="00B57DAB">
        <w:rPr>
          <w:rFonts w:ascii="GHEA Grapalat" w:hAnsi="GHEA Grapalat"/>
          <w:sz w:val="22"/>
          <w:szCs w:val="22"/>
          <w:lang w:val="zu-ZA"/>
        </w:rPr>
        <w:t>:</w:t>
      </w:r>
      <w:r w:rsidRPr="00B57DAB">
        <w:rPr>
          <w:rFonts w:ascii="GHEA Grapalat" w:hAnsi="GHEA Grapalat" w:cs="Arial"/>
          <w:sz w:val="22"/>
          <w:szCs w:val="22"/>
          <w:lang w:val="hy-AM"/>
        </w:rPr>
        <w:t xml:space="preserve"> Ծրագրում</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ընդգրկված</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են</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հինգ</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միջոցառումներ</w:t>
      </w:r>
      <w:r w:rsidRPr="00B57DAB">
        <w:rPr>
          <w:rFonts w:ascii="GHEA Grapalat" w:hAnsi="GHEA Grapalat" w:cs="Times Armenian"/>
          <w:sz w:val="22"/>
          <w:szCs w:val="22"/>
          <w:lang w:val="hy-AM"/>
        </w:rPr>
        <w:t>, որոնց բոլորի գծով արձանագրվել են շեղումներ՝</w:t>
      </w:r>
      <w:r w:rsidR="007050B0" w:rsidRPr="00B57DAB">
        <w:rPr>
          <w:rFonts w:ascii="GHEA Grapalat" w:hAnsi="GHEA Grapalat" w:cs="Times Armenian"/>
          <w:sz w:val="22"/>
          <w:szCs w:val="22"/>
          <w:lang w:val="zu-ZA"/>
        </w:rPr>
        <w:t xml:space="preserve"> հիմնականում պայմանավորված</w:t>
      </w:r>
      <w:r w:rsidRPr="00B57DAB">
        <w:rPr>
          <w:rFonts w:ascii="GHEA Grapalat" w:hAnsi="GHEA Grapalat" w:cs="Times Armenian"/>
          <w:sz w:val="22"/>
          <w:szCs w:val="22"/>
          <w:lang w:val="zu-ZA"/>
        </w:rPr>
        <w:t xml:space="preserve"> </w:t>
      </w:r>
      <w:r w:rsidRPr="00B57DAB">
        <w:rPr>
          <w:rFonts w:ascii="GHEA Grapalat" w:hAnsi="GHEA Grapalat" w:cs="Sylfaen"/>
          <w:sz w:val="22"/>
          <w:szCs w:val="22"/>
          <w:lang w:val="hy-AM"/>
        </w:rPr>
        <w:t>որոշ կազմակերպություններում բժշկական օգնության դեպքերի</w:t>
      </w:r>
      <w:r w:rsidR="007050B0" w:rsidRPr="00B57DAB">
        <w:rPr>
          <w:rFonts w:ascii="GHEA Grapalat" w:hAnsi="GHEA Grapalat" w:cs="Sylfaen"/>
          <w:sz w:val="22"/>
          <w:szCs w:val="22"/>
        </w:rPr>
        <w:t>՝ կանխատեսվածից ցածր ցուցանիշներով</w:t>
      </w:r>
      <w:r w:rsidRPr="00B57DAB">
        <w:rPr>
          <w:rFonts w:ascii="GHEA Grapalat" w:hAnsi="GHEA Grapalat" w:cs="Sylfaen"/>
          <w:sz w:val="22"/>
          <w:szCs w:val="22"/>
          <w:lang w:val="zu-ZA"/>
        </w:rPr>
        <w:t>:</w:t>
      </w:r>
    </w:p>
    <w:p w:rsidR="00AC1611" w:rsidRPr="00B57DAB" w:rsidRDefault="00AC1611" w:rsidP="00AC1611">
      <w:pPr>
        <w:autoSpaceDE w:val="0"/>
        <w:autoSpaceDN w:val="0"/>
        <w:adjustRightInd w:val="0"/>
        <w:spacing w:line="360" w:lineRule="auto"/>
        <w:ind w:firstLine="567"/>
        <w:jc w:val="both"/>
        <w:rPr>
          <w:rFonts w:ascii="GHEA Grapalat" w:hAnsi="GHEA Grapalat" w:cs="Arial"/>
          <w:sz w:val="22"/>
          <w:szCs w:val="22"/>
          <w:lang w:val="hy-AM"/>
        </w:rPr>
      </w:pPr>
      <w:r w:rsidRPr="00B57DAB">
        <w:rPr>
          <w:rFonts w:ascii="GHEA Grapalat" w:hAnsi="GHEA Grapalat" w:cs="Sylfaen"/>
          <w:sz w:val="22"/>
          <w:szCs w:val="22"/>
          <w:lang w:val="hy-AM"/>
        </w:rPr>
        <w:t xml:space="preserve">Մանկաբարձական բժշկական օգնության ծառայությունների ձեռքբերման միջոցառման շրջանակներում </w:t>
      </w:r>
      <w:r w:rsidRPr="00B57DAB">
        <w:rPr>
          <w:rFonts w:ascii="GHEA Grapalat" w:hAnsi="GHEA Grapalat" w:cs="Arial"/>
          <w:sz w:val="22"/>
          <w:szCs w:val="22"/>
          <w:lang w:val="hy-AM"/>
        </w:rPr>
        <w:t xml:space="preserve">հաշվետու ժամանակահատվածում մանկաբարձական բժշկական օգնության ծառայություններ են մատուցվել 13595 անձի` կանխատեսված </w:t>
      </w:r>
      <w:r w:rsidRPr="00B57DAB">
        <w:rPr>
          <w:rFonts w:ascii="GHEA Grapalat" w:hAnsi="GHEA Grapalat" w:cs="Arial"/>
          <w:sz w:val="22"/>
          <w:szCs w:val="22"/>
          <w:lang w:val="zu-ZA"/>
        </w:rPr>
        <w:t>8902</w:t>
      </w:r>
      <w:r w:rsidRPr="00B57DAB">
        <w:rPr>
          <w:rFonts w:ascii="GHEA Grapalat" w:hAnsi="GHEA Grapalat" w:cs="Arial"/>
          <w:sz w:val="22"/>
          <w:szCs w:val="22"/>
          <w:lang w:val="hy-AM"/>
        </w:rPr>
        <w:t xml:space="preserve">-ի դիմաց, ծնունդների թիվը կազմել է </w:t>
      </w:r>
      <w:r w:rsidRPr="00B57DAB">
        <w:rPr>
          <w:rFonts w:ascii="GHEA Grapalat" w:hAnsi="GHEA Grapalat" w:cs="Arial"/>
          <w:sz w:val="22"/>
          <w:szCs w:val="22"/>
          <w:lang w:val="zu-ZA"/>
        </w:rPr>
        <w:t>9317</w:t>
      </w:r>
      <w:r w:rsidRPr="00B57DAB">
        <w:rPr>
          <w:rFonts w:ascii="GHEA Grapalat" w:hAnsi="GHEA Grapalat" w:cs="Arial"/>
          <w:sz w:val="22"/>
          <w:szCs w:val="22"/>
          <w:lang w:val="hy-AM"/>
        </w:rPr>
        <w:t xml:space="preserve">՝ կանխատեսված </w:t>
      </w:r>
      <w:r w:rsidRPr="00B57DAB">
        <w:rPr>
          <w:rFonts w:ascii="GHEA Grapalat" w:hAnsi="GHEA Grapalat" w:cs="Arial"/>
          <w:sz w:val="22"/>
          <w:szCs w:val="22"/>
          <w:lang w:val="zu-ZA"/>
        </w:rPr>
        <w:t>7650</w:t>
      </w:r>
      <w:r w:rsidRPr="00B57DAB">
        <w:rPr>
          <w:rFonts w:ascii="GHEA Grapalat" w:hAnsi="GHEA Grapalat" w:cs="Arial"/>
          <w:sz w:val="22"/>
          <w:szCs w:val="22"/>
          <w:lang w:val="hy-AM"/>
        </w:rPr>
        <w:t>-ի դիմաց,</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իսկ կեսարյան հատումների</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 xml:space="preserve">թիվը՝ </w:t>
      </w:r>
      <w:r w:rsidRPr="00B57DAB">
        <w:rPr>
          <w:rFonts w:ascii="GHEA Grapalat" w:hAnsi="GHEA Grapalat" w:cs="Arial"/>
          <w:sz w:val="22"/>
          <w:szCs w:val="22"/>
          <w:lang w:val="zu-ZA"/>
        </w:rPr>
        <w:t>3597</w:t>
      </w:r>
      <w:r w:rsidRPr="00B57DAB">
        <w:rPr>
          <w:rFonts w:ascii="GHEA Grapalat" w:hAnsi="GHEA Grapalat" w:cs="Arial"/>
          <w:sz w:val="22"/>
          <w:szCs w:val="22"/>
          <w:lang w:val="hy-AM"/>
        </w:rPr>
        <w:t xml:space="preserve">՝ կանխատեսված </w:t>
      </w:r>
      <w:r w:rsidRPr="00B57DAB">
        <w:rPr>
          <w:rFonts w:ascii="GHEA Grapalat" w:hAnsi="GHEA Grapalat" w:cs="Arial"/>
          <w:sz w:val="22"/>
          <w:szCs w:val="22"/>
          <w:lang w:val="zu-ZA"/>
        </w:rPr>
        <w:t>2700</w:t>
      </w:r>
      <w:r w:rsidRPr="00B57DAB">
        <w:rPr>
          <w:rFonts w:ascii="GHEA Grapalat" w:hAnsi="GHEA Grapalat" w:cs="Arial"/>
          <w:sz w:val="22"/>
          <w:szCs w:val="22"/>
          <w:lang w:val="hy-AM"/>
        </w:rPr>
        <w:t>-ի դիմաց:</w:t>
      </w:r>
      <w:r w:rsidRPr="00B57DAB">
        <w:rPr>
          <w:rFonts w:ascii="GHEA Grapalat" w:hAnsi="GHEA Grapalat" w:cs="Arial"/>
          <w:sz w:val="22"/>
          <w:szCs w:val="22"/>
          <w:lang w:val="zu-ZA"/>
        </w:rPr>
        <w:t xml:space="preserve"> </w:t>
      </w:r>
      <w:r w:rsidRPr="00B57DAB">
        <w:rPr>
          <w:rFonts w:ascii="GHEA Grapalat" w:hAnsi="GHEA Grapalat" w:cs="Sylfaen"/>
          <w:sz w:val="22"/>
          <w:szCs w:val="22"/>
          <w:lang w:val="zu-ZA"/>
        </w:rPr>
        <w:t xml:space="preserve">2022 </w:t>
      </w:r>
      <w:r w:rsidRPr="00B57DAB">
        <w:rPr>
          <w:rFonts w:ascii="GHEA Grapalat" w:hAnsi="GHEA Grapalat" w:cs="Sylfaen"/>
          <w:sz w:val="22"/>
          <w:szCs w:val="22"/>
        </w:rPr>
        <w:t>թվականի</w:t>
      </w:r>
      <w:r w:rsidRPr="00B57DAB">
        <w:rPr>
          <w:rFonts w:ascii="GHEA Grapalat" w:hAnsi="GHEA Grapalat" w:cs="Sylfaen"/>
          <w:sz w:val="22"/>
          <w:szCs w:val="22"/>
          <w:lang w:val="zu-ZA"/>
        </w:rPr>
        <w:t xml:space="preserve"> </w:t>
      </w:r>
      <w:r w:rsidRPr="00B57DAB">
        <w:rPr>
          <w:rFonts w:ascii="GHEA Grapalat" w:hAnsi="GHEA Grapalat" w:cs="Sylfaen"/>
          <w:sz w:val="22"/>
          <w:szCs w:val="22"/>
        </w:rPr>
        <w:t>առաջին</w:t>
      </w:r>
      <w:r w:rsidRPr="00B57DAB">
        <w:rPr>
          <w:rFonts w:ascii="GHEA Grapalat" w:hAnsi="GHEA Grapalat" w:cs="Sylfaen"/>
          <w:sz w:val="22"/>
          <w:szCs w:val="22"/>
          <w:lang w:val="zu-ZA"/>
        </w:rPr>
        <w:t xml:space="preserve"> </w:t>
      </w:r>
      <w:r w:rsidRPr="00B57DAB">
        <w:rPr>
          <w:rFonts w:ascii="GHEA Grapalat" w:hAnsi="GHEA Grapalat" w:cs="Sylfaen"/>
          <w:sz w:val="22"/>
          <w:szCs w:val="22"/>
        </w:rPr>
        <w:t>եռամսյակում</w:t>
      </w:r>
      <w:r w:rsidRPr="00B57DAB">
        <w:rPr>
          <w:rFonts w:ascii="GHEA Grapalat" w:hAnsi="GHEA Grapalat" w:cs="Sylfaen"/>
          <w:sz w:val="22"/>
          <w:szCs w:val="22"/>
          <w:lang w:val="hy-AM"/>
        </w:rPr>
        <w:t xml:space="preserve"> մանկաբարձական բժշկական օգնության ծառայությունների ձեռքբերմանը հատկացվել է </w:t>
      </w:r>
      <w:r w:rsidRPr="00B57DAB">
        <w:rPr>
          <w:rFonts w:ascii="GHEA Grapalat" w:hAnsi="GHEA Grapalat" w:cs="Sylfaen"/>
          <w:sz w:val="22"/>
          <w:szCs w:val="22"/>
        </w:rPr>
        <w:t>ավելի</w:t>
      </w:r>
      <w:r w:rsidRPr="00B57DAB">
        <w:rPr>
          <w:rFonts w:ascii="GHEA Grapalat" w:hAnsi="GHEA Grapalat" w:cs="Sylfaen"/>
          <w:sz w:val="22"/>
          <w:szCs w:val="22"/>
          <w:lang w:val="zu-ZA"/>
        </w:rPr>
        <w:t xml:space="preserve"> </w:t>
      </w:r>
      <w:r w:rsidRPr="00B57DAB">
        <w:rPr>
          <w:rFonts w:ascii="GHEA Grapalat" w:hAnsi="GHEA Grapalat" w:cs="Sylfaen"/>
          <w:sz w:val="22"/>
          <w:szCs w:val="22"/>
        </w:rPr>
        <w:t>քան</w:t>
      </w:r>
      <w:r w:rsidRPr="00B57DAB">
        <w:rPr>
          <w:rFonts w:ascii="GHEA Grapalat" w:hAnsi="GHEA Grapalat" w:cs="Sylfaen"/>
          <w:sz w:val="22"/>
          <w:szCs w:val="22"/>
          <w:lang w:val="hy-AM"/>
        </w:rPr>
        <w:t xml:space="preserve"> </w:t>
      </w:r>
      <w:r w:rsidRPr="00B57DAB">
        <w:rPr>
          <w:rFonts w:ascii="GHEA Grapalat" w:hAnsi="GHEA Grapalat" w:cs="Sylfaen"/>
          <w:sz w:val="22"/>
          <w:szCs w:val="22"/>
          <w:lang w:val="zu-ZA"/>
        </w:rPr>
        <w:t>1.3</w:t>
      </w:r>
      <w:r w:rsidRPr="00B57DAB">
        <w:rPr>
          <w:rFonts w:ascii="GHEA Grapalat" w:hAnsi="GHEA Grapalat" w:cs="Sylfaen"/>
          <w:sz w:val="22"/>
          <w:szCs w:val="22"/>
          <w:lang w:val="hy-AM"/>
        </w:rPr>
        <w:t xml:space="preserve"> մլրդ դրամ,</w:t>
      </w:r>
      <w:r w:rsidRPr="00B57DAB">
        <w:rPr>
          <w:rFonts w:ascii="GHEA Grapalat" w:hAnsi="GHEA Grapalat" w:cs="Arial"/>
          <w:sz w:val="22"/>
          <w:szCs w:val="22"/>
          <w:lang w:val="hy-AM"/>
        </w:rPr>
        <w:t xml:space="preserve"> որոնք կատարվել են </w:t>
      </w:r>
      <w:r w:rsidRPr="00B57DAB">
        <w:rPr>
          <w:rFonts w:ascii="GHEA Grapalat" w:hAnsi="GHEA Grapalat" w:cs="Arial"/>
          <w:sz w:val="22"/>
          <w:szCs w:val="22"/>
          <w:lang w:val="zu-ZA"/>
        </w:rPr>
        <w:t>96.9</w:t>
      </w:r>
      <w:r w:rsidRPr="00B57DAB">
        <w:rPr>
          <w:rFonts w:ascii="GHEA Grapalat" w:hAnsi="GHEA Grapalat" w:cs="Arial"/>
          <w:sz w:val="22"/>
          <w:szCs w:val="22"/>
          <w:lang w:val="hy-AM"/>
        </w:rPr>
        <w:t>%-ով</w:t>
      </w:r>
      <w:r w:rsidRPr="00B57DAB">
        <w:rPr>
          <w:rFonts w:ascii="GHEA Grapalat" w:hAnsi="GHEA Grapalat" w:cs="Arial"/>
          <w:sz w:val="22"/>
          <w:szCs w:val="22"/>
          <w:lang w:val="zu-ZA"/>
        </w:rPr>
        <w:t xml:space="preserve">: </w:t>
      </w:r>
    </w:p>
    <w:p w:rsidR="00AC1611" w:rsidRPr="00B57DAB" w:rsidRDefault="00AC1611" w:rsidP="00AC1611">
      <w:pPr>
        <w:autoSpaceDE w:val="0"/>
        <w:autoSpaceDN w:val="0"/>
        <w:adjustRightInd w:val="0"/>
        <w:spacing w:line="360" w:lineRule="auto"/>
        <w:ind w:firstLine="567"/>
        <w:jc w:val="both"/>
        <w:rPr>
          <w:rFonts w:ascii="GHEA Grapalat" w:hAnsi="GHEA Grapalat" w:cs="Arial"/>
          <w:sz w:val="22"/>
          <w:szCs w:val="22"/>
          <w:lang w:val="hy-AM"/>
        </w:rPr>
      </w:pPr>
      <w:r w:rsidRPr="00B57DAB">
        <w:rPr>
          <w:rFonts w:ascii="GHEA Grapalat" w:hAnsi="GHEA Grapalat" w:cs="Arial"/>
          <w:sz w:val="22"/>
          <w:szCs w:val="22"/>
          <w:lang w:val="hy-AM"/>
        </w:rPr>
        <w:t>Երեխաներին բժշկական օգնության ծառայությունների միջոցառման շրջանակներում հաշվետու ժամանակահատվածում երեխաների բժշկական օգնության գծով ծառայություններից օգտվելու դեպքերի թիվը կազմել է 25470` կանխատեսված 10000-ի դիմաց, ցերեկային ստացիոնար և կարճաժամկետ կամ փոքր ծավալի բուժօգնության դեպքերի թիվը կազմել է</w:t>
      </w:r>
      <w:r w:rsidRPr="00B57DAB">
        <w:rPr>
          <w:rFonts w:ascii="GHEA Grapalat" w:hAnsi="GHEA Grapalat"/>
          <w:sz w:val="22"/>
          <w:szCs w:val="22"/>
          <w:lang w:val="hy-AM"/>
        </w:rPr>
        <w:t xml:space="preserve"> 1784</w:t>
      </w:r>
      <w:r w:rsidRPr="00B57DAB">
        <w:rPr>
          <w:rFonts w:ascii="GHEA Grapalat" w:hAnsi="GHEA Grapalat" w:cs="Arial"/>
          <w:sz w:val="22"/>
          <w:szCs w:val="22"/>
          <w:lang w:val="hy-AM"/>
        </w:rPr>
        <w:t xml:space="preserve">` կանխատեսված 1000-ի դիմաց։ Փաստացի արդյունքային ցուցանիշների գերազանցումը կանխատեսվածների նկատմամբ պայմանավորված է հիվանդանոցային բուժօգնության դեպքերի թվի աճով՝ </w:t>
      </w:r>
      <w:r w:rsidRPr="00B57DAB">
        <w:rPr>
          <w:rFonts w:ascii="GHEA Grapalat" w:hAnsi="GHEA Grapalat" w:cs="Sylfaen"/>
          <w:sz w:val="22"/>
          <w:szCs w:val="22"/>
          <w:lang w:val="zu-ZA"/>
        </w:rPr>
        <w:t xml:space="preserve">կորոնավիրուսային համավարակի </w:t>
      </w:r>
      <w:r w:rsidRPr="00B57DAB">
        <w:rPr>
          <w:rFonts w:ascii="GHEA Grapalat" w:hAnsi="GHEA Grapalat" w:cs="Arial"/>
          <w:sz w:val="22"/>
          <w:szCs w:val="22"/>
          <w:lang w:val="hy-AM"/>
        </w:rPr>
        <w:t>և սուր շնչառական հիվանդությունների պատճառով: 2022 թվականի առաջին եռամսյակի ընթացքում</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երեխաներին</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բժշկական</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օգնության</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ծառայությունների</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ձեռքբերմանն</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ուղղվել</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է</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շուրջ</w:t>
      </w:r>
      <w:r w:rsidRPr="00B57DAB">
        <w:rPr>
          <w:rFonts w:ascii="GHEA Grapalat" w:hAnsi="GHEA Grapalat" w:cs="Times Armenian"/>
          <w:sz w:val="22"/>
          <w:szCs w:val="22"/>
          <w:lang w:val="hy-AM"/>
        </w:rPr>
        <w:t xml:space="preserve"> 2 </w:t>
      </w:r>
      <w:r w:rsidRPr="00B57DAB">
        <w:rPr>
          <w:rFonts w:ascii="GHEA Grapalat" w:hAnsi="GHEA Grapalat" w:cs="Arial"/>
          <w:sz w:val="22"/>
          <w:szCs w:val="22"/>
          <w:lang w:val="hy-AM"/>
        </w:rPr>
        <w:t>մլրդ</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դրամ</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կամ</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նախատեսվածի</w:t>
      </w:r>
      <w:r w:rsidRPr="00B57DAB">
        <w:rPr>
          <w:rFonts w:ascii="GHEA Grapalat" w:hAnsi="GHEA Grapalat" w:cs="Sylfaen"/>
          <w:sz w:val="22"/>
          <w:szCs w:val="22"/>
          <w:lang w:val="hy-AM"/>
        </w:rPr>
        <w:t xml:space="preserve"> 88.1%-</w:t>
      </w:r>
      <w:r w:rsidRPr="00B57DAB">
        <w:rPr>
          <w:rFonts w:ascii="GHEA Grapalat" w:hAnsi="GHEA Grapalat" w:cs="Arial"/>
          <w:sz w:val="22"/>
          <w:szCs w:val="22"/>
          <w:lang w:val="hy-AM"/>
        </w:rPr>
        <w:t>ը</w:t>
      </w:r>
      <w:r w:rsidRPr="00B57DAB">
        <w:rPr>
          <w:rFonts w:ascii="GHEA Grapalat" w:hAnsi="GHEA Grapalat" w:cs="Sylfaen"/>
          <w:sz w:val="22"/>
          <w:szCs w:val="22"/>
          <w:lang w:val="hy-AM"/>
        </w:rPr>
        <w:t xml:space="preserve">: </w:t>
      </w:r>
      <w:r w:rsidR="007050B0" w:rsidRPr="00B57DAB">
        <w:rPr>
          <w:rFonts w:ascii="GHEA Grapalat" w:hAnsi="GHEA Grapalat" w:cs="Sylfaen"/>
          <w:sz w:val="22"/>
          <w:szCs w:val="22"/>
          <w:lang w:val="hy-AM"/>
        </w:rPr>
        <w:t>Շեղումը պայմանավորված է առանձին կազմակերպություններ</w:t>
      </w:r>
      <w:r w:rsidR="007050B0" w:rsidRPr="00B57DAB">
        <w:rPr>
          <w:rFonts w:ascii="GHEA Grapalat" w:hAnsi="GHEA Grapalat" w:cs="Sylfaen"/>
          <w:sz w:val="22"/>
          <w:szCs w:val="22"/>
        </w:rPr>
        <w:t>ում դեպքերի ցածր ցուցանիշով</w:t>
      </w:r>
      <w:r w:rsidR="007050B0" w:rsidRPr="00B57DAB">
        <w:rPr>
          <w:rFonts w:ascii="GHEA Grapalat" w:hAnsi="GHEA Grapalat" w:cs="Sylfaen"/>
          <w:sz w:val="22"/>
          <w:szCs w:val="22"/>
          <w:lang w:val="hy-AM"/>
        </w:rPr>
        <w:t xml:space="preserve">, որոնց ֆինանսավորումն իրականացվել է փաստացի կատարողականի դիմաց, իսկ </w:t>
      </w:r>
      <w:r w:rsidR="009F324C" w:rsidRPr="00B57DAB">
        <w:rPr>
          <w:rFonts w:ascii="GHEA Grapalat" w:hAnsi="GHEA Grapalat" w:cs="Sylfaen"/>
          <w:sz w:val="22"/>
          <w:szCs w:val="22"/>
        </w:rPr>
        <w:t xml:space="preserve">դեպքերի </w:t>
      </w:r>
      <w:r w:rsidR="007050B0" w:rsidRPr="00B57DAB">
        <w:rPr>
          <w:rFonts w:ascii="GHEA Grapalat" w:hAnsi="GHEA Grapalat" w:cs="Sylfaen"/>
          <w:sz w:val="22"/>
          <w:szCs w:val="22"/>
          <w:lang w:val="hy-AM"/>
        </w:rPr>
        <w:t>գերակատարո</w:t>
      </w:r>
      <w:r w:rsidR="007050B0" w:rsidRPr="00B57DAB">
        <w:rPr>
          <w:rFonts w:ascii="GHEA Grapalat" w:hAnsi="GHEA Grapalat" w:cs="Sylfaen"/>
          <w:sz w:val="22"/>
          <w:szCs w:val="22"/>
        </w:rPr>
        <w:t>ւմ ունեցող</w:t>
      </w:r>
      <w:r w:rsidR="007050B0" w:rsidRPr="00B57DAB">
        <w:rPr>
          <w:rFonts w:ascii="GHEA Grapalat" w:hAnsi="GHEA Grapalat" w:cs="Sylfaen"/>
          <w:sz w:val="22"/>
          <w:szCs w:val="22"/>
          <w:lang w:val="hy-AM"/>
        </w:rPr>
        <w:t xml:space="preserve"> </w:t>
      </w:r>
      <w:r w:rsidR="007050B0" w:rsidRPr="00B57DAB">
        <w:rPr>
          <w:rFonts w:ascii="GHEA Grapalat" w:hAnsi="GHEA Grapalat" w:cs="Sylfaen"/>
          <w:sz w:val="22"/>
          <w:szCs w:val="22"/>
          <w:lang w:val="hy-AM"/>
        </w:rPr>
        <w:lastRenderedPageBreak/>
        <w:t>հիմնարկները ֆինանսավորվել են</w:t>
      </w:r>
      <w:r w:rsidR="007050B0" w:rsidRPr="00B57DAB">
        <w:rPr>
          <w:rFonts w:ascii="GHEA Grapalat" w:hAnsi="GHEA Grapalat" w:cs="Sylfaen"/>
          <w:sz w:val="22"/>
          <w:szCs w:val="22"/>
        </w:rPr>
        <w:t xml:space="preserve"> </w:t>
      </w:r>
      <w:r w:rsidR="007050B0" w:rsidRPr="00B57DAB">
        <w:rPr>
          <w:rFonts w:ascii="GHEA Grapalat" w:hAnsi="GHEA Grapalat" w:cs="Sylfaen"/>
          <w:sz w:val="22"/>
          <w:szCs w:val="22"/>
          <w:lang w:val="hy-AM"/>
        </w:rPr>
        <w:t xml:space="preserve">նախատեսվածի չափով` փաստացի կատարողականներից </w:t>
      </w:r>
      <w:r w:rsidR="007050B0" w:rsidRPr="00B57DAB">
        <w:rPr>
          <w:rFonts w:ascii="GHEA Grapalat" w:hAnsi="GHEA Grapalat" w:cs="Sylfaen"/>
          <w:sz w:val="22"/>
          <w:szCs w:val="22"/>
        </w:rPr>
        <w:t>պակաս</w:t>
      </w:r>
      <w:r w:rsidR="007050B0" w:rsidRPr="00B57DAB">
        <w:rPr>
          <w:rFonts w:ascii="GHEA Grapalat" w:hAnsi="GHEA Grapalat" w:cs="Sylfaen"/>
          <w:sz w:val="22"/>
          <w:szCs w:val="22"/>
          <w:lang w:val="hy-AM"/>
        </w:rPr>
        <w:t>:</w:t>
      </w:r>
    </w:p>
    <w:p w:rsidR="00AC1611" w:rsidRPr="00B57DAB" w:rsidRDefault="00AC1611" w:rsidP="00AC1611">
      <w:pPr>
        <w:spacing w:line="360" w:lineRule="auto"/>
        <w:ind w:firstLine="561"/>
        <w:jc w:val="both"/>
        <w:rPr>
          <w:rFonts w:ascii="GHEA Grapalat" w:hAnsi="GHEA Grapalat" w:cs="Arial"/>
          <w:sz w:val="22"/>
          <w:szCs w:val="22"/>
          <w:lang w:val="zu-ZA"/>
        </w:rPr>
      </w:pPr>
      <w:r w:rsidRPr="00B57DAB">
        <w:rPr>
          <w:rFonts w:ascii="GHEA Grapalat" w:hAnsi="GHEA Grapalat" w:cs="Arial"/>
          <w:sz w:val="22"/>
          <w:szCs w:val="22"/>
          <w:lang w:val="hy-AM"/>
        </w:rPr>
        <w:t>Նախորդ</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տարվա</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նույն</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ժամանակահատվածի</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համեմատ</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Մոր</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և</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մանկան</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առողջության</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պահպանման</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ծրագրի</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գծով</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ծախսերն</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աճել</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են</w:t>
      </w:r>
      <w:r w:rsidRPr="00B57DAB">
        <w:rPr>
          <w:rFonts w:ascii="GHEA Grapalat" w:hAnsi="GHEA Grapalat" w:cs="Sylfaen"/>
          <w:sz w:val="22"/>
          <w:szCs w:val="22"/>
          <w:lang w:val="zu-ZA"/>
        </w:rPr>
        <w:t xml:space="preserve"> 21.8%-</w:t>
      </w:r>
      <w:r w:rsidRPr="00B57DAB">
        <w:rPr>
          <w:rFonts w:ascii="GHEA Grapalat" w:hAnsi="GHEA Grapalat" w:cs="Arial"/>
          <w:sz w:val="22"/>
          <w:szCs w:val="22"/>
          <w:lang w:val="hy-AM"/>
        </w:rPr>
        <w:t>ով</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կամ</w:t>
      </w:r>
      <w:r w:rsidRPr="00B57DAB">
        <w:rPr>
          <w:rFonts w:ascii="GHEA Grapalat" w:hAnsi="GHEA Grapalat" w:cs="Sylfaen"/>
          <w:sz w:val="22"/>
          <w:szCs w:val="22"/>
          <w:lang w:val="hy-AM"/>
        </w:rPr>
        <w:t xml:space="preserve"> </w:t>
      </w:r>
      <w:r w:rsidRPr="00B57DAB">
        <w:rPr>
          <w:rFonts w:ascii="GHEA Grapalat" w:hAnsi="GHEA Grapalat" w:cs="Sylfaen"/>
          <w:sz w:val="22"/>
          <w:szCs w:val="22"/>
          <w:lang w:val="zu-ZA"/>
        </w:rPr>
        <w:t xml:space="preserve">613.8 </w:t>
      </w:r>
      <w:r w:rsidRPr="00B57DAB">
        <w:rPr>
          <w:rFonts w:ascii="GHEA Grapalat" w:hAnsi="GHEA Grapalat" w:cs="Arial"/>
          <w:sz w:val="22"/>
          <w:szCs w:val="22"/>
          <w:lang w:val="hy-AM"/>
        </w:rPr>
        <w:t>մլն</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դրամով՝</w:t>
      </w:r>
      <w:r w:rsidRPr="00B57DAB">
        <w:rPr>
          <w:rFonts w:ascii="GHEA Grapalat" w:hAnsi="GHEA Grapalat" w:cs="Arial"/>
          <w:sz w:val="22"/>
          <w:szCs w:val="22"/>
          <w:lang w:val="zu-ZA"/>
        </w:rPr>
        <w:t xml:space="preserve"> հիմնականում </w:t>
      </w:r>
      <w:r w:rsidRPr="00B57DAB">
        <w:rPr>
          <w:rFonts w:ascii="GHEA Grapalat" w:hAnsi="GHEA Grapalat" w:cs="Arial"/>
          <w:sz w:val="22"/>
          <w:szCs w:val="22"/>
          <w:lang w:val="hy-AM"/>
        </w:rPr>
        <w:t>պայմանավորված</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երեխաներին</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բժշկական</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օգնության</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ծախսերի</w:t>
      </w:r>
      <w:r w:rsidRPr="00B57DAB">
        <w:rPr>
          <w:rFonts w:ascii="GHEA Grapalat" w:hAnsi="GHEA Grapalat" w:cs="Arial"/>
          <w:sz w:val="22"/>
          <w:szCs w:val="22"/>
          <w:lang w:val="zu-ZA"/>
        </w:rPr>
        <w:t xml:space="preserve"> 52.7</w:t>
      </w:r>
      <w:r w:rsidRPr="00B57DAB">
        <w:rPr>
          <w:rFonts w:ascii="GHEA Grapalat" w:hAnsi="GHEA Grapalat" w:cs="Arial"/>
          <w:sz w:val="22"/>
          <w:szCs w:val="22"/>
          <w:lang w:val="hy-AM"/>
        </w:rPr>
        <w:t>%</w:t>
      </w:r>
      <w:r w:rsidRPr="00B57DAB">
        <w:rPr>
          <w:rFonts w:ascii="GHEA Grapalat" w:hAnsi="GHEA Grapalat" w:cs="Arial"/>
          <w:sz w:val="22"/>
          <w:szCs w:val="22"/>
          <w:lang w:val="zu-ZA"/>
        </w:rPr>
        <w:t xml:space="preserve"> (678.7 մլն դրամ) </w:t>
      </w:r>
      <w:r w:rsidRPr="00B57DAB">
        <w:rPr>
          <w:rFonts w:ascii="GHEA Grapalat" w:hAnsi="GHEA Grapalat" w:cs="Arial"/>
          <w:sz w:val="22"/>
          <w:szCs w:val="22"/>
          <w:lang w:val="hy-AM"/>
        </w:rPr>
        <w:t>աճով:</w:t>
      </w:r>
    </w:p>
    <w:p w:rsidR="00AC1611" w:rsidRPr="00B57DAB" w:rsidRDefault="00AC1611" w:rsidP="00AC1611">
      <w:pPr>
        <w:autoSpaceDE w:val="0"/>
        <w:autoSpaceDN w:val="0"/>
        <w:adjustRightInd w:val="0"/>
        <w:spacing w:line="360" w:lineRule="auto"/>
        <w:ind w:firstLine="567"/>
        <w:jc w:val="both"/>
        <w:rPr>
          <w:rFonts w:ascii="GHEA Grapalat" w:hAnsi="GHEA Grapalat" w:cs="Arial"/>
          <w:sz w:val="22"/>
          <w:szCs w:val="22"/>
          <w:lang w:val="zu-ZA"/>
        </w:rPr>
      </w:pPr>
      <w:r w:rsidRPr="00B57DAB">
        <w:rPr>
          <w:rFonts w:ascii="GHEA Grapalat" w:hAnsi="GHEA Grapalat" w:cs="Arial"/>
          <w:i/>
          <w:sz w:val="22"/>
          <w:szCs w:val="22"/>
          <w:lang w:val="hy-AM"/>
        </w:rPr>
        <w:t>Ոչ</w:t>
      </w:r>
      <w:r w:rsidRPr="00B57DAB">
        <w:rPr>
          <w:rFonts w:ascii="GHEA Grapalat" w:hAnsi="GHEA Grapalat" w:cs="Times Armenian"/>
          <w:i/>
          <w:sz w:val="22"/>
          <w:szCs w:val="22"/>
          <w:lang w:val="zu-ZA"/>
        </w:rPr>
        <w:t xml:space="preserve"> </w:t>
      </w:r>
      <w:r w:rsidRPr="00B57DAB">
        <w:rPr>
          <w:rFonts w:ascii="GHEA Grapalat" w:hAnsi="GHEA Grapalat" w:cs="Arial"/>
          <w:i/>
          <w:sz w:val="22"/>
          <w:szCs w:val="22"/>
          <w:lang w:val="hy-AM"/>
        </w:rPr>
        <w:t>վարակիչ</w:t>
      </w:r>
      <w:r w:rsidRPr="00B57DAB">
        <w:rPr>
          <w:rFonts w:ascii="GHEA Grapalat" w:hAnsi="GHEA Grapalat" w:cs="Times Armenian"/>
          <w:i/>
          <w:sz w:val="22"/>
          <w:szCs w:val="22"/>
          <w:lang w:val="zu-ZA"/>
        </w:rPr>
        <w:t xml:space="preserve"> </w:t>
      </w:r>
      <w:r w:rsidRPr="00B57DAB">
        <w:rPr>
          <w:rFonts w:ascii="GHEA Grapalat" w:hAnsi="GHEA Grapalat" w:cs="Arial"/>
          <w:i/>
          <w:sz w:val="22"/>
          <w:szCs w:val="22"/>
          <w:lang w:val="hy-AM"/>
        </w:rPr>
        <w:t>հիվանդությունների</w:t>
      </w:r>
      <w:r w:rsidRPr="00B57DAB">
        <w:rPr>
          <w:rFonts w:ascii="GHEA Grapalat" w:hAnsi="GHEA Grapalat" w:cs="Times Armenian"/>
          <w:i/>
          <w:sz w:val="22"/>
          <w:szCs w:val="22"/>
          <w:lang w:val="zu-ZA"/>
        </w:rPr>
        <w:t xml:space="preserve"> </w:t>
      </w:r>
      <w:r w:rsidRPr="00B57DAB">
        <w:rPr>
          <w:rFonts w:ascii="GHEA Grapalat" w:hAnsi="GHEA Grapalat" w:cs="Arial"/>
          <w:i/>
          <w:sz w:val="22"/>
          <w:szCs w:val="22"/>
          <w:lang w:val="hy-AM"/>
        </w:rPr>
        <w:t>բժշկական</w:t>
      </w:r>
      <w:r w:rsidRPr="00B57DAB">
        <w:rPr>
          <w:rFonts w:ascii="GHEA Grapalat" w:hAnsi="GHEA Grapalat" w:cs="Times Armenian"/>
          <w:i/>
          <w:sz w:val="22"/>
          <w:szCs w:val="22"/>
          <w:lang w:val="zu-ZA"/>
        </w:rPr>
        <w:t xml:space="preserve"> </w:t>
      </w:r>
      <w:r w:rsidRPr="00B57DAB">
        <w:rPr>
          <w:rFonts w:ascii="GHEA Grapalat" w:hAnsi="GHEA Grapalat" w:cs="Arial"/>
          <w:i/>
          <w:sz w:val="22"/>
          <w:szCs w:val="22"/>
          <w:lang w:val="hy-AM"/>
        </w:rPr>
        <w:t>օգնության</w:t>
      </w:r>
      <w:r w:rsidRPr="00B57DAB">
        <w:rPr>
          <w:rFonts w:ascii="GHEA Grapalat" w:hAnsi="GHEA Grapalat" w:cs="Times Armenian"/>
          <w:i/>
          <w:sz w:val="22"/>
          <w:szCs w:val="22"/>
          <w:lang w:val="zu-ZA"/>
        </w:rPr>
        <w:t xml:space="preserve"> </w:t>
      </w:r>
      <w:r w:rsidRPr="00B57DAB">
        <w:rPr>
          <w:rFonts w:ascii="GHEA Grapalat" w:hAnsi="GHEA Grapalat" w:cs="Arial"/>
          <w:i/>
          <w:sz w:val="22"/>
          <w:szCs w:val="22"/>
          <w:lang w:val="hy-AM"/>
        </w:rPr>
        <w:t>ապահովման</w:t>
      </w:r>
      <w:r w:rsidRPr="00B57DAB">
        <w:rPr>
          <w:rFonts w:ascii="GHEA Grapalat" w:hAnsi="GHEA Grapalat" w:cs="Times Armenian"/>
          <w:sz w:val="22"/>
          <w:szCs w:val="22"/>
          <w:lang w:val="zu-ZA"/>
        </w:rPr>
        <w:t xml:space="preserve"> </w:t>
      </w:r>
      <w:r w:rsidRPr="00B57DAB">
        <w:rPr>
          <w:rFonts w:ascii="GHEA Grapalat" w:hAnsi="GHEA Grapalat" w:cs="Arial"/>
          <w:sz w:val="22"/>
          <w:szCs w:val="22"/>
          <w:lang w:val="hy-AM"/>
        </w:rPr>
        <w:t>ծրագրի</w:t>
      </w:r>
      <w:r w:rsidRPr="00B57DAB">
        <w:rPr>
          <w:rFonts w:ascii="GHEA Grapalat" w:hAnsi="GHEA Grapalat" w:cs="Times Armenian"/>
          <w:sz w:val="22"/>
          <w:szCs w:val="22"/>
          <w:lang w:val="zu-ZA"/>
        </w:rPr>
        <w:t xml:space="preserve"> </w:t>
      </w:r>
      <w:r w:rsidRPr="00B57DAB">
        <w:rPr>
          <w:rFonts w:ascii="GHEA Grapalat" w:hAnsi="GHEA Grapalat" w:cs="Arial"/>
          <w:sz w:val="22"/>
          <w:szCs w:val="22"/>
          <w:lang w:val="hy-AM"/>
        </w:rPr>
        <w:t>շրջանակներում</w:t>
      </w:r>
      <w:r w:rsidRPr="00B57DAB">
        <w:rPr>
          <w:rFonts w:ascii="GHEA Grapalat" w:hAnsi="GHEA Grapalat" w:cs="Times Armenian"/>
          <w:sz w:val="22"/>
          <w:szCs w:val="22"/>
          <w:lang w:val="zu-ZA"/>
        </w:rPr>
        <w:t xml:space="preserve"> </w:t>
      </w:r>
      <w:r w:rsidRPr="00B57DAB">
        <w:rPr>
          <w:rFonts w:ascii="GHEA Grapalat" w:hAnsi="GHEA Grapalat" w:cs="Arial"/>
          <w:sz w:val="22"/>
          <w:szCs w:val="22"/>
          <w:lang w:val="hy-AM"/>
        </w:rPr>
        <w:t>օգտագործվել</w:t>
      </w:r>
      <w:r w:rsidRPr="00B57DAB">
        <w:rPr>
          <w:rFonts w:ascii="GHEA Grapalat" w:hAnsi="GHEA Grapalat" w:cs="Times Armenian"/>
          <w:sz w:val="22"/>
          <w:szCs w:val="22"/>
          <w:lang w:val="zu-ZA"/>
        </w:rPr>
        <w:t xml:space="preserve"> </w:t>
      </w:r>
      <w:r w:rsidRPr="00B57DAB">
        <w:rPr>
          <w:rFonts w:ascii="GHEA Grapalat" w:hAnsi="GHEA Grapalat" w:cs="Arial"/>
          <w:sz w:val="22"/>
          <w:szCs w:val="22"/>
          <w:lang w:val="hy-AM"/>
        </w:rPr>
        <w:t>է</w:t>
      </w:r>
      <w:r w:rsidRPr="00B57DAB">
        <w:rPr>
          <w:rFonts w:ascii="GHEA Grapalat" w:hAnsi="GHEA Grapalat" w:cs="Times Armenian"/>
          <w:sz w:val="22"/>
          <w:szCs w:val="22"/>
          <w:lang w:val="zu-ZA"/>
        </w:rPr>
        <w:t xml:space="preserve"> շուրջ 2.7 </w:t>
      </w:r>
      <w:r w:rsidRPr="00B57DAB">
        <w:rPr>
          <w:rFonts w:ascii="GHEA Grapalat" w:hAnsi="GHEA Grapalat" w:cs="Arial"/>
          <w:sz w:val="22"/>
          <w:szCs w:val="22"/>
          <w:lang w:val="hy-AM"/>
        </w:rPr>
        <w:t>մլրդ</w:t>
      </w:r>
      <w:r w:rsidRPr="00B57DAB">
        <w:rPr>
          <w:rFonts w:ascii="GHEA Grapalat" w:hAnsi="GHEA Grapalat" w:cs="Times Armenian"/>
          <w:sz w:val="22"/>
          <w:szCs w:val="22"/>
          <w:lang w:val="zu-ZA"/>
        </w:rPr>
        <w:t xml:space="preserve"> </w:t>
      </w:r>
      <w:r w:rsidRPr="00B57DAB">
        <w:rPr>
          <w:rFonts w:ascii="GHEA Grapalat" w:hAnsi="GHEA Grapalat" w:cs="Arial"/>
          <w:sz w:val="22"/>
          <w:szCs w:val="22"/>
          <w:lang w:val="hy-AM"/>
        </w:rPr>
        <w:t>դրամ</w:t>
      </w:r>
      <w:r w:rsidRPr="00B57DAB">
        <w:rPr>
          <w:rFonts w:ascii="GHEA Grapalat" w:hAnsi="GHEA Grapalat" w:cs="Times Armenian"/>
          <w:sz w:val="22"/>
          <w:szCs w:val="22"/>
          <w:lang w:val="zu-ZA"/>
        </w:rPr>
        <w:t xml:space="preserve">` </w:t>
      </w:r>
      <w:r w:rsidRPr="00B57DAB">
        <w:rPr>
          <w:rFonts w:ascii="GHEA Grapalat" w:hAnsi="GHEA Grapalat" w:cs="Arial"/>
          <w:sz w:val="22"/>
          <w:szCs w:val="22"/>
          <w:lang w:val="hy-AM"/>
        </w:rPr>
        <w:t>կազմելով</w:t>
      </w:r>
      <w:r w:rsidRPr="00B57DAB">
        <w:rPr>
          <w:rFonts w:ascii="GHEA Grapalat" w:hAnsi="GHEA Grapalat" w:cs="Times Armenian"/>
          <w:sz w:val="22"/>
          <w:szCs w:val="22"/>
          <w:lang w:val="zu-ZA"/>
        </w:rPr>
        <w:t xml:space="preserve"> </w:t>
      </w:r>
      <w:r w:rsidRPr="00B57DAB">
        <w:rPr>
          <w:rFonts w:ascii="GHEA Grapalat" w:hAnsi="GHEA Grapalat" w:cs="Arial"/>
          <w:sz w:val="22"/>
          <w:szCs w:val="22"/>
          <w:lang w:val="hy-AM"/>
        </w:rPr>
        <w:t>ծրագրված</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ցուցանիշի</w:t>
      </w:r>
      <w:r w:rsidRPr="00B57DAB">
        <w:rPr>
          <w:rFonts w:ascii="GHEA Grapalat" w:hAnsi="GHEA Grapalat" w:cs="Times Armenian"/>
          <w:sz w:val="22"/>
          <w:szCs w:val="22"/>
          <w:lang w:val="zu-ZA"/>
        </w:rPr>
        <w:t xml:space="preserve"> 96.5%-</w:t>
      </w:r>
      <w:r w:rsidRPr="00B57DAB">
        <w:rPr>
          <w:rFonts w:ascii="GHEA Grapalat" w:hAnsi="GHEA Grapalat" w:cs="Arial"/>
          <w:sz w:val="22"/>
          <w:szCs w:val="22"/>
          <w:lang w:val="hy-AM"/>
        </w:rPr>
        <w:t>ը</w:t>
      </w:r>
      <w:r w:rsidRPr="00B57DAB">
        <w:rPr>
          <w:rFonts w:ascii="GHEA Grapalat" w:hAnsi="GHEA Grapalat" w:cs="Times Armenian"/>
          <w:sz w:val="22"/>
          <w:szCs w:val="22"/>
          <w:lang w:val="zu-ZA"/>
        </w:rPr>
        <w:t xml:space="preserve">: </w:t>
      </w:r>
      <w:r w:rsidRPr="00B57DAB">
        <w:rPr>
          <w:rFonts w:ascii="GHEA Grapalat" w:hAnsi="GHEA Grapalat" w:cs="Arial"/>
          <w:sz w:val="22"/>
          <w:szCs w:val="22"/>
          <w:lang w:val="zu-ZA"/>
        </w:rPr>
        <w:t xml:space="preserve">Ծրագրում ընդգրկված են հինգ </w:t>
      </w:r>
      <w:r w:rsidRPr="00B57DAB">
        <w:rPr>
          <w:rFonts w:ascii="GHEA Grapalat" w:hAnsi="GHEA Grapalat" w:cs="Sylfaen"/>
          <w:sz w:val="22"/>
          <w:szCs w:val="22"/>
          <w:lang w:val="hy-AM"/>
        </w:rPr>
        <w:t>միջոցառումներ</w:t>
      </w:r>
      <w:r w:rsidRPr="00B57DAB">
        <w:rPr>
          <w:rFonts w:ascii="GHEA Grapalat" w:hAnsi="GHEA Grapalat" w:cs="Arial"/>
          <w:sz w:val="22"/>
          <w:szCs w:val="22"/>
          <w:lang w:val="zu-ZA"/>
        </w:rPr>
        <w:t>, որոնցում արձանագրվել են</w:t>
      </w:r>
      <w:r w:rsidR="005A5204" w:rsidRPr="00B57DAB">
        <w:rPr>
          <w:rFonts w:ascii="GHEA Grapalat" w:hAnsi="GHEA Grapalat" w:cs="Arial"/>
          <w:sz w:val="22"/>
          <w:szCs w:val="22"/>
          <w:lang w:val="zu-ZA"/>
        </w:rPr>
        <w:t xml:space="preserve"> որոշակի</w:t>
      </w:r>
      <w:r w:rsidRPr="00B57DAB">
        <w:rPr>
          <w:rFonts w:ascii="GHEA Grapalat" w:hAnsi="GHEA Grapalat" w:cs="Arial"/>
          <w:sz w:val="22"/>
          <w:szCs w:val="22"/>
          <w:lang w:val="zu-ZA"/>
        </w:rPr>
        <w:t xml:space="preserve"> շեղումներ:</w:t>
      </w:r>
    </w:p>
    <w:p w:rsidR="00AC1611" w:rsidRPr="00B57DAB" w:rsidRDefault="00AC1611" w:rsidP="00AC1611">
      <w:pPr>
        <w:autoSpaceDE w:val="0"/>
        <w:autoSpaceDN w:val="0"/>
        <w:adjustRightInd w:val="0"/>
        <w:spacing w:line="360" w:lineRule="auto"/>
        <w:ind w:firstLine="567"/>
        <w:jc w:val="both"/>
        <w:rPr>
          <w:rFonts w:ascii="GHEA Grapalat" w:hAnsi="GHEA Grapalat" w:cs="Sylfaen"/>
          <w:sz w:val="22"/>
          <w:szCs w:val="22"/>
          <w:lang w:val="zu-ZA"/>
        </w:rPr>
      </w:pPr>
      <w:r w:rsidRPr="00B57DAB">
        <w:rPr>
          <w:rFonts w:ascii="GHEA Grapalat" w:hAnsi="GHEA Grapalat" w:cs="Arial"/>
          <w:sz w:val="22"/>
          <w:szCs w:val="22"/>
          <w:lang w:val="hy-AM"/>
        </w:rPr>
        <w:t>Ուռուցքաբանական</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և</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արյունաբանական</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հիվանդությունների</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բժշկական</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օգնության</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ծառայությունների</w:t>
      </w:r>
      <w:r w:rsidRPr="00B57DAB">
        <w:rPr>
          <w:rFonts w:ascii="GHEA Grapalat" w:hAnsi="GHEA Grapalat" w:cs="Times Armenian"/>
          <w:sz w:val="22"/>
          <w:szCs w:val="22"/>
          <w:lang w:val="hy-AM"/>
        </w:rPr>
        <w:t xml:space="preserve"> </w:t>
      </w:r>
      <w:r w:rsidRPr="00B57DAB">
        <w:rPr>
          <w:rFonts w:ascii="GHEA Grapalat" w:hAnsi="GHEA Grapalat" w:cs="Arial"/>
          <w:color w:val="000000"/>
          <w:sz w:val="22"/>
          <w:szCs w:val="22"/>
          <w:lang w:val="hy-AM"/>
        </w:rPr>
        <w:t>շրջանակներում</w:t>
      </w:r>
      <w:r w:rsidRPr="00B57DAB">
        <w:rPr>
          <w:rFonts w:ascii="GHEA Grapalat" w:hAnsi="GHEA Grapalat" w:cs="Sylfaen"/>
          <w:color w:val="000000"/>
          <w:sz w:val="22"/>
          <w:szCs w:val="22"/>
          <w:lang w:val="hy-AM"/>
        </w:rPr>
        <w:t xml:space="preserve"> </w:t>
      </w:r>
      <w:r w:rsidRPr="00B57DAB">
        <w:rPr>
          <w:rFonts w:ascii="GHEA Grapalat" w:hAnsi="GHEA Grapalat" w:cs="Arial"/>
          <w:sz w:val="22"/>
          <w:szCs w:val="22"/>
          <w:lang w:val="hy-AM"/>
        </w:rPr>
        <w:t>բուժօգնություն</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է</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ստացել</w:t>
      </w:r>
      <w:r w:rsidRPr="00B57DAB">
        <w:rPr>
          <w:rFonts w:ascii="GHEA Grapalat" w:hAnsi="GHEA Grapalat" w:cs="Sylfaen"/>
          <w:sz w:val="22"/>
          <w:szCs w:val="22"/>
          <w:lang w:val="hy-AM"/>
        </w:rPr>
        <w:t xml:space="preserve"> 10970 </w:t>
      </w:r>
      <w:r w:rsidRPr="00B57DAB">
        <w:rPr>
          <w:rFonts w:ascii="GHEA Grapalat" w:hAnsi="GHEA Grapalat" w:cs="Arial"/>
          <w:sz w:val="22"/>
          <w:szCs w:val="22"/>
          <w:lang w:val="hy-AM"/>
        </w:rPr>
        <w:t>հիվանդ՝ կանխատեսված</w:t>
      </w:r>
      <w:r w:rsidRPr="00B57DAB">
        <w:rPr>
          <w:rFonts w:ascii="GHEA Grapalat" w:hAnsi="GHEA Grapalat" w:cs="Sylfaen"/>
          <w:sz w:val="22"/>
          <w:szCs w:val="22"/>
          <w:lang w:val="hy-AM"/>
        </w:rPr>
        <w:t xml:space="preserve"> 4500-</w:t>
      </w:r>
      <w:r w:rsidRPr="00B57DAB">
        <w:rPr>
          <w:rFonts w:ascii="GHEA Grapalat" w:hAnsi="GHEA Grapalat" w:cs="Arial"/>
          <w:sz w:val="22"/>
          <w:szCs w:val="22"/>
          <w:lang w:val="hy-AM"/>
        </w:rPr>
        <w:t xml:space="preserve">ի </w:t>
      </w:r>
      <w:r w:rsidRPr="00B57DAB">
        <w:rPr>
          <w:rFonts w:ascii="GHEA Grapalat" w:hAnsi="GHEA Grapalat" w:cs="Sylfaen"/>
          <w:sz w:val="22"/>
          <w:szCs w:val="22"/>
          <w:lang w:val="hy-AM"/>
        </w:rPr>
        <w:t>դիմաց</w:t>
      </w:r>
      <w:r w:rsidRPr="00B57DAB">
        <w:rPr>
          <w:rFonts w:ascii="GHEA Grapalat" w:hAnsi="GHEA Grapalat" w:cs="Arial"/>
          <w:sz w:val="22"/>
          <w:szCs w:val="22"/>
          <w:lang w:val="hy-AM"/>
        </w:rPr>
        <w:t>, իսկ</w:t>
      </w:r>
      <w:r w:rsidRPr="00B57DAB">
        <w:rPr>
          <w:rFonts w:ascii="GHEA Grapalat" w:hAnsi="GHEA Grapalat" w:cs="Arial"/>
          <w:color w:val="000000"/>
          <w:sz w:val="22"/>
          <w:szCs w:val="22"/>
          <w:lang w:val="hy-AM"/>
        </w:rPr>
        <w:t xml:space="preserve"> վիրաբուժական միջամտությունների թիվը կազմել է 2343՝ կանխատեսված 1200-ի դիմաց:</w:t>
      </w:r>
      <w:r w:rsidRPr="00B57DAB">
        <w:rPr>
          <w:rFonts w:ascii="GHEA Grapalat" w:hAnsi="GHEA Grapalat" w:cs="Arial"/>
          <w:sz w:val="22"/>
          <w:szCs w:val="22"/>
          <w:lang w:val="hy-AM"/>
        </w:rPr>
        <w:t xml:space="preserve"> Հոգեկան</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և</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նարկոլոգիական</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հիվանդների</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բժշկական</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օգնության</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ծառայությունների միջոցառման</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շրջանակներում բուժօգնություն</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է</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ստացել</w:t>
      </w:r>
      <w:r w:rsidRPr="00B57DAB">
        <w:rPr>
          <w:rFonts w:ascii="GHEA Grapalat" w:hAnsi="GHEA Grapalat" w:cs="Sylfaen"/>
          <w:sz w:val="22"/>
          <w:szCs w:val="22"/>
          <w:lang w:val="hy-AM"/>
        </w:rPr>
        <w:t xml:space="preserve"> 2785 </w:t>
      </w:r>
      <w:r w:rsidRPr="00B57DAB">
        <w:rPr>
          <w:rFonts w:ascii="GHEA Grapalat" w:hAnsi="GHEA Grapalat" w:cs="Arial"/>
          <w:sz w:val="22"/>
          <w:szCs w:val="22"/>
          <w:lang w:val="hy-AM"/>
        </w:rPr>
        <w:t>հիվանդ</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կանխատեսված</w:t>
      </w:r>
      <w:r w:rsidRPr="00B57DAB">
        <w:rPr>
          <w:rFonts w:ascii="GHEA Grapalat" w:hAnsi="GHEA Grapalat" w:cs="Times Armenian"/>
          <w:sz w:val="22"/>
          <w:szCs w:val="22"/>
          <w:lang w:val="hy-AM"/>
        </w:rPr>
        <w:t xml:space="preserve"> 1278</w:t>
      </w:r>
      <w:r w:rsidRPr="00B57DAB">
        <w:rPr>
          <w:rFonts w:ascii="GHEA Grapalat" w:hAnsi="GHEA Grapalat" w:cs="Times Armenian"/>
          <w:color w:val="000000"/>
          <w:sz w:val="22"/>
          <w:szCs w:val="22"/>
          <w:lang w:val="hy-AM"/>
        </w:rPr>
        <w:t>-</w:t>
      </w:r>
      <w:r w:rsidRPr="00B57DAB">
        <w:rPr>
          <w:rFonts w:ascii="GHEA Grapalat" w:hAnsi="GHEA Grapalat" w:cs="Arial"/>
          <w:color w:val="000000"/>
          <w:sz w:val="22"/>
          <w:szCs w:val="22"/>
          <w:lang w:val="hy-AM"/>
        </w:rPr>
        <w:t>ի</w:t>
      </w:r>
      <w:r w:rsidRPr="00B57DAB">
        <w:rPr>
          <w:rFonts w:ascii="GHEA Grapalat" w:hAnsi="GHEA Grapalat" w:cs="Sylfaen"/>
          <w:color w:val="000000"/>
          <w:sz w:val="22"/>
          <w:szCs w:val="22"/>
          <w:lang w:val="hy-AM"/>
        </w:rPr>
        <w:t xml:space="preserve"> </w:t>
      </w:r>
      <w:r w:rsidRPr="00B57DAB">
        <w:rPr>
          <w:rFonts w:ascii="GHEA Grapalat" w:hAnsi="GHEA Grapalat" w:cs="Arial"/>
          <w:color w:val="000000"/>
          <w:sz w:val="22"/>
          <w:szCs w:val="22"/>
          <w:lang w:val="hy-AM"/>
        </w:rPr>
        <w:t>դիմաց</w:t>
      </w:r>
      <w:r w:rsidRPr="00B57DAB">
        <w:rPr>
          <w:rFonts w:ascii="GHEA Grapalat" w:hAnsi="GHEA Grapalat" w:cs="Sylfaen"/>
          <w:color w:val="000000"/>
          <w:sz w:val="22"/>
          <w:szCs w:val="22"/>
          <w:lang w:val="hy-AM"/>
        </w:rPr>
        <w:t>:</w:t>
      </w:r>
      <w:r w:rsidRPr="00B57DAB">
        <w:rPr>
          <w:rFonts w:ascii="GHEA Grapalat" w:hAnsi="GHEA Grapalat" w:cs="Arial"/>
          <w:color w:val="000000"/>
          <w:sz w:val="22"/>
          <w:szCs w:val="22"/>
          <w:lang w:val="hy-AM"/>
        </w:rPr>
        <w:t xml:space="preserve"> </w:t>
      </w:r>
      <w:r w:rsidRPr="00B57DAB">
        <w:rPr>
          <w:rFonts w:ascii="GHEA Grapalat" w:hAnsi="GHEA Grapalat" w:cs="Arial"/>
          <w:sz w:val="22"/>
          <w:szCs w:val="22"/>
          <w:lang w:val="hy-AM"/>
        </w:rPr>
        <w:t>Հեմոդիալիզի</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և</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պերիտոնիալ</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դիալիզի</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անցկացման ծառայություններին</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հատկացված</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միջոցներով</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պետության</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կողմից</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երաշխավորված</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անվճար</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հիվանդանոցային</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բժշկական</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օգնության</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և</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սպասարկման</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շրջանակներում հաշվետու ժամանակահատվածում</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իրականացվել</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է</w:t>
      </w:r>
      <w:r w:rsidRPr="00B57DAB">
        <w:rPr>
          <w:rFonts w:ascii="GHEA Grapalat" w:hAnsi="GHEA Grapalat" w:cs="Sylfaen"/>
          <w:sz w:val="22"/>
          <w:szCs w:val="22"/>
          <w:lang w:val="hy-AM"/>
        </w:rPr>
        <w:t xml:space="preserve"> 44408 </w:t>
      </w:r>
      <w:r w:rsidRPr="00B57DAB">
        <w:rPr>
          <w:rFonts w:ascii="GHEA Grapalat" w:hAnsi="GHEA Grapalat" w:cs="Arial"/>
          <w:sz w:val="22"/>
          <w:szCs w:val="22"/>
          <w:lang w:val="hy-AM"/>
        </w:rPr>
        <w:t>սեանս</w:t>
      </w:r>
      <w:r w:rsidRPr="00B57DAB">
        <w:rPr>
          <w:rFonts w:ascii="GHEA Grapalat" w:hAnsi="GHEA Grapalat" w:cs="Sylfaen"/>
          <w:sz w:val="22"/>
          <w:szCs w:val="22"/>
          <w:lang w:val="hy-AM"/>
        </w:rPr>
        <w:t>` կան</w:t>
      </w:r>
      <w:r w:rsidRPr="00B57DAB">
        <w:rPr>
          <w:rFonts w:ascii="GHEA Grapalat" w:hAnsi="GHEA Grapalat" w:cs="Arial"/>
          <w:sz w:val="22"/>
          <w:szCs w:val="22"/>
          <w:lang w:val="hy-AM"/>
        </w:rPr>
        <w:t>խատեսված 32000-ի դիմաց: Անհետաձգելի</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բժշկական</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օգնության</w:t>
      </w:r>
      <w:r w:rsidRPr="00B57DAB">
        <w:rPr>
          <w:rFonts w:ascii="GHEA Grapalat" w:hAnsi="GHEA Grapalat" w:cs="Sylfaen"/>
          <w:sz w:val="22"/>
          <w:szCs w:val="22"/>
          <w:lang w:val="hy-AM"/>
        </w:rPr>
        <w:t xml:space="preserve"> մ</w:t>
      </w:r>
      <w:r w:rsidRPr="00B57DAB">
        <w:rPr>
          <w:rFonts w:ascii="GHEA Grapalat" w:hAnsi="GHEA Grapalat"/>
          <w:sz w:val="22"/>
          <w:szCs w:val="22"/>
          <w:lang w:val="hy-AM"/>
        </w:rPr>
        <w:t xml:space="preserve">իջոցառման շրջանակներում </w:t>
      </w:r>
      <w:r w:rsidRPr="00B57DAB">
        <w:rPr>
          <w:rFonts w:ascii="GHEA Grapalat" w:hAnsi="GHEA Grapalat" w:cs="Arial"/>
          <w:sz w:val="22"/>
          <w:szCs w:val="22"/>
          <w:lang w:val="hy-AM"/>
        </w:rPr>
        <w:t>պետության կողմից երաշխավորված անվճար հիվանդանոցային բժշկական օգնության և սպասարկման</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շրջանակներում</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անհետաձգելի</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բուժօգնություն</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է</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ստացել</w:t>
      </w:r>
      <w:r w:rsidRPr="00B57DAB">
        <w:rPr>
          <w:rFonts w:ascii="GHEA Grapalat" w:hAnsi="GHEA Grapalat" w:cs="Sylfaen"/>
          <w:sz w:val="22"/>
          <w:szCs w:val="22"/>
          <w:lang w:val="hy-AM"/>
        </w:rPr>
        <w:t xml:space="preserve"> 8282 </w:t>
      </w:r>
      <w:r w:rsidRPr="00B57DAB">
        <w:rPr>
          <w:rFonts w:ascii="GHEA Grapalat" w:hAnsi="GHEA Grapalat" w:cs="Arial"/>
          <w:sz w:val="22"/>
          <w:szCs w:val="22"/>
          <w:lang w:val="hy-AM"/>
        </w:rPr>
        <w:t>հիվանդ՝</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կանխատեսված</w:t>
      </w:r>
      <w:r w:rsidRPr="00B57DAB">
        <w:rPr>
          <w:rFonts w:ascii="GHEA Grapalat" w:hAnsi="GHEA Grapalat" w:cs="Times Armenian"/>
          <w:sz w:val="22"/>
          <w:szCs w:val="22"/>
          <w:lang w:val="hy-AM"/>
        </w:rPr>
        <w:t xml:space="preserve"> </w:t>
      </w:r>
      <w:r w:rsidRPr="00B57DAB">
        <w:rPr>
          <w:rFonts w:ascii="GHEA Grapalat" w:hAnsi="GHEA Grapalat" w:cs="Times Armenian"/>
          <w:sz w:val="22"/>
          <w:szCs w:val="22"/>
          <w:lang w:val="zu-ZA"/>
        </w:rPr>
        <w:t>5685</w:t>
      </w:r>
      <w:r w:rsidRPr="00B57DAB">
        <w:rPr>
          <w:rFonts w:ascii="GHEA Grapalat" w:hAnsi="GHEA Grapalat" w:cs="Sylfaen"/>
          <w:sz w:val="22"/>
          <w:szCs w:val="22"/>
          <w:lang w:val="hy-AM"/>
        </w:rPr>
        <w:t>-</w:t>
      </w:r>
      <w:r w:rsidRPr="00B57DAB">
        <w:rPr>
          <w:rFonts w:ascii="GHEA Grapalat" w:hAnsi="GHEA Grapalat" w:cs="Arial"/>
          <w:sz w:val="22"/>
          <w:szCs w:val="22"/>
          <w:lang w:val="hy-AM"/>
        </w:rPr>
        <w:t>ի</w:t>
      </w:r>
      <w:r w:rsidRPr="00B57DAB">
        <w:rPr>
          <w:rFonts w:ascii="GHEA Grapalat" w:hAnsi="GHEA Grapalat" w:cs="Sylfaen"/>
          <w:sz w:val="22"/>
          <w:szCs w:val="22"/>
          <w:lang w:val="hy-AM"/>
        </w:rPr>
        <w:t xml:space="preserve"> </w:t>
      </w:r>
      <w:r w:rsidR="001935DA" w:rsidRPr="00B57DAB">
        <w:rPr>
          <w:rFonts w:ascii="GHEA Grapalat" w:hAnsi="GHEA Grapalat" w:cs="Arial"/>
          <w:sz w:val="22"/>
          <w:szCs w:val="22"/>
          <w:lang w:val="hy-AM"/>
        </w:rPr>
        <w:t>դիմաց</w:t>
      </w:r>
      <w:r w:rsidR="001935DA" w:rsidRPr="00B57DAB">
        <w:rPr>
          <w:rFonts w:ascii="GHEA Grapalat" w:hAnsi="GHEA Grapalat" w:cs="Arial"/>
          <w:sz w:val="22"/>
          <w:szCs w:val="22"/>
        </w:rPr>
        <w:t>, որը պայմանավորված է</w:t>
      </w:r>
      <w:r w:rsidRPr="00B57DAB">
        <w:rPr>
          <w:rFonts w:ascii="GHEA Grapalat" w:hAnsi="GHEA Grapalat" w:cs="Arial"/>
          <w:sz w:val="22"/>
          <w:szCs w:val="22"/>
          <w:lang w:val="zu-ZA"/>
        </w:rPr>
        <w:t xml:space="preserve"> միջինից ցածր </w:t>
      </w:r>
      <w:r w:rsidR="001935DA" w:rsidRPr="00B57DAB">
        <w:rPr>
          <w:rFonts w:ascii="GHEA Grapalat" w:hAnsi="GHEA Grapalat" w:cs="Arial"/>
          <w:sz w:val="22"/>
          <w:szCs w:val="22"/>
          <w:lang w:val="zu-ZA"/>
        </w:rPr>
        <w:t>արժեք</w:t>
      </w:r>
      <w:r w:rsidRPr="00B57DAB">
        <w:rPr>
          <w:rFonts w:ascii="GHEA Grapalat" w:hAnsi="GHEA Grapalat" w:cs="Arial"/>
          <w:sz w:val="22"/>
          <w:szCs w:val="22"/>
          <w:lang w:val="zu-ZA"/>
        </w:rPr>
        <w:t xml:space="preserve"> </w:t>
      </w:r>
      <w:r w:rsidR="001935DA" w:rsidRPr="00B57DAB">
        <w:rPr>
          <w:rFonts w:ascii="GHEA Grapalat" w:hAnsi="GHEA Grapalat" w:cs="Arial"/>
          <w:sz w:val="22"/>
          <w:szCs w:val="22"/>
          <w:lang w:val="zu-ZA"/>
        </w:rPr>
        <w:t>ունեցող ծառայությունների</w:t>
      </w:r>
      <w:r w:rsidR="00595E45" w:rsidRPr="00B57DAB">
        <w:rPr>
          <w:rFonts w:ascii="GHEA Grapalat" w:hAnsi="GHEA Grapalat" w:cs="Arial"/>
          <w:sz w:val="22"/>
          <w:szCs w:val="22"/>
          <w:lang w:val="zu-ZA"/>
        </w:rPr>
        <w:t>՝ նախատեսվածից մեծ</w:t>
      </w:r>
      <w:r w:rsidR="001935DA" w:rsidRPr="00B57DAB">
        <w:rPr>
          <w:rFonts w:ascii="GHEA Grapalat" w:hAnsi="GHEA Grapalat" w:cs="Arial"/>
          <w:sz w:val="22"/>
          <w:szCs w:val="22"/>
          <w:lang w:val="zu-ZA"/>
        </w:rPr>
        <w:t xml:space="preserve"> քանակով</w:t>
      </w:r>
      <w:r w:rsidRPr="00B57DAB">
        <w:rPr>
          <w:rFonts w:ascii="GHEA Grapalat" w:hAnsi="GHEA Grapalat" w:cs="Arial"/>
          <w:sz w:val="22"/>
          <w:szCs w:val="22"/>
          <w:lang w:val="zu-ZA"/>
        </w:rPr>
        <w:t>:</w:t>
      </w:r>
      <w:r w:rsidRPr="00B57DAB">
        <w:rPr>
          <w:rFonts w:ascii="GHEA Grapalat" w:hAnsi="GHEA Grapalat" w:cs="Sylfaen"/>
          <w:sz w:val="22"/>
          <w:szCs w:val="22"/>
          <w:lang w:val="zu-ZA"/>
        </w:rPr>
        <w:t xml:space="preserve"> </w:t>
      </w:r>
    </w:p>
    <w:p w:rsidR="00AC1611" w:rsidRPr="00B57DAB" w:rsidRDefault="00AC1611" w:rsidP="00AC1611">
      <w:pPr>
        <w:autoSpaceDE w:val="0"/>
        <w:autoSpaceDN w:val="0"/>
        <w:adjustRightInd w:val="0"/>
        <w:spacing w:line="360" w:lineRule="auto"/>
        <w:ind w:firstLine="567"/>
        <w:jc w:val="both"/>
        <w:rPr>
          <w:rFonts w:ascii="GHEA Grapalat" w:hAnsi="GHEA Grapalat" w:cs="Arial"/>
          <w:sz w:val="22"/>
          <w:szCs w:val="22"/>
        </w:rPr>
      </w:pPr>
      <w:r w:rsidRPr="00B57DAB">
        <w:rPr>
          <w:rFonts w:ascii="GHEA Grapalat" w:hAnsi="GHEA Grapalat" w:cs="Arial"/>
          <w:sz w:val="22"/>
          <w:szCs w:val="22"/>
          <w:lang w:val="zu-ZA"/>
        </w:rPr>
        <w:t xml:space="preserve">Ծրագրի շրջանակներում 754.2 մլն դրամ է տրամադրվել </w:t>
      </w:r>
      <w:r w:rsidRPr="00B57DAB">
        <w:rPr>
          <w:rFonts w:ascii="GHEA Grapalat" w:hAnsi="GHEA Grapalat" w:cs="Arial"/>
          <w:sz w:val="22"/>
          <w:szCs w:val="22"/>
          <w:lang w:val="hy-AM"/>
        </w:rPr>
        <w:t>ուռուցքաբանական և արյունաբանական հիվանդությունների բժշկական օգնության</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ծառայություններին</w:t>
      </w:r>
      <w:r w:rsidRPr="00B57DAB">
        <w:rPr>
          <w:rFonts w:ascii="GHEA Grapalat" w:hAnsi="GHEA Grapalat" w:cs="Arial"/>
          <w:sz w:val="22"/>
          <w:szCs w:val="22"/>
        </w:rPr>
        <w:t>՝</w:t>
      </w:r>
      <w:r w:rsidRPr="00B57DAB">
        <w:rPr>
          <w:rFonts w:ascii="GHEA Grapalat" w:hAnsi="GHEA Grapalat" w:cs="Arial"/>
          <w:sz w:val="22"/>
          <w:szCs w:val="22"/>
          <w:lang w:val="zu-ZA"/>
        </w:rPr>
        <w:t xml:space="preserve"> կազմելով ծրագրված ցուցանիշի </w:t>
      </w:r>
      <w:r w:rsidRPr="00B57DAB">
        <w:rPr>
          <w:rFonts w:ascii="GHEA Grapalat" w:hAnsi="GHEA Grapalat" w:cs="Arial"/>
          <w:sz w:val="22"/>
          <w:szCs w:val="22"/>
          <w:lang w:val="hy-AM"/>
        </w:rPr>
        <w:t>9</w:t>
      </w:r>
      <w:r w:rsidRPr="00B57DAB">
        <w:rPr>
          <w:rFonts w:ascii="GHEA Grapalat" w:hAnsi="GHEA Grapalat" w:cs="Arial"/>
          <w:sz w:val="22"/>
          <w:szCs w:val="22"/>
          <w:lang w:val="zu-ZA"/>
        </w:rPr>
        <w:t>9</w:t>
      </w:r>
      <w:r w:rsidRPr="00B57DAB">
        <w:rPr>
          <w:rFonts w:ascii="GHEA Grapalat" w:hAnsi="GHEA Grapalat" w:cs="Arial"/>
          <w:sz w:val="22"/>
          <w:szCs w:val="22"/>
          <w:lang w:val="hy-AM"/>
        </w:rPr>
        <w:t>.</w:t>
      </w:r>
      <w:r w:rsidRPr="00B57DAB">
        <w:rPr>
          <w:rFonts w:ascii="GHEA Grapalat" w:hAnsi="GHEA Grapalat" w:cs="Arial"/>
          <w:sz w:val="22"/>
          <w:szCs w:val="22"/>
          <w:lang w:val="zu-ZA"/>
        </w:rPr>
        <w:t>1%-ը,</w:t>
      </w:r>
      <w:r w:rsidRPr="00B57DAB">
        <w:rPr>
          <w:rFonts w:ascii="GHEA Grapalat" w:hAnsi="GHEA Grapalat" w:cs="Times Armenian"/>
          <w:sz w:val="22"/>
          <w:szCs w:val="22"/>
          <w:lang w:val="zu-ZA"/>
        </w:rPr>
        <w:t xml:space="preserve"> 550.5 </w:t>
      </w:r>
      <w:r w:rsidRPr="00B57DAB">
        <w:rPr>
          <w:rFonts w:ascii="GHEA Grapalat" w:hAnsi="GHEA Grapalat" w:cs="Arial"/>
          <w:sz w:val="22"/>
          <w:szCs w:val="22"/>
          <w:lang w:val="hy-AM"/>
        </w:rPr>
        <w:t>մլն</w:t>
      </w:r>
      <w:r w:rsidRPr="00B57DAB">
        <w:rPr>
          <w:rFonts w:ascii="GHEA Grapalat" w:hAnsi="GHEA Grapalat" w:cs="Times Armenian"/>
          <w:sz w:val="22"/>
          <w:szCs w:val="22"/>
          <w:lang w:val="zu-ZA"/>
        </w:rPr>
        <w:t xml:space="preserve"> </w:t>
      </w:r>
      <w:r w:rsidRPr="00B57DAB">
        <w:rPr>
          <w:rFonts w:ascii="GHEA Grapalat" w:hAnsi="GHEA Grapalat" w:cs="Arial"/>
          <w:sz w:val="22"/>
          <w:szCs w:val="22"/>
          <w:lang w:val="hy-AM"/>
        </w:rPr>
        <w:t>դրամ</w:t>
      </w:r>
      <w:r w:rsidRPr="00B57DAB">
        <w:rPr>
          <w:rFonts w:ascii="GHEA Grapalat" w:hAnsi="GHEA Grapalat" w:cs="Arial"/>
          <w:sz w:val="22"/>
          <w:szCs w:val="22"/>
          <w:lang w:val="zu-ZA"/>
        </w:rPr>
        <w:t xml:space="preserve"> </w:t>
      </w:r>
      <w:r w:rsidRPr="00B57DAB">
        <w:rPr>
          <w:rFonts w:ascii="GHEA Grapalat" w:hAnsi="GHEA Grapalat" w:cs="Times Armenian"/>
          <w:sz w:val="22"/>
          <w:szCs w:val="22"/>
          <w:lang w:val="zu-ZA"/>
        </w:rPr>
        <w:t>(</w:t>
      </w:r>
      <w:r w:rsidRPr="00B57DAB">
        <w:rPr>
          <w:rFonts w:ascii="GHEA Grapalat" w:hAnsi="GHEA Grapalat" w:cs="Arial"/>
          <w:sz w:val="22"/>
          <w:szCs w:val="22"/>
          <w:lang w:val="hy-AM"/>
        </w:rPr>
        <w:t>նախատեսվածի</w:t>
      </w:r>
      <w:r w:rsidRPr="00B57DAB">
        <w:rPr>
          <w:rFonts w:ascii="GHEA Grapalat" w:hAnsi="GHEA Grapalat" w:cs="Times Armenian"/>
          <w:sz w:val="22"/>
          <w:szCs w:val="22"/>
          <w:lang w:val="zu-ZA"/>
        </w:rPr>
        <w:t xml:space="preserve"> 93.9%-</w:t>
      </w:r>
      <w:r w:rsidRPr="00B57DAB">
        <w:rPr>
          <w:rFonts w:ascii="GHEA Grapalat" w:hAnsi="GHEA Grapalat" w:cs="Arial"/>
          <w:sz w:val="22"/>
          <w:szCs w:val="22"/>
          <w:lang w:val="hy-AM"/>
        </w:rPr>
        <w:t>ը</w:t>
      </w:r>
      <w:r w:rsidRPr="00B57DAB">
        <w:rPr>
          <w:rFonts w:ascii="GHEA Grapalat" w:hAnsi="GHEA Grapalat" w:cs="Times Armenian"/>
          <w:sz w:val="22"/>
          <w:szCs w:val="22"/>
          <w:lang w:val="zu-ZA"/>
        </w:rPr>
        <w:t>)</w:t>
      </w:r>
      <w:r w:rsidRPr="00B57DAB">
        <w:rPr>
          <w:rFonts w:ascii="GHEA Grapalat" w:hAnsi="GHEA Grapalat" w:cs="Arial"/>
          <w:sz w:val="22"/>
          <w:szCs w:val="22"/>
          <w:lang w:val="hy-AM"/>
        </w:rPr>
        <w:t>՝ հոգեկան</w:t>
      </w:r>
      <w:r w:rsidRPr="00B57DAB">
        <w:rPr>
          <w:rFonts w:ascii="GHEA Grapalat" w:hAnsi="GHEA Grapalat" w:cs="Times Armenian"/>
          <w:sz w:val="22"/>
          <w:szCs w:val="22"/>
          <w:lang w:val="zu-ZA"/>
        </w:rPr>
        <w:t xml:space="preserve"> </w:t>
      </w:r>
      <w:r w:rsidRPr="00B57DAB">
        <w:rPr>
          <w:rFonts w:ascii="GHEA Grapalat" w:hAnsi="GHEA Grapalat" w:cs="Arial"/>
          <w:sz w:val="22"/>
          <w:szCs w:val="22"/>
          <w:lang w:val="hy-AM"/>
        </w:rPr>
        <w:t>և</w:t>
      </w:r>
      <w:r w:rsidRPr="00B57DAB">
        <w:rPr>
          <w:rFonts w:ascii="GHEA Grapalat" w:hAnsi="GHEA Grapalat" w:cs="Times Armenian"/>
          <w:sz w:val="22"/>
          <w:szCs w:val="22"/>
          <w:lang w:val="zu-ZA"/>
        </w:rPr>
        <w:t xml:space="preserve"> </w:t>
      </w:r>
      <w:r w:rsidRPr="00B57DAB">
        <w:rPr>
          <w:rFonts w:ascii="GHEA Grapalat" w:hAnsi="GHEA Grapalat" w:cs="Arial"/>
          <w:sz w:val="22"/>
          <w:szCs w:val="22"/>
          <w:lang w:val="hy-AM"/>
        </w:rPr>
        <w:t>նարկոլոգիական</w:t>
      </w:r>
      <w:r w:rsidRPr="00B57DAB">
        <w:rPr>
          <w:rFonts w:ascii="GHEA Grapalat" w:hAnsi="GHEA Grapalat" w:cs="Times Armenian"/>
          <w:sz w:val="22"/>
          <w:szCs w:val="22"/>
          <w:lang w:val="zu-ZA"/>
        </w:rPr>
        <w:t xml:space="preserve"> </w:t>
      </w:r>
      <w:r w:rsidRPr="00B57DAB">
        <w:rPr>
          <w:rFonts w:ascii="GHEA Grapalat" w:hAnsi="GHEA Grapalat" w:cs="Arial"/>
          <w:sz w:val="22"/>
          <w:szCs w:val="22"/>
          <w:lang w:val="hy-AM"/>
        </w:rPr>
        <w:t>հիվանդների</w:t>
      </w:r>
      <w:r w:rsidRPr="00B57DAB">
        <w:rPr>
          <w:rFonts w:ascii="GHEA Grapalat" w:hAnsi="GHEA Grapalat" w:cs="Times Armenian"/>
          <w:sz w:val="22"/>
          <w:szCs w:val="22"/>
          <w:lang w:val="zu-ZA"/>
        </w:rPr>
        <w:t xml:space="preserve"> </w:t>
      </w:r>
      <w:r w:rsidRPr="00B57DAB">
        <w:rPr>
          <w:rFonts w:ascii="GHEA Grapalat" w:hAnsi="GHEA Grapalat" w:cs="Arial"/>
          <w:sz w:val="22"/>
          <w:szCs w:val="22"/>
          <w:lang w:val="hy-AM"/>
        </w:rPr>
        <w:t>բժշկական</w:t>
      </w:r>
      <w:r w:rsidRPr="00B57DAB">
        <w:rPr>
          <w:rFonts w:ascii="GHEA Grapalat" w:hAnsi="GHEA Grapalat" w:cs="Times Armenian"/>
          <w:sz w:val="22"/>
          <w:szCs w:val="22"/>
          <w:lang w:val="zu-ZA"/>
        </w:rPr>
        <w:t xml:space="preserve"> </w:t>
      </w:r>
      <w:r w:rsidRPr="00B57DAB">
        <w:rPr>
          <w:rFonts w:ascii="GHEA Grapalat" w:hAnsi="GHEA Grapalat" w:cs="Arial"/>
          <w:sz w:val="22"/>
          <w:szCs w:val="22"/>
          <w:lang w:val="hy-AM"/>
        </w:rPr>
        <w:t>օգնության</w:t>
      </w:r>
      <w:r w:rsidRPr="00B57DAB">
        <w:rPr>
          <w:rFonts w:ascii="GHEA Grapalat" w:hAnsi="GHEA Grapalat" w:cs="Times Armenian"/>
          <w:sz w:val="22"/>
          <w:szCs w:val="22"/>
          <w:lang w:val="zu-ZA"/>
        </w:rPr>
        <w:t xml:space="preserve"> </w:t>
      </w:r>
      <w:r w:rsidRPr="00B57DAB">
        <w:rPr>
          <w:rFonts w:ascii="GHEA Grapalat" w:hAnsi="GHEA Grapalat" w:cs="Arial"/>
          <w:sz w:val="22"/>
          <w:szCs w:val="22"/>
          <w:lang w:val="hy-AM"/>
        </w:rPr>
        <w:t>ծառայություններին,</w:t>
      </w:r>
      <w:r w:rsidRPr="00B57DAB">
        <w:rPr>
          <w:rFonts w:ascii="GHEA Grapalat" w:hAnsi="GHEA Grapalat" w:cs="Arial"/>
          <w:sz w:val="22"/>
          <w:szCs w:val="22"/>
          <w:lang w:val="zu-ZA"/>
        </w:rPr>
        <w:t xml:space="preserve"> 517.2</w:t>
      </w:r>
      <w:r w:rsidRPr="00B57DAB">
        <w:rPr>
          <w:rFonts w:ascii="GHEA Grapalat" w:hAnsi="GHEA Grapalat" w:cs="Arial"/>
          <w:sz w:val="22"/>
          <w:szCs w:val="22"/>
          <w:lang w:val="hy-AM"/>
        </w:rPr>
        <w:t xml:space="preserve"> </w:t>
      </w:r>
      <w:r w:rsidRPr="00B57DAB">
        <w:rPr>
          <w:rFonts w:ascii="GHEA Grapalat" w:hAnsi="GHEA Grapalat" w:cs="Arial"/>
          <w:sz w:val="22"/>
          <w:szCs w:val="22"/>
        </w:rPr>
        <w:t>մլն</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դրամ (նախատեսվածի 9</w:t>
      </w:r>
      <w:r w:rsidRPr="00B57DAB">
        <w:rPr>
          <w:rFonts w:ascii="GHEA Grapalat" w:hAnsi="GHEA Grapalat" w:cs="Arial"/>
          <w:sz w:val="22"/>
          <w:szCs w:val="22"/>
          <w:lang w:val="zu-ZA"/>
        </w:rPr>
        <w:t>8</w:t>
      </w:r>
      <w:r w:rsidRPr="00B57DAB">
        <w:rPr>
          <w:rFonts w:ascii="GHEA Grapalat" w:hAnsi="GHEA Grapalat" w:cs="Arial"/>
          <w:sz w:val="22"/>
          <w:szCs w:val="22"/>
          <w:lang w:val="hy-AM"/>
        </w:rPr>
        <w:t>.3%-ը)՝ հեմոդիալիզի</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և</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պերիտոնիալ</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դիալիզի անցկացման ծառայությունների</w:t>
      </w:r>
      <w:r w:rsidRPr="00B57DAB">
        <w:rPr>
          <w:rFonts w:ascii="GHEA Grapalat" w:hAnsi="GHEA Grapalat" w:cs="Arial"/>
          <w:sz w:val="22"/>
          <w:szCs w:val="22"/>
        </w:rPr>
        <w:t>ն</w:t>
      </w:r>
      <w:r w:rsidRPr="00B57DAB">
        <w:rPr>
          <w:rFonts w:ascii="GHEA Grapalat" w:hAnsi="GHEA Grapalat" w:cs="Arial"/>
          <w:sz w:val="22"/>
          <w:szCs w:val="22"/>
          <w:lang w:val="zu-ZA"/>
        </w:rPr>
        <w:t xml:space="preserve">, 537.7 մլն դրամ </w:t>
      </w:r>
      <w:r w:rsidRPr="00B57DAB">
        <w:rPr>
          <w:rFonts w:ascii="GHEA Grapalat" w:hAnsi="GHEA Grapalat" w:cs="Times Armenian"/>
          <w:sz w:val="22"/>
          <w:szCs w:val="22"/>
          <w:lang w:val="zu-ZA"/>
        </w:rPr>
        <w:t>(</w:t>
      </w:r>
      <w:r w:rsidRPr="00B57DAB">
        <w:rPr>
          <w:rFonts w:ascii="GHEA Grapalat" w:hAnsi="GHEA Grapalat" w:cs="Arial"/>
          <w:sz w:val="22"/>
          <w:szCs w:val="22"/>
          <w:lang w:val="hy-AM"/>
        </w:rPr>
        <w:t>նախատեսվածի</w:t>
      </w:r>
      <w:r w:rsidRPr="00B57DAB">
        <w:rPr>
          <w:rFonts w:ascii="GHEA Grapalat" w:hAnsi="GHEA Grapalat" w:cs="Times Armenian"/>
          <w:sz w:val="22"/>
          <w:szCs w:val="22"/>
          <w:lang w:val="zu-ZA"/>
        </w:rPr>
        <w:t xml:space="preserve"> 94.8%-</w:t>
      </w:r>
      <w:r w:rsidRPr="00B57DAB">
        <w:rPr>
          <w:rFonts w:ascii="GHEA Grapalat" w:hAnsi="GHEA Grapalat" w:cs="Arial"/>
          <w:sz w:val="22"/>
          <w:szCs w:val="22"/>
          <w:lang w:val="hy-AM"/>
        </w:rPr>
        <w:t>ը</w:t>
      </w:r>
      <w:r w:rsidRPr="00B57DAB">
        <w:rPr>
          <w:rFonts w:ascii="GHEA Grapalat" w:hAnsi="GHEA Grapalat" w:cs="Times Armenian"/>
          <w:sz w:val="22"/>
          <w:szCs w:val="22"/>
          <w:lang w:val="zu-ZA"/>
        </w:rPr>
        <w:t>)</w:t>
      </w:r>
      <w:r w:rsidRPr="00B57DAB">
        <w:rPr>
          <w:rFonts w:ascii="GHEA Grapalat" w:hAnsi="GHEA Grapalat" w:cs="Arial"/>
          <w:sz w:val="22"/>
          <w:szCs w:val="22"/>
          <w:lang w:val="hy-AM"/>
        </w:rPr>
        <w:t>՝ անհետաձգելի</w:t>
      </w:r>
      <w:r w:rsidRPr="00B57DAB">
        <w:rPr>
          <w:rFonts w:ascii="GHEA Grapalat" w:hAnsi="GHEA Grapalat" w:cs="Times Armenian"/>
          <w:sz w:val="22"/>
          <w:szCs w:val="22"/>
          <w:lang w:val="zu-ZA"/>
        </w:rPr>
        <w:t xml:space="preserve"> </w:t>
      </w:r>
      <w:r w:rsidRPr="00B57DAB">
        <w:rPr>
          <w:rFonts w:ascii="GHEA Grapalat" w:hAnsi="GHEA Grapalat" w:cs="Arial"/>
          <w:sz w:val="22"/>
          <w:szCs w:val="22"/>
          <w:lang w:val="hy-AM"/>
        </w:rPr>
        <w:t>բժշկական</w:t>
      </w:r>
      <w:r w:rsidRPr="00B57DAB">
        <w:rPr>
          <w:rFonts w:ascii="GHEA Grapalat" w:hAnsi="GHEA Grapalat" w:cs="Times Armenian"/>
          <w:sz w:val="22"/>
          <w:szCs w:val="22"/>
          <w:lang w:val="zu-ZA"/>
        </w:rPr>
        <w:t xml:space="preserve"> </w:t>
      </w:r>
      <w:r w:rsidRPr="00B57DAB">
        <w:rPr>
          <w:rFonts w:ascii="GHEA Grapalat" w:hAnsi="GHEA Grapalat" w:cs="Arial"/>
          <w:sz w:val="22"/>
          <w:szCs w:val="22"/>
          <w:lang w:val="hy-AM"/>
        </w:rPr>
        <w:t>օգնության ծառայությունների միջոցառումներին:</w:t>
      </w:r>
      <w:r w:rsidR="00660BA0" w:rsidRPr="00B57DAB">
        <w:rPr>
          <w:rFonts w:ascii="GHEA Grapalat" w:hAnsi="GHEA Grapalat" w:cs="Arial"/>
          <w:sz w:val="22"/>
          <w:szCs w:val="22"/>
        </w:rPr>
        <w:t xml:space="preserve"> </w:t>
      </w:r>
      <w:r w:rsidR="00660BA0" w:rsidRPr="00B57DAB">
        <w:rPr>
          <w:rFonts w:ascii="GHEA Grapalat" w:hAnsi="GHEA Grapalat" w:cs="Sylfaen"/>
          <w:sz w:val="22"/>
          <w:szCs w:val="22"/>
          <w:lang w:val="hy-AM"/>
        </w:rPr>
        <w:t>Շեղում</w:t>
      </w:r>
      <w:r w:rsidR="00660BA0" w:rsidRPr="00B57DAB">
        <w:rPr>
          <w:rFonts w:ascii="GHEA Grapalat" w:hAnsi="GHEA Grapalat" w:cs="Sylfaen"/>
          <w:sz w:val="22"/>
          <w:szCs w:val="22"/>
        </w:rPr>
        <w:t>ներ</w:t>
      </w:r>
      <w:r w:rsidR="00660BA0" w:rsidRPr="00B57DAB">
        <w:rPr>
          <w:rFonts w:ascii="GHEA Grapalat" w:hAnsi="GHEA Grapalat" w:cs="Sylfaen"/>
          <w:sz w:val="22"/>
          <w:szCs w:val="22"/>
          <w:lang w:val="hy-AM"/>
        </w:rPr>
        <w:t xml:space="preserve">ը պայմանավորված </w:t>
      </w:r>
      <w:r w:rsidR="00660BA0" w:rsidRPr="00B57DAB">
        <w:rPr>
          <w:rFonts w:ascii="GHEA Grapalat" w:hAnsi="GHEA Grapalat" w:cs="Sylfaen"/>
          <w:sz w:val="22"/>
          <w:szCs w:val="22"/>
        </w:rPr>
        <w:t>են</w:t>
      </w:r>
      <w:r w:rsidR="00660BA0" w:rsidRPr="00B57DAB">
        <w:rPr>
          <w:rFonts w:ascii="GHEA Grapalat" w:hAnsi="GHEA Grapalat" w:cs="Sylfaen"/>
          <w:sz w:val="22"/>
          <w:szCs w:val="22"/>
          <w:lang w:val="hy-AM"/>
        </w:rPr>
        <w:t xml:space="preserve"> առանձին կազմակերպություններ</w:t>
      </w:r>
      <w:r w:rsidR="00660BA0" w:rsidRPr="00B57DAB">
        <w:rPr>
          <w:rFonts w:ascii="GHEA Grapalat" w:hAnsi="GHEA Grapalat" w:cs="Sylfaen"/>
          <w:sz w:val="22"/>
          <w:szCs w:val="22"/>
        </w:rPr>
        <w:t>ում դեպքերի ցածր ցուցանիշով</w:t>
      </w:r>
      <w:r w:rsidR="00660BA0" w:rsidRPr="00B57DAB">
        <w:rPr>
          <w:rFonts w:ascii="GHEA Grapalat" w:hAnsi="GHEA Grapalat" w:cs="Sylfaen"/>
          <w:sz w:val="22"/>
          <w:szCs w:val="22"/>
          <w:lang w:val="hy-AM"/>
        </w:rPr>
        <w:t xml:space="preserve">, որոնց ֆինանսավորումն իրականացվել է փաստացի կատարողականի դիմաց, իսկ </w:t>
      </w:r>
      <w:r w:rsidR="00660BA0" w:rsidRPr="00B57DAB">
        <w:rPr>
          <w:rFonts w:ascii="GHEA Grapalat" w:hAnsi="GHEA Grapalat" w:cs="Sylfaen"/>
          <w:sz w:val="22"/>
          <w:szCs w:val="22"/>
        </w:rPr>
        <w:t xml:space="preserve">դեպքերի </w:t>
      </w:r>
      <w:r w:rsidR="00660BA0" w:rsidRPr="00B57DAB">
        <w:rPr>
          <w:rFonts w:ascii="GHEA Grapalat" w:hAnsi="GHEA Grapalat" w:cs="Sylfaen"/>
          <w:sz w:val="22"/>
          <w:szCs w:val="22"/>
          <w:lang w:val="hy-AM"/>
        </w:rPr>
        <w:t>գերակատարո</w:t>
      </w:r>
      <w:r w:rsidR="00660BA0" w:rsidRPr="00B57DAB">
        <w:rPr>
          <w:rFonts w:ascii="GHEA Grapalat" w:hAnsi="GHEA Grapalat" w:cs="Sylfaen"/>
          <w:sz w:val="22"/>
          <w:szCs w:val="22"/>
        </w:rPr>
        <w:t>ւմ ունեցող</w:t>
      </w:r>
      <w:r w:rsidR="00660BA0" w:rsidRPr="00B57DAB">
        <w:rPr>
          <w:rFonts w:ascii="GHEA Grapalat" w:hAnsi="GHEA Grapalat" w:cs="Sylfaen"/>
          <w:sz w:val="22"/>
          <w:szCs w:val="22"/>
          <w:lang w:val="hy-AM"/>
        </w:rPr>
        <w:t xml:space="preserve"> հիմնարկները ֆինանսավորվել են</w:t>
      </w:r>
      <w:r w:rsidR="00660BA0" w:rsidRPr="00B57DAB">
        <w:rPr>
          <w:rFonts w:ascii="GHEA Grapalat" w:hAnsi="GHEA Grapalat" w:cs="Sylfaen"/>
          <w:sz w:val="22"/>
          <w:szCs w:val="22"/>
        </w:rPr>
        <w:t xml:space="preserve"> </w:t>
      </w:r>
      <w:r w:rsidR="00660BA0" w:rsidRPr="00B57DAB">
        <w:rPr>
          <w:rFonts w:ascii="GHEA Grapalat" w:hAnsi="GHEA Grapalat" w:cs="Sylfaen"/>
          <w:sz w:val="22"/>
          <w:szCs w:val="22"/>
          <w:lang w:val="hy-AM"/>
        </w:rPr>
        <w:t xml:space="preserve">նախատեսվածի չափով` փաստացի կատարողականներից </w:t>
      </w:r>
      <w:r w:rsidR="00660BA0" w:rsidRPr="00B57DAB">
        <w:rPr>
          <w:rFonts w:ascii="GHEA Grapalat" w:hAnsi="GHEA Grapalat" w:cs="Sylfaen"/>
          <w:sz w:val="22"/>
          <w:szCs w:val="22"/>
        </w:rPr>
        <w:t>պակաս</w:t>
      </w:r>
      <w:r w:rsidR="00660BA0" w:rsidRPr="00B57DAB">
        <w:rPr>
          <w:rFonts w:ascii="GHEA Grapalat" w:hAnsi="GHEA Grapalat" w:cs="Sylfaen"/>
          <w:sz w:val="22"/>
          <w:szCs w:val="22"/>
          <w:lang w:val="hy-AM"/>
        </w:rPr>
        <w:t>:</w:t>
      </w:r>
    </w:p>
    <w:p w:rsidR="00AC1611" w:rsidRPr="00B57DAB" w:rsidRDefault="00AC1611" w:rsidP="00AC1611">
      <w:pPr>
        <w:spacing w:line="360" w:lineRule="auto"/>
        <w:ind w:firstLine="567"/>
        <w:jc w:val="both"/>
        <w:rPr>
          <w:rFonts w:ascii="GHEA Grapalat" w:hAnsi="GHEA Grapalat" w:cs="Arial"/>
          <w:sz w:val="22"/>
          <w:szCs w:val="22"/>
          <w:lang w:val="hy-AM"/>
        </w:rPr>
      </w:pPr>
      <w:r w:rsidRPr="00B57DAB">
        <w:rPr>
          <w:rFonts w:ascii="GHEA Grapalat" w:hAnsi="GHEA Grapalat" w:cs="Arial"/>
          <w:sz w:val="22"/>
          <w:szCs w:val="22"/>
          <w:lang w:val="hy-AM"/>
        </w:rPr>
        <w:t>Նախորդ տարվա առաջին եռամսյակի</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 xml:space="preserve">համեմատ Ոչ վարակիչ հիվանդությունների բժշկական օգնության ապահովման ծրագրի ծախսերը նվազել են 3.8%-ով կամ 104.3 մլն դրամով՝ </w:t>
      </w:r>
      <w:r w:rsidRPr="00B57DAB">
        <w:rPr>
          <w:rFonts w:ascii="GHEA Grapalat" w:hAnsi="GHEA Grapalat" w:cs="Arial"/>
          <w:sz w:val="22"/>
          <w:szCs w:val="22"/>
          <w:lang w:val="hy-AM"/>
        </w:rPr>
        <w:lastRenderedPageBreak/>
        <w:t>հիմնականում պայմանավորված հոգեկան և նարկոլոգիական հիվանդների բժշկական օգնության ու անհետաձգելի</w:t>
      </w:r>
      <w:r w:rsidR="00595E45" w:rsidRPr="00B57DAB">
        <w:rPr>
          <w:rFonts w:ascii="GHEA Grapalat" w:hAnsi="GHEA Grapalat" w:cs="Arial"/>
          <w:sz w:val="22"/>
          <w:szCs w:val="22"/>
        </w:rPr>
        <w:t xml:space="preserve"> </w:t>
      </w:r>
      <w:r w:rsidR="00595E45" w:rsidRPr="00B57DAB">
        <w:rPr>
          <w:rFonts w:ascii="GHEA Grapalat" w:hAnsi="GHEA Grapalat" w:cs="Arial"/>
          <w:sz w:val="22"/>
          <w:szCs w:val="22"/>
          <w:lang w:val="hy-AM"/>
        </w:rPr>
        <w:t>բժշկական օգնության</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ծառայությունների ծախսերի համապատասխանաբար 7</w:t>
      </w:r>
      <w:r w:rsidRPr="00B57DAB">
        <w:rPr>
          <w:rFonts w:ascii="GHEA Grapalat" w:hAnsi="GHEA Grapalat" w:cs="Arial"/>
          <w:sz w:val="22"/>
          <w:szCs w:val="22"/>
          <w:lang w:val="zu-ZA"/>
        </w:rPr>
        <w:t>.4</w:t>
      </w:r>
      <w:r w:rsidRPr="00B57DAB">
        <w:rPr>
          <w:rFonts w:ascii="GHEA Grapalat" w:hAnsi="GHEA Grapalat" w:cs="Arial"/>
          <w:sz w:val="22"/>
          <w:szCs w:val="22"/>
          <w:lang w:val="hy-AM"/>
        </w:rPr>
        <w:t>% (44</w:t>
      </w:r>
      <w:r w:rsidRPr="00B57DAB">
        <w:rPr>
          <w:rFonts w:ascii="GHEA Grapalat" w:hAnsi="GHEA Grapalat" w:cs="Arial"/>
          <w:sz w:val="22"/>
          <w:szCs w:val="22"/>
          <w:lang w:val="zu-ZA"/>
        </w:rPr>
        <w:t>.1</w:t>
      </w:r>
      <w:r w:rsidRPr="00B57DAB">
        <w:rPr>
          <w:rFonts w:ascii="GHEA Grapalat" w:hAnsi="GHEA Grapalat" w:cs="Arial"/>
          <w:sz w:val="22"/>
          <w:szCs w:val="22"/>
          <w:lang w:val="hy-AM"/>
        </w:rPr>
        <w:t xml:space="preserve"> մլն դրամ) և 5</w:t>
      </w:r>
      <w:r w:rsidRPr="00B57DAB">
        <w:rPr>
          <w:rFonts w:ascii="GHEA Grapalat" w:hAnsi="GHEA Grapalat" w:cs="Arial"/>
          <w:sz w:val="22"/>
          <w:szCs w:val="22"/>
          <w:lang w:val="zu-ZA"/>
        </w:rPr>
        <w:t>.2</w:t>
      </w:r>
      <w:r w:rsidRPr="00B57DAB">
        <w:rPr>
          <w:rFonts w:ascii="GHEA Grapalat" w:hAnsi="GHEA Grapalat" w:cs="Arial"/>
          <w:sz w:val="22"/>
          <w:szCs w:val="22"/>
          <w:lang w:val="hy-AM"/>
        </w:rPr>
        <w:t>% (29</w:t>
      </w:r>
      <w:r w:rsidRPr="00B57DAB">
        <w:rPr>
          <w:rFonts w:ascii="GHEA Grapalat" w:hAnsi="GHEA Grapalat" w:cs="Arial"/>
          <w:sz w:val="22"/>
          <w:szCs w:val="22"/>
          <w:lang w:val="zu-ZA"/>
        </w:rPr>
        <w:t>.8</w:t>
      </w:r>
      <w:r w:rsidRPr="00B57DAB">
        <w:rPr>
          <w:rFonts w:ascii="GHEA Grapalat" w:hAnsi="GHEA Grapalat" w:cs="Arial"/>
          <w:sz w:val="22"/>
          <w:szCs w:val="22"/>
          <w:lang w:val="hy-AM"/>
        </w:rPr>
        <w:t xml:space="preserve"> մլն դրամ) նվազմամբ։</w:t>
      </w:r>
    </w:p>
    <w:p w:rsidR="00AC1611" w:rsidRPr="00B57DAB" w:rsidRDefault="00AC1611" w:rsidP="00AC1611">
      <w:pPr>
        <w:autoSpaceDE w:val="0"/>
        <w:autoSpaceDN w:val="0"/>
        <w:adjustRightInd w:val="0"/>
        <w:spacing w:line="360" w:lineRule="auto"/>
        <w:ind w:firstLine="567"/>
        <w:jc w:val="both"/>
        <w:rPr>
          <w:rFonts w:ascii="GHEA Grapalat" w:hAnsi="GHEA Grapalat" w:cs="Sylfaen"/>
          <w:sz w:val="22"/>
          <w:szCs w:val="22"/>
          <w:lang w:val="hy-AM"/>
        </w:rPr>
      </w:pPr>
      <w:r w:rsidRPr="00B57DAB">
        <w:rPr>
          <w:rFonts w:ascii="GHEA Grapalat" w:hAnsi="GHEA Grapalat" w:cs="Arial"/>
          <w:sz w:val="22"/>
          <w:szCs w:val="22"/>
          <w:lang w:val="hy-AM"/>
        </w:rPr>
        <w:t xml:space="preserve">2022 թվականի առաջին եռամսյակի ընթացքում շուրջ 4.1 մլրդ դրամ է տրամադրվել </w:t>
      </w:r>
      <w:r w:rsidRPr="00B57DAB">
        <w:rPr>
          <w:rFonts w:ascii="GHEA Grapalat" w:hAnsi="GHEA Grapalat" w:cs="Arial"/>
          <w:i/>
          <w:sz w:val="22"/>
          <w:szCs w:val="22"/>
          <w:lang w:val="hy-AM"/>
        </w:rPr>
        <w:t>Սոցիալապես անապահով և առանձին խմբերի անձանց բժշկական օգնության</w:t>
      </w:r>
      <w:r w:rsidRPr="00B57DAB">
        <w:rPr>
          <w:rFonts w:ascii="GHEA Grapalat" w:hAnsi="GHEA Grapalat" w:cs="Arial"/>
          <w:sz w:val="22"/>
          <w:szCs w:val="22"/>
          <w:lang w:val="hy-AM"/>
        </w:rPr>
        <w:t xml:space="preserve"> ծրագրին՝ ապահովելով 92.1% կատարողական</w:t>
      </w:r>
      <w:r w:rsidRPr="00B57DAB">
        <w:rPr>
          <w:rFonts w:ascii="GHEA Grapalat" w:hAnsi="GHEA Grapalat" w:cs="Times Armenian"/>
          <w:sz w:val="22"/>
          <w:szCs w:val="22"/>
          <w:lang w:val="hy-AM"/>
        </w:rPr>
        <w:t>:</w:t>
      </w:r>
      <w:r w:rsidRPr="00B57DAB">
        <w:rPr>
          <w:rFonts w:ascii="GHEA Grapalat" w:hAnsi="GHEA Grapalat" w:cs="Arial"/>
          <w:sz w:val="22"/>
          <w:szCs w:val="22"/>
          <w:lang w:val="hy-AM"/>
        </w:rPr>
        <w:t xml:space="preserve"> Ծրագրում</w:t>
      </w:r>
      <w:r w:rsidRPr="00B57DAB">
        <w:rPr>
          <w:rFonts w:ascii="GHEA Grapalat" w:hAnsi="GHEA Grapalat" w:cs="Times Armenian"/>
          <w:sz w:val="22"/>
          <w:szCs w:val="22"/>
          <w:lang w:val="zu-ZA"/>
        </w:rPr>
        <w:t xml:space="preserve"> </w:t>
      </w:r>
      <w:r w:rsidRPr="00B57DAB">
        <w:rPr>
          <w:rFonts w:ascii="GHEA Grapalat" w:hAnsi="GHEA Grapalat" w:cs="Sylfaen"/>
          <w:sz w:val="22"/>
          <w:szCs w:val="22"/>
          <w:lang w:val="hy-AM"/>
        </w:rPr>
        <w:t>ընդգրկված</w:t>
      </w:r>
      <w:r w:rsidRPr="00B57DAB">
        <w:rPr>
          <w:rFonts w:ascii="GHEA Grapalat" w:hAnsi="GHEA Grapalat" w:cs="Times Armenian"/>
          <w:sz w:val="22"/>
          <w:szCs w:val="22"/>
          <w:lang w:val="zu-ZA"/>
        </w:rPr>
        <w:t xml:space="preserve"> </w:t>
      </w:r>
      <w:r w:rsidRPr="00B57DAB">
        <w:rPr>
          <w:rFonts w:ascii="GHEA Grapalat" w:hAnsi="GHEA Grapalat" w:cs="Arial"/>
          <w:sz w:val="22"/>
          <w:szCs w:val="22"/>
          <w:lang w:val="hy-AM"/>
        </w:rPr>
        <w:t>են</w:t>
      </w:r>
      <w:r w:rsidRPr="00B57DAB">
        <w:rPr>
          <w:rFonts w:ascii="GHEA Grapalat" w:hAnsi="GHEA Grapalat" w:cs="Times Armenian"/>
          <w:sz w:val="22"/>
          <w:szCs w:val="22"/>
          <w:lang w:val="zu-ZA"/>
        </w:rPr>
        <w:t xml:space="preserve"> հինգ </w:t>
      </w:r>
      <w:r w:rsidRPr="00B57DAB">
        <w:rPr>
          <w:rFonts w:ascii="GHEA Grapalat" w:hAnsi="GHEA Grapalat" w:cs="Arial"/>
          <w:sz w:val="22"/>
          <w:szCs w:val="22"/>
          <w:lang w:val="hy-AM"/>
        </w:rPr>
        <w:t>միջոցառումներ</w:t>
      </w:r>
      <w:r w:rsidRPr="00B57DAB">
        <w:rPr>
          <w:rFonts w:ascii="GHEA Grapalat" w:hAnsi="GHEA Grapalat" w:cs="Times Armenian"/>
          <w:sz w:val="22"/>
          <w:szCs w:val="22"/>
          <w:lang w:val="zu-ZA"/>
        </w:rPr>
        <w:t xml:space="preserve">, </w:t>
      </w:r>
      <w:r w:rsidRPr="00B57DAB">
        <w:rPr>
          <w:rFonts w:ascii="GHEA Grapalat" w:hAnsi="GHEA Grapalat" w:cs="Arial"/>
          <w:sz w:val="22"/>
          <w:szCs w:val="22"/>
          <w:lang w:val="zu-ZA"/>
        </w:rPr>
        <w:t xml:space="preserve">որոնցում </w:t>
      </w:r>
      <w:r w:rsidRPr="00B57DAB">
        <w:rPr>
          <w:rFonts w:ascii="GHEA Grapalat" w:hAnsi="GHEA Grapalat" w:cs="Arial"/>
          <w:sz w:val="22"/>
          <w:szCs w:val="22"/>
          <w:lang w:val="hy-AM"/>
        </w:rPr>
        <w:t>արձանագրվել</w:t>
      </w:r>
      <w:r w:rsidRPr="00B57DAB">
        <w:rPr>
          <w:rFonts w:ascii="GHEA Grapalat" w:hAnsi="GHEA Grapalat" w:cs="Times Armenian"/>
          <w:sz w:val="22"/>
          <w:szCs w:val="22"/>
          <w:lang w:val="zu-ZA"/>
        </w:rPr>
        <w:t xml:space="preserve"> </w:t>
      </w:r>
      <w:r w:rsidRPr="00B57DAB">
        <w:rPr>
          <w:rFonts w:ascii="GHEA Grapalat" w:hAnsi="GHEA Grapalat" w:cs="Arial"/>
          <w:sz w:val="22"/>
          <w:szCs w:val="22"/>
          <w:lang w:val="hy-AM"/>
        </w:rPr>
        <w:t>են</w:t>
      </w:r>
      <w:r w:rsidRPr="00B57DAB">
        <w:rPr>
          <w:rFonts w:ascii="GHEA Grapalat" w:hAnsi="GHEA Grapalat" w:cs="Times Armenian"/>
          <w:sz w:val="22"/>
          <w:szCs w:val="22"/>
          <w:lang w:val="zu-ZA"/>
        </w:rPr>
        <w:t xml:space="preserve"> </w:t>
      </w:r>
      <w:r w:rsidRPr="00B57DAB">
        <w:rPr>
          <w:rFonts w:ascii="GHEA Grapalat" w:hAnsi="GHEA Grapalat" w:cs="Arial"/>
          <w:sz w:val="22"/>
          <w:szCs w:val="22"/>
          <w:lang w:val="hy-AM"/>
        </w:rPr>
        <w:t>շեղումներ:</w:t>
      </w:r>
    </w:p>
    <w:p w:rsidR="00AC1611" w:rsidRPr="00B57DAB" w:rsidRDefault="00AC1611" w:rsidP="00AC1611">
      <w:pPr>
        <w:autoSpaceDE w:val="0"/>
        <w:autoSpaceDN w:val="0"/>
        <w:adjustRightInd w:val="0"/>
        <w:spacing w:line="360" w:lineRule="auto"/>
        <w:ind w:firstLine="567"/>
        <w:jc w:val="both"/>
        <w:rPr>
          <w:rFonts w:ascii="GHEA Grapalat" w:hAnsi="GHEA Grapalat" w:cs="Sylfaen"/>
          <w:sz w:val="22"/>
          <w:szCs w:val="22"/>
          <w:lang w:val="zu-ZA"/>
        </w:rPr>
      </w:pPr>
      <w:r w:rsidRPr="00B57DAB">
        <w:rPr>
          <w:rFonts w:ascii="GHEA Grapalat" w:hAnsi="GHEA Grapalat" w:cs="Arial"/>
          <w:sz w:val="22"/>
          <w:szCs w:val="22"/>
          <w:lang w:val="hy-AM"/>
        </w:rPr>
        <w:t>Սոցիալապես</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անապահով</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և</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հատուկ</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խմբերում</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ընդգրկվածներին</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տրամադրվող</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բժշկական</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օգնության</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ծառայությունների շրջանակներում</w:t>
      </w:r>
      <w:r w:rsidRPr="00B57DAB">
        <w:rPr>
          <w:rFonts w:ascii="GHEA Grapalat" w:hAnsi="GHEA Grapalat" w:cs="Sylfaen"/>
          <w:sz w:val="22"/>
          <w:szCs w:val="22"/>
          <w:lang w:val="hy-AM"/>
        </w:rPr>
        <w:t xml:space="preserve"> պ</w:t>
      </w:r>
      <w:r w:rsidRPr="00B57DAB">
        <w:rPr>
          <w:rFonts w:ascii="GHEA Grapalat" w:hAnsi="GHEA Grapalat" w:cs="Arial"/>
          <w:sz w:val="22"/>
          <w:szCs w:val="22"/>
          <w:lang w:val="hy-AM"/>
        </w:rPr>
        <w:t>ետության</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կողմից</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երաշխավորված</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անվճար</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հիվանդանոցային</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բժշկական</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օգնություն</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է</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ստացել</w:t>
      </w:r>
      <w:r w:rsidRPr="00B57DAB">
        <w:rPr>
          <w:rFonts w:ascii="GHEA Grapalat" w:hAnsi="GHEA Grapalat" w:cs="Sylfaen"/>
          <w:sz w:val="22"/>
          <w:szCs w:val="22"/>
          <w:lang w:val="hy-AM"/>
        </w:rPr>
        <w:t xml:space="preserve"> 71871 </w:t>
      </w:r>
      <w:r w:rsidRPr="00B57DAB">
        <w:rPr>
          <w:rFonts w:ascii="GHEA Grapalat" w:hAnsi="GHEA Grapalat" w:cs="Arial"/>
          <w:sz w:val="22"/>
          <w:szCs w:val="22"/>
          <w:lang w:val="hy-AM"/>
        </w:rPr>
        <w:t>հիվանդ</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կանխատեսված 35000-ի դիմաց: 2022 թվականին առաջին եռամսյակի ընթացքում սոցիալապես</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անապահով</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և</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հատուկ</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խմբերում</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ընդգրկվածներին</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տրամադրվող</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բժշկական</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օգնության</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ծառայությունների</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ֆինանսավորմանը</w:t>
      </w:r>
      <w:r w:rsidR="00F15A97" w:rsidRPr="00B57DAB">
        <w:rPr>
          <w:rFonts w:ascii="GHEA Grapalat" w:hAnsi="GHEA Grapalat" w:cs="Arial"/>
          <w:sz w:val="22"/>
          <w:szCs w:val="22"/>
        </w:rPr>
        <w:t xml:space="preserve"> տրամադրվել է </w:t>
      </w:r>
      <w:r w:rsidR="00F15A97" w:rsidRPr="00B57DAB">
        <w:rPr>
          <w:rFonts w:ascii="GHEA Grapalat" w:hAnsi="GHEA Grapalat" w:cs="Arial"/>
          <w:sz w:val="22"/>
          <w:szCs w:val="22"/>
          <w:lang w:val="hy-AM"/>
        </w:rPr>
        <w:t xml:space="preserve">շուրջ </w:t>
      </w:r>
      <w:r w:rsidR="00F15A97" w:rsidRPr="00B57DAB">
        <w:rPr>
          <w:rFonts w:ascii="GHEA Grapalat" w:hAnsi="GHEA Grapalat" w:cs="Sylfaen"/>
          <w:sz w:val="22"/>
          <w:szCs w:val="22"/>
          <w:lang w:val="hy-AM"/>
        </w:rPr>
        <w:t xml:space="preserve">3.1 </w:t>
      </w:r>
      <w:r w:rsidR="00F15A97" w:rsidRPr="00B57DAB">
        <w:rPr>
          <w:rFonts w:ascii="GHEA Grapalat" w:hAnsi="GHEA Grapalat" w:cs="Arial"/>
          <w:sz w:val="22"/>
          <w:szCs w:val="22"/>
          <w:lang w:val="hy-AM"/>
        </w:rPr>
        <w:t>մլրդ</w:t>
      </w:r>
      <w:r w:rsidR="00F15A97" w:rsidRPr="00B57DAB">
        <w:rPr>
          <w:rFonts w:ascii="GHEA Grapalat" w:hAnsi="GHEA Grapalat" w:cs="Sylfaen"/>
          <w:sz w:val="22"/>
          <w:szCs w:val="22"/>
          <w:lang w:val="hy-AM"/>
        </w:rPr>
        <w:t xml:space="preserve"> </w:t>
      </w:r>
      <w:r w:rsidR="00F15A97" w:rsidRPr="00B57DAB">
        <w:rPr>
          <w:rFonts w:ascii="GHEA Grapalat" w:hAnsi="GHEA Grapalat" w:cs="Arial"/>
          <w:sz w:val="22"/>
          <w:szCs w:val="22"/>
          <w:lang w:val="hy-AM"/>
        </w:rPr>
        <w:t>դրամ</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ապահովելով</w:t>
      </w:r>
      <w:r w:rsidRPr="00B57DAB">
        <w:rPr>
          <w:rFonts w:ascii="GHEA Grapalat" w:hAnsi="GHEA Grapalat" w:cs="Sylfaen"/>
          <w:sz w:val="22"/>
          <w:szCs w:val="22"/>
          <w:lang w:val="hy-AM"/>
        </w:rPr>
        <w:t xml:space="preserve"> 97.8% </w:t>
      </w:r>
      <w:r w:rsidRPr="00B57DAB">
        <w:rPr>
          <w:rFonts w:ascii="GHEA Grapalat" w:hAnsi="GHEA Grapalat" w:cs="Arial"/>
          <w:sz w:val="22"/>
          <w:szCs w:val="22"/>
          <w:lang w:val="hy-AM"/>
        </w:rPr>
        <w:t>կատարողական</w:t>
      </w:r>
      <w:r w:rsidR="00475F70" w:rsidRPr="00B57DAB">
        <w:rPr>
          <w:rFonts w:ascii="GHEA Grapalat" w:hAnsi="GHEA Grapalat" w:cs="Arial"/>
          <w:sz w:val="22"/>
          <w:szCs w:val="22"/>
        </w:rPr>
        <w:t>: Շեղում</w:t>
      </w:r>
      <w:r w:rsidRPr="00B57DAB">
        <w:rPr>
          <w:rFonts w:ascii="GHEA Grapalat" w:hAnsi="GHEA Grapalat" w:cs="Arial"/>
          <w:sz w:val="22"/>
          <w:szCs w:val="22"/>
          <w:lang w:val="hy-AM"/>
        </w:rPr>
        <w:t xml:space="preserve">ը </w:t>
      </w:r>
      <w:r w:rsidRPr="00B57DAB">
        <w:rPr>
          <w:rFonts w:ascii="GHEA Grapalat" w:hAnsi="GHEA Grapalat" w:cs="Times Armenian"/>
          <w:sz w:val="22"/>
          <w:szCs w:val="22"/>
          <w:lang w:val="zu-ZA"/>
        </w:rPr>
        <w:t xml:space="preserve">հիմնականում պայմանավորված է </w:t>
      </w:r>
      <w:r w:rsidR="00475F70" w:rsidRPr="00B57DAB">
        <w:rPr>
          <w:rFonts w:ascii="GHEA Grapalat" w:hAnsi="GHEA Grapalat" w:cs="Sylfaen"/>
          <w:sz w:val="22"/>
          <w:szCs w:val="22"/>
          <w:lang w:val="hy-AM"/>
        </w:rPr>
        <w:t>առանձին կազմակերպություններ</w:t>
      </w:r>
      <w:r w:rsidR="00475F70" w:rsidRPr="00B57DAB">
        <w:rPr>
          <w:rFonts w:ascii="GHEA Grapalat" w:hAnsi="GHEA Grapalat" w:cs="Sylfaen"/>
          <w:sz w:val="22"/>
          <w:szCs w:val="22"/>
        </w:rPr>
        <w:t>ում դեպքերի ցածր ցուցանիշով</w:t>
      </w:r>
      <w:r w:rsidR="00475F70" w:rsidRPr="00B57DAB">
        <w:rPr>
          <w:rFonts w:ascii="GHEA Grapalat" w:hAnsi="GHEA Grapalat" w:cs="Sylfaen"/>
          <w:sz w:val="22"/>
          <w:szCs w:val="22"/>
          <w:lang w:val="hy-AM"/>
        </w:rPr>
        <w:t xml:space="preserve">, որոնց ֆինանսավորումն իրականացվել է փաստացի կատարողականի դիմաց, իսկ </w:t>
      </w:r>
      <w:r w:rsidR="00475F70" w:rsidRPr="00B57DAB">
        <w:rPr>
          <w:rFonts w:ascii="GHEA Grapalat" w:hAnsi="GHEA Grapalat" w:cs="Sylfaen"/>
          <w:sz w:val="22"/>
          <w:szCs w:val="22"/>
        </w:rPr>
        <w:t xml:space="preserve">դեպքերի </w:t>
      </w:r>
      <w:r w:rsidR="00475F70" w:rsidRPr="00B57DAB">
        <w:rPr>
          <w:rFonts w:ascii="GHEA Grapalat" w:hAnsi="GHEA Grapalat" w:cs="Sylfaen"/>
          <w:sz w:val="22"/>
          <w:szCs w:val="22"/>
          <w:lang w:val="hy-AM"/>
        </w:rPr>
        <w:t>գերակատարո</w:t>
      </w:r>
      <w:r w:rsidR="00475F70" w:rsidRPr="00B57DAB">
        <w:rPr>
          <w:rFonts w:ascii="GHEA Grapalat" w:hAnsi="GHEA Grapalat" w:cs="Sylfaen"/>
          <w:sz w:val="22"/>
          <w:szCs w:val="22"/>
        </w:rPr>
        <w:t>ւմ ունեցող</w:t>
      </w:r>
      <w:r w:rsidR="00475F70" w:rsidRPr="00B57DAB">
        <w:rPr>
          <w:rFonts w:ascii="GHEA Grapalat" w:hAnsi="GHEA Grapalat" w:cs="Sylfaen"/>
          <w:sz w:val="22"/>
          <w:szCs w:val="22"/>
          <w:lang w:val="hy-AM"/>
        </w:rPr>
        <w:t xml:space="preserve"> հիմնարկները ֆինանսավորվել են</w:t>
      </w:r>
      <w:r w:rsidR="00475F70" w:rsidRPr="00B57DAB">
        <w:rPr>
          <w:rFonts w:ascii="GHEA Grapalat" w:hAnsi="GHEA Grapalat" w:cs="Sylfaen"/>
          <w:sz w:val="22"/>
          <w:szCs w:val="22"/>
        </w:rPr>
        <w:t xml:space="preserve"> </w:t>
      </w:r>
      <w:r w:rsidR="00475F70" w:rsidRPr="00B57DAB">
        <w:rPr>
          <w:rFonts w:ascii="GHEA Grapalat" w:hAnsi="GHEA Grapalat" w:cs="Sylfaen"/>
          <w:sz w:val="22"/>
          <w:szCs w:val="22"/>
          <w:lang w:val="hy-AM"/>
        </w:rPr>
        <w:t xml:space="preserve">նախատեսվածի չափով` փաստացի կատարողականներից </w:t>
      </w:r>
      <w:r w:rsidR="00475F70" w:rsidRPr="00B57DAB">
        <w:rPr>
          <w:rFonts w:ascii="GHEA Grapalat" w:hAnsi="GHEA Grapalat" w:cs="Sylfaen"/>
          <w:sz w:val="22"/>
          <w:szCs w:val="22"/>
        </w:rPr>
        <w:t>պակաս</w:t>
      </w:r>
      <w:r w:rsidR="00475F70" w:rsidRPr="00B57DAB">
        <w:rPr>
          <w:rFonts w:ascii="GHEA Grapalat" w:hAnsi="GHEA Grapalat" w:cs="Sylfaen"/>
          <w:sz w:val="22"/>
          <w:szCs w:val="22"/>
          <w:lang w:val="hy-AM"/>
        </w:rPr>
        <w:t>:</w:t>
      </w:r>
    </w:p>
    <w:p w:rsidR="00AC1611" w:rsidRPr="00B57DAB" w:rsidRDefault="00AC1611" w:rsidP="00AC1611">
      <w:pPr>
        <w:autoSpaceDE w:val="0"/>
        <w:autoSpaceDN w:val="0"/>
        <w:adjustRightInd w:val="0"/>
        <w:spacing w:line="360" w:lineRule="auto"/>
        <w:ind w:firstLine="567"/>
        <w:jc w:val="both"/>
        <w:rPr>
          <w:rFonts w:ascii="GHEA Grapalat" w:hAnsi="GHEA Grapalat" w:cs="Arial"/>
          <w:sz w:val="22"/>
          <w:szCs w:val="22"/>
          <w:lang w:val="hy-AM"/>
        </w:rPr>
      </w:pPr>
      <w:r w:rsidRPr="00B57DAB">
        <w:rPr>
          <w:rFonts w:ascii="GHEA Grapalat" w:hAnsi="GHEA Grapalat" w:cs="Arial"/>
          <w:sz w:val="22"/>
          <w:szCs w:val="22"/>
          <w:lang w:val="hy-AM"/>
        </w:rPr>
        <w:t>Զինծառայողների</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ինչպես</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նաև</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փրկարար</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ծառայողների</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և</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նրանց</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ընտանիքների</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անդամների</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համար</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բժշկական</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օգնության</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ծառայությունների</w:t>
      </w:r>
      <w:r w:rsidRPr="00B57DAB">
        <w:rPr>
          <w:rFonts w:ascii="GHEA Grapalat" w:hAnsi="GHEA Grapalat" w:cs="Sylfaen"/>
          <w:sz w:val="22"/>
          <w:szCs w:val="22"/>
          <w:lang w:val="hy-AM"/>
        </w:rPr>
        <w:t xml:space="preserve"> գծով</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պետության</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կողմից</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երաշխավորված</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անվճար</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հիվանդանոցային</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բժշկական</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օգնության</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և</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սպասարկման</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շրջանակներում</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բուժօգնություն</w:t>
      </w:r>
      <w:r w:rsidRPr="00B57DAB">
        <w:rPr>
          <w:rFonts w:ascii="GHEA Grapalat" w:hAnsi="GHEA Grapalat"/>
          <w:sz w:val="22"/>
          <w:szCs w:val="22"/>
          <w:lang w:val="hy-AM"/>
        </w:rPr>
        <w:t xml:space="preserve"> </w:t>
      </w:r>
      <w:r w:rsidRPr="00B57DAB">
        <w:rPr>
          <w:rFonts w:ascii="GHEA Grapalat" w:hAnsi="GHEA Grapalat" w:cs="Arial"/>
          <w:sz w:val="22"/>
          <w:szCs w:val="22"/>
          <w:lang w:val="hy-AM"/>
        </w:rPr>
        <w:t>է</w:t>
      </w:r>
      <w:r w:rsidRPr="00B57DAB">
        <w:rPr>
          <w:rFonts w:ascii="GHEA Grapalat" w:hAnsi="GHEA Grapalat"/>
          <w:sz w:val="22"/>
          <w:szCs w:val="22"/>
          <w:lang w:val="hy-AM"/>
        </w:rPr>
        <w:t xml:space="preserve"> </w:t>
      </w:r>
      <w:r w:rsidRPr="00B57DAB">
        <w:rPr>
          <w:rFonts w:ascii="GHEA Grapalat" w:hAnsi="GHEA Grapalat" w:cs="Arial"/>
          <w:sz w:val="22"/>
          <w:szCs w:val="22"/>
          <w:lang w:val="hy-AM"/>
        </w:rPr>
        <w:t>մատուցվել</w:t>
      </w:r>
      <w:r w:rsidRPr="00B57DAB">
        <w:rPr>
          <w:rFonts w:ascii="GHEA Grapalat" w:hAnsi="GHEA Grapalat"/>
          <w:sz w:val="22"/>
          <w:szCs w:val="22"/>
          <w:lang w:val="hy-AM"/>
        </w:rPr>
        <w:t xml:space="preserve"> 13203 </w:t>
      </w:r>
      <w:r w:rsidRPr="00B57DAB">
        <w:rPr>
          <w:rFonts w:ascii="GHEA Grapalat" w:hAnsi="GHEA Grapalat" w:cs="Arial"/>
          <w:sz w:val="22"/>
          <w:szCs w:val="22"/>
          <w:lang w:val="hy-AM"/>
        </w:rPr>
        <w:t>հիվանդի՝</w:t>
      </w:r>
      <w:r w:rsidRPr="00B57DAB">
        <w:rPr>
          <w:rFonts w:ascii="GHEA Grapalat" w:hAnsi="GHEA Grapalat"/>
          <w:sz w:val="22"/>
          <w:szCs w:val="22"/>
          <w:lang w:val="hy-AM"/>
        </w:rPr>
        <w:t xml:space="preserve"> </w:t>
      </w:r>
      <w:r w:rsidRPr="00B57DAB">
        <w:rPr>
          <w:rFonts w:ascii="GHEA Grapalat" w:hAnsi="GHEA Grapalat" w:cs="Arial"/>
          <w:sz w:val="22"/>
          <w:szCs w:val="22"/>
          <w:lang w:val="hy-AM"/>
        </w:rPr>
        <w:t>կանխատեսված</w:t>
      </w:r>
      <w:r w:rsidRPr="00B57DAB">
        <w:rPr>
          <w:rFonts w:ascii="GHEA Grapalat" w:hAnsi="GHEA Grapalat"/>
          <w:sz w:val="22"/>
          <w:szCs w:val="22"/>
          <w:lang w:val="hy-AM"/>
        </w:rPr>
        <w:t xml:space="preserve"> 8000</w:t>
      </w:r>
      <w:r w:rsidRPr="00B57DAB">
        <w:rPr>
          <w:rFonts w:ascii="GHEA Grapalat" w:hAnsi="GHEA Grapalat" w:cs="Times Armenian"/>
          <w:sz w:val="22"/>
          <w:szCs w:val="22"/>
          <w:lang w:val="hy-AM"/>
        </w:rPr>
        <w:t>-</w:t>
      </w:r>
      <w:r w:rsidRPr="00B57DAB">
        <w:rPr>
          <w:rFonts w:ascii="GHEA Grapalat" w:hAnsi="GHEA Grapalat" w:cs="Arial"/>
          <w:sz w:val="22"/>
          <w:szCs w:val="22"/>
          <w:lang w:val="hy-AM"/>
        </w:rPr>
        <w:t>ի</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դիմաց</w:t>
      </w:r>
      <w:r w:rsidRPr="00B57DAB">
        <w:rPr>
          <w:rFonts w:ascii="GHEA Grapalat" w:hAnsi="GHEA Grapalat"/>
          <w:sz w:val="22"/>
          <w:szCs w:val="22"/>
          <w:lang w:val="hy-AM"/>
        </w:rPr>
        <w:t xml:space="preserve">: </w:t>
      </w:r>
      <w:r w:rsidRPr="00B57DAB">
        <w:rPr>
          <w:rFonts w:ascii="GHEA Grapalat" w:hAnsi="GHEA Grapalat" w:cs="Arial"/>
          <w:sz w:val="22"/>
          <w:szCs w:val="22"/>
          <w:lang w:val="hy-AM"/>
        </w:rPr>
        <w:t>Կանխատեսվածի համեմատ փ</w:t>
      </w:r>
      <w:r w:rsidRPr="00B57DAB">
        <w:rPr>
          <w:rFonts w:ascii="GHEA Grapalat" w:hAnsi="GHEA Grapalat" w:cs="Sylfaen"/>
          <w:sz w:val="22"/>
          <w:szCs w:val="22"/>
          <w:lang w:val="hy-AM"/>
        </w:rPr>
        <w:t>աստացի բարձր</w:t>
      </w:r>
      <w:r w:rsidRPr="00B57DAB">
        <w:rPr>
          <w:rFonts w:ascii="GHEA Grapalat" w:hAnsi="GHEA Grapalat" w:cs="Sylfaen"/>
          <w:sz w:val="22"/>
          <w:szCs w:val="22"/>
          <w:lang w:val="af-ZA"/>
        </w:rPr>
        <w:t xml:space="preserve"> </w:t>
      </w:r>
      <w:r w:rsidRPr="00B57DAB">
        <w:rPr>
          <w:rFonts w:ascii="GHEA Grapalat" w:hAnsi="GHEA Grapalat" w:cs="Sylfaen"/>
          <w:sz w:val="22"/>
          <w:szCs w:val="22"/>
          <w:lang w:val="hy-AM"/>
        </w:rPr>
        <w:t>արդյունքային</w:t>
      </w:r>
      <w:r w:rsidRPr="00B57DAB">
        <w:rPr>
          <w:rFonts w:ascii="GHEA Grapalat" w:hAnsi="GHEA Grapalat" w:cs="Sylfaen"/>
          <w:sz w:val="22"/>
          <w:szCs w:val="22"/>
          <w:lang w:val="af-ZA"/>
        </w:rPr>
        <w:t xml:space="preserve"> </w:t>
      </w:r>
      <w:r w:rsidRPr="00B57DAB">
        <w:rPr>
          <w:rFonts w:ascii="GHEA Grapalat" w:hAnsi="GHEA Grapalat" w:cs="Sylfaen"/>
          <w:sz w:val="22"/>
          <w:szCs w:val="22"/>
          <w:lang w:val="hy-AM"/>
        </w:rPr>
        <w:t xml:space="preserve">ցուցանիշը </w:t>
      </w:r>
      <w:r w:rsidRPr="00B57DAB">
        <w:rPr>
          <w:rFonts w:ascii="GHEA Grapalat" w:hAnsi="GHEA Grapalat" w:cs="Arial"/>
          <w:sz w:val="22"/>
          <w:szCs w:val="22"/>
          <w:lang w:val="hy-AM"/>
        </w:rPr>
        <w:t>պայմանավորված</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է</w:t>
      </w:r>
      <w:r w:rsidRPr="00B57DAB">
        <w:rPr>
          <w:rFonts w:ascii="GHEA Grapalat" w:hAnsi="GHEA Grapalat" w:cs="Sylfaen"/>
          <w:sz w:val="22"/>
          <w:szCs w:val="22"/>
          <w:lang w:val="hy-AM"/>
        </w:rPr>
        <w:t xml:space="preserve"> բուժօգնության՝ միջինից ցածր գին ունեցող ծառայությունների ծավալի աճով:</w:t>
      </w:r>
      <w:r w:rsidRPr="00B57DAB">
        <w:rPr>
          <w:rFonts w:ascii="GHEA Grapalat" w:hAnsi="GHEA Grapalat" w:cs="Arial"/>
          <w:sz w:val="22"/>
          <w:szCs w:val="22"/>
          <w:lang w:val="hy-AM"/>
        </w:rPr>
        <w:t xml:space="preserve"> Միջոցառումն իրականացվում է չսահմանափակվող բյուջեի սկզբունքով:</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Զինծառայողների</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ինչպես</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նաև</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փրկարար</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ծառայողների</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և</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նրանց</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ընտանիքների</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անդամների</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համար</w:t>
      </w:r>
      <w:r w:rsidRPr="00B57DAB">
        <w:rPr>
          <w:rFonts w:ascii="GHEA Grapalat" w:hAnsi="GHEA Grapalat" w:cs="Times Armenian"/>
          <w:sz w:val="22"/>
          <w:szCs w:val="22"/>
          <w:lang w:val="hy-AM"/>
        </w:rPr>
        <w:t xml:space="preserve"> </w:t>
      </w:r>
      <w:r w:rsidRPr="00B57DAB">
        <w:rPr>
          <w:rFonts w:ascii="GHEA Grapalat" w:hAnsi="GHEA Grapalat" w:cs="Arial"/>
          <w:sz w:val="22"/>
          <w:szCs w:val="22"/>
          <w:lang w:val="hy-AM"/>
        </w:rPr>
        <w:t>բժշկական օգնության ծառայությունների ծախսերը կազմել են շուրջ 905 մլն դրամ` ապահովելով 81.9% կատարողական:</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 xml:space="preserve">Շեղումը հիմնականում պայմանավորված է մատուցված ծառայությունների դիմաց վճարման հայտերի մի մասը ապրիլին ներկայացվելու հանգամանքով, ինչպես նաև միջինից ցածր գին ունեցող ծառայությունների քանակի հարաբերական աճով: </w:t>
      </w:r>
    </w:p>
    <w:p w:rsidR="00AC1611" w:rsidRPr="00B57DAB" w:rsidRDefault="00AC1611" w:rsidP="00AC1611">
      <w:pPr>
        <w:spacing w:line="360" w:lineRule="auto"/>
        <w:ind w:firstLine="567"/>
        <w:jc w:val="both"/>
        <w:rPr>
          <w:rFonts w:ascii="GHEA Grapalat" w:hAnsi="GHEA Grapalat" w:cs="Arial"/>
          <w:sz w:val="22"/>
          <w:szCs w:val="22"/>
          <w:lang w:val="hy-AM"/>
        </w:rPr>
      </w:pPr>
      <w:r w:rsidRPr="00B57DAB">
        <w:rPr>
          <w:rFonts w:ascii="GHEA Grapalat" w:hAnsi="GHEA Grapalat" w:cs="Sylfaen"/>
          <w:sz w:val="22"/>
          <w:szCs w:val="22"/>
          <w:lang w:val="hy-AM"/>
        </w:rPr>
        <w:t>Նախորդ տարվա</w:t>
      </w:r>
      <w:r w:rsidRPr="00B57DAB">
        <w:rPr>
          <w:rFonts w:ascii="GHEA Grapalat" w:hAnsi="GHEA Grapalat" w:cs="Times Armenian"/>
          <w:sz w:val="22"/>
          <w:szCs w:val="22"/>
          <w:lang w:val="hy-AM"/>
        </w:rPr>
        <w:t xml:space="preserve"> </w:t>
      </w:r>
      <w:r w:rsidR="003B639F" w:rsidRPr="00B57DAB">
        <w:rPr>
          <w:rFonts w:ascii="GHEA Grapalat" w:hAnsi="GHEA Grapalat" w:cs="Times Armenian"/>
          <w:sz w:val="22"/>
          <w:szCs w:val="22"/>
        </w:rPr>
        <w:t xml:space="preserve">առաջին եռամսյակի </w:t>
      </w:r>
      <w:r w:rsidRPr="00B57DAB">
        <w:rPr>
          <w:rFonts w:ascii="GHEA Grapalat" w:hAnsi="GHEA Grapalat" w:cs="Times Armenian"/>
          <w:sz w:val="22"/>
          <w:szCs w:val="22"/>
          <w:lang w:val="hy-AM"/>
        </w:rPr>
        <w:t xml:space="preserve">համեմատ Սոցիալապես անապահով և առանձին խմբերի անձանց բժշկական օգնության ծրագրի գծով ծախսերը նվազել են 11%-ով կամ </w:t>
      </w:r>
      <w:r w:rsidRPr="00B57DAB">
        <w:rPr>
          <w:rFonts w:ascii="GHEA Grapalat" w:hAnsi="GHEA Grapalat" w:cs="Times Armenian"/>
          <w:sz w:val="22"/>
          <w:szCs w:val="22"/>
          <w:lang w:val="zu-ZA"/>
        </w:rPr>
        <w:t>504.2</w:t>
      </w:r>
      <w:r w:rsidRPr="00B57DAB">
        <w:rPr>
          <w:rFonts w:ascii="GHEA Grapalat" w:hAnsi="GHEA Grapalat" w:cs="Times Armenian"/>
          <w:sz w:val="22"/>
          <w:szCs w:val="22"/>
          <w:lang w:val="hy-AM"/>
        </w:rPr>
        <w:t xml:space="preserve"> մլն դրամով՝ հիմնականում պայմանավորված </w:t>
      </w:r>
      <w:r w:rsidRPr="00B57DAB">
        <w:rPr>
          <w:rFonts w:ascii="GHEA Grapalat" w:hAnsi="GHEA Grapalat" w:cs="Arial"/>
          <w:sz w:val="22"/>
          <w:szCs w:val="22"/>
          <w:lang w:val="zu-ZA"/>
        </w:rPr>
        <w:t>ս</w:t>
      </w:r>
      <w:r w:rsidRPr="00B57DAB">
        <w:rPr>
          <w:rFonts w:ascii="GHEA Grapalat" w:hAnsi="GHEA Grapalat" w:cs="Arial"/>
          <w:sz w:val="22"/>
          <w:szCs w:val="22"/>
          <w:lang w:val="hy-AM"/>
        </w:rPr>
        <w:t>ոցիալապես</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անապահով</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ու</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հատուկ</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խմբերում</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ընդգրկվածներին</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բժշկական</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օգնության</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ծառայություններ</w:t>
      </w:r>
      <w:r w:rsidRPr="00B57DAB">
        <w:rPr>
          <w:rFonts w:ascii="GHEA Grapalat" w:hAnsi="GHEA Grapalat" w:cs="Arial"/>
          <w:sz w:val="22"/>
          <w:szCs w:val="22"/>
          <w:lang w:val="zu-ZA"/>
        </w:rPr>
        <w:t>ի և</w:t>
      </w:r>
      <w:r w:rsidRPr="00B57DAB">
        <w:rPr>
          <w:rFonts w:ascii="GHEA Grapalat" w:hAnsi="GHEA Grapalat" w:cs="Times Armenian"/>
          <w:sz w:val="22"/>
          <w:szCs w:val="22"/>
          <w:lang w:val="hy-AM"/>
        </w:rPr>
        <w:t xml:space="preserve"> զ</w:t>
      </w:r>
      <w:r w:rsidRPr="00B57DAB">
        <w:rPr>
          <w:rFonts w:ascii="GHEA Grapalat" w:hAnsi="GHEA Grapalat" w:cs="Arial"/>
          <w:sz w:val="22"/>
          <w:szCs w:val="22"/>
          <w:lang w:val="hy-AM"/>
        </w:rPr>
        <w:t>ինծառայողներին</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ինչպես</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նաև</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lastRenderedPageBreak/>
        <w:t>փրկարար</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ծառայողներին</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և</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նրանց</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ընտանիքի</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անդամներին</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մատուցվող</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բժշկական</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օգնության</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 xml:space="preserve">ծառայությունների շրջանակներում կատարված ծախսերի համապատասխանաբար </w:t>
      </w:r>
      <w:r w:rsidRPr="00B57DAB">
        <w:rPr>
          <w:rFonts w:ascii="GHEA Grapalat" w:hAnsi="GHEA Grapalat" w:cs="Arial"/>
          <w:sz w:val="22"/>
          <w:szCs w:val="22"/>
          <w:lang w:val="zu-ZA"/>
        </w:rPr>
        <w:t>6.7</w:t>
      </w:r>
      <w:r w:rsidRPr="00B57DAB">
        <w:rPr>
          <w:rFonts w:ascii="GHEA Grapalat" w:hAnsi="GHEA Grapalat" w:cs="Arial"/>
          <w:sz w:val="22"/>
          <w:szCs w:val="22"/>
          <w:lang w:val="hy-AM"/>
        </w:rPr>
        <w:t>% (</w:t>
      </w:r>
      <w:r w:rsidRPr="00B57DAB">
        <w:rPr>
          <w:rFonts w:ascii="GHEA Grapalat" w:hAnsi="GHEA Grapalat" w:cs="Arial"/>
          <w:sz w:val="22"/>
          <w:szCs w:val="22"/>
          <w:lang w:val="zu-ZA"/>
        </w:rPr>
        <w:t>220.9</w:t>
      </w:r>
      <w:r w:rsidRPr="00B57DAB">
        <w:rPr>
          <w:rFonts w:ascii="GHEA Grapalat" w:hAnsi="GHEA Grapalat" w:cs="Arial"/>
          <w:sz w:val="22"/>
          <w:szCs w:val="22"/>
          <w:lang w:val="hy-AM"/>
        </w:rPr>
        <w:t xml:space="preserve"> մլն դրամ) և </w:t>
      </w:r>
      <w:r w:rsidRPr="00B57DAB">
        <w:rPr>
          <w:rFonts w:ascii="GHEA Grapalat" w:hAnsi="GHEA Grapalat" w:cs="Arial"/>
          <w:sz w:val="22"/>
          <w:szCs w:val="22"/>
          <w:lang w:val="zu-ZA"/>
        </w:rPr>
        <w:t>18.1</w:t>
      </w:r>
      <w:r w:rsidRPr="00B57DAB">
        <w:rPr>
          <w:rFonts w:ascii="GHEA Grapalat" w:hAnsi="GHEA Grapalat" w:cs="Arial"/>
          <w:sz w:val="22"/>
          <w:szCs w:val="22"/>
          <w:lang w:val="hy-AM"/>
        </w:rPr>
        <w:t>% (</w:t>
      </w:r>
      <w:r w:rsidRPr="00B57DAB">
        <w:rPr>
          <w:rFonts w:ascii="GHEA Grapalat" w:hAnsi="GHEA Grapalat" w:cs="Arial"/>
          <w:sz w:val="22"/>
          <w:szCs w:val="22"/>
          <w:lang w:val="zu-ZA"/>
        </w:rPr>
        <w:t>199.3</w:t>
      </w:r>
      <w:r w:rsidRPr="00B57DAB">
        <w:rPr>
          <w:rFonts w:ascii="GHEA Grapalat" w:hAnsi="GHEA Grapalat" w:cs="Arial"/>
          <w:sz w:val="22"/>
          <w:szCs w:val="22"/>
          <w:lang w:val="hy-AM"/>
        </w:rPr>
        <w:t xml:space="preserve"> մլն դրամ) նվազմամբ:</w:t>
      </w:r>
    </w:p>
    <w:p w:rsidR="00AC1611" w:rsidRPr="00B57DAB" w:rsidRDefault="00AC1611" w:rsidP="00AC1611">
      <w:pPr>
        <w:autoSpaceDE w:val="0"/>
        <w:autoSpaceDN w:val="0"/>
        <w:adjustRightInd w:val="0"/>
        <w:spacing w:line="360" w:lineRule="auto"/>
        <w:ind w:firstLine="567"/>
        <w:jc w:val="both"/>
        <w:rPr>
          <w:rFonts w:ascii="GHEA Grapalat" w:hAnsi="GHEA Grapalat" w:cs="Arial"/>
          <w:sz w:val="22"/>
          <w:szCs w:val="22"/>
          <w:lang w:val="zu-ZA"/>
        </w:rPr>
      </w:pPr>
      <w:r w:rsidRPr="00B57DAB">
        <w:rPr>
          <w:rFonts w:ascii="GHEA Grapalat" w:hAnsi="GHEA Grapalat" w:cs="Sylfaen"/>
          <w:sz w:val="22"/>
          <w:szCs w:val="22"/>
          <w:lang w:val="hy-AM"/>
        </w:rPr>
        <w:t>ՀՀ</w:t>
      </w:r>
      <w:r w:rsidRPr="00B57DAB">
        <w:rPr>
          <w:rFonts w:ascii="GHEA Grapalat" w:hAnsi="GHEA Grapalat" w:cs="Sylfaen"/>
          <w:sz w:val="22"/>
          <w:szCs w:val="22"/>
          <w:lang w:val="pt-BR"/>
        </w:rPr>
        <w:t xml:space="preserve"> </w:t>
      </w:r>
      <w:r w:rsidR="00F15A97" w:rsidRPr="00B57DAB">
        <w:rPr>
          <w:rFonts w:ascii="GHEA Grapalat" w:hAnsi="GHEA Grapalat" w:cs="Sylfaen"/>
          <w:sz w:val="22"/>
          <w:szCs w:val="22"/>
        </w:rPr>
        <w:t>առողջապահության նախարարության</w:t>
      </w:r>
      <w:r w:rsidRPr="00B57DAB">
        <w:rPr>
          <w:rFonts w:ascii="GHEA Grapalat" w:hAnsi="GHEA Grapalat" w:cs="Sylfaen"/>
          <w:sz w:val="22"/>
          <w:szCs w:val="22"/>
          <w:lang w:val="pt-BR"/>
        </w:rPr>
        <w:t xml:space="preserve"> </w:t>
      </w:r>
      <w:r w:rsidRPr="00B57DAB">
        <w:rPr>
          <w:rFonts w:ascii="GHEA Grapalat" w:hAnsi="GHEA Grapalat" w:cs="Sylfaen"/>
          <w:sz w:val="22"/>
          <w:szCs w:val="22"/>
          <w:lang w:val="hy-AM"/>
        </w:rPr>
        <w:t>կողմից</w:t>
      </w:r>
      <w:r w:rsidRPr="00B57DAB">
        <w:rPr>
          <w:rFonts w:ascii="GHEA Grapalat" w:hAnsi="GHEA Grapalat" w:cs="Sylfaen"/>
          <w:sz w:val="22"/>
          <w:szCs w:val="22"/>
          <w:lang w:val="pt-BR"/>
        </w:rPr>
        <w:t xml:space="preserve"> </w:t>
      </w:r>
      <w:r w:rsidRPr="00B57DAB">
        <w:rPr>
          <w:rFonts w:ascii="GHEA Grapalat" w:hAnsi="GHEA Grapalat" w:cs="Sylfaen"/>
          <w:sz w:val="22"/>
          <w:szCs w:val="22"/>
          <w:lang w:val="hy-AM"/>
        </w:rPr>
        <w:t>իրականացվող</w:t>
      </w:r>
      <w:r w:rsidRPr="00B57DAB">
        <w:rPr>
          <w:rFonts w:ascii="GHEA Grapalat" w:hAnsi="GHEA Grapalat" w:cs="Sylfaen"/>
          <w:sz w:val="22"/>
          <w:szCs w:val="22"/>
          <w:lang w:val="pt-BR"/>
        </w:rPr>
        <w:t xml:space="preserve"> </w:t>
      </w:r>
      <w:r w:rsidRPr="00B57DAB">
        <w:rPr>
          <w:rFonts w:ascii="GHEA Grapalat" w:hAnsi="GHEA Grapalat" w:cs="Sylfaen"/>
          <w:sz w:val="22"/>
          <w:szCs w:val="22"/>
          <w:lang w:val="hy-AM"/>
        </w:rPr>
        <w:t>այլ</w:t>
      </w:r>
      <w:r w:rsidRPr="00B57DAB">
        <w:rPr>
          <w:rFonts w:ascii="GHEA Grapalat" w:hAnsi="GHEA Grapalat" w:cs="Sylfaen"/>
          <w:sz w:val="22"/>
          <w:szCs w:val="22"/>
          <w:lang w:val="pt-BR"/>
        </w:rPr>
        <w:t xml:space="preserve"> </w:t>
      </w:r>
      <w:r w:rsidRPr="00B57DAB">
        <w:rPr>
          <w:rFonts w:ascii="GHEA Grapalat" w:hAnsi="GHEA Grapalat" w:cs="Sylfaen"/>
          <w:sz w:val="22"/>
          <w:szCs w:val="22"/>
          <w:lang w:val="hy-AM"/>
        </w:rPr>
        <w:t>ծրագրերից</w:t>
      </w:r>
      <w:r w:rsidRPr="00B57DAB">
        <w:rPr>
          <w:rFonts w:ascii="GHEA Grapalat" w:hAnsi="GHEA Grapalat" w:cs="Sylfaen"/>
          <w:sz w:val="22"/>
          <w:szCs w:val="22"/>
          <w:lang w:val="pt-BR"/>
        </w:rPr>
        <w:t xml:space="preserve"> </w:t>
      </w:r>
      <w:r w:rsidRPr="00B57DAB">
        <w:rPr>
          <w:rFonts w:ascii="GHEA Grapalat" w:hAnsi="GHEA Grapalat" w:cs="Arial"/>
          <w:i/>
          <w:sz w:val="22"/>
          <w:szCs w:val="22"/>
          <w:lang w:val="hy-AM"/>
        </w:rPr>
        <w:t>Առողջապահության</w:t>
      </w:r>
      <w:r w:rsidRPr="00B57DAB">
        <w:rPr>
          <w:rFonts w:ascii="GHEA Grapalat" w:hAnsi="GHEA Grapalat" w:cs="Arial"/>
          <w:i/>
          <w:sz w:val="22"/>
          <w:szCs w:val="22"/>
          <w:lang w:val="zu-ZA"/>
        </w:rPr>
        <w:t xml:space="preserve"> </w:t>
      </w:r>
      <w:r w:rsidRPr="00B57DAB">
        <w:rPr>
          <w:rFonts w:ascii="GHEA Grapalat" w:hAnsi="GHEA Grapalat" w:cs="Arial"/>
          <w:i/>
          <w:sz w:val="22"/>
          <w:szCs w:val="22"/>
          <w:lang w:val="hy-AM"/>
        </w:rPr>
        <w:t>համակարգի</w:t>
      </w:r>
      <w:r w:rsidRPr="00B57DAB">
        <w:rPr>
          <w:rFonts w:ascii="GHEA Grapalat" w:hAnsi="GHEA Grapalat" w:cs="Arial"/>
          <w:i/>
          <w:sz w:val="22"/>
          <w:szCs w:val="22"/>
          <w:lang w:val="zu-ZA"/>
        </w:rPr>
        <w:t xml:space="preserve"> </w:t>
      </w:r>
      <w:r w:rsidRPr="00B57DAB">
        <w:rPr>
          <w:rFonts w:ascii="GHEA Grapalat" w:hAnsi="GHEA Grapalat" w:cs="Arial"/>
          <w:i/>
          <w:sz w:val="22"/>
          <w:szCs w:val="22"/>
          <w:lang w:val="hy-AM"/>
        </w:rPr>
        <w:t>արդիականացման</w:t>
      </w:r>
      <w:r w:rsidRPr="00B57DAB">
        <w:rPr>
          <w:rFonts w:ascii="GHEA Grapalat" w:hAnsi="GHEA Grapalat" w:cs="Arial"/>
          <w:i/>
          <w:sz w:val="22"/>
          <w:szCs w:val="22"/>
          <w:lang w:val="zu-ZA"/>
        </w:rPr>
        <w:t xml:space="preserve"> </w:t>
      </w:r>
      <w:r w:rsidRPr="00B57DAB">
        <w:rPr>
          <w:rFonts w:ascii="GHEA Grapalat" w:hAnsi="GHEA Grapalat" w:cs="Arial"/>
          <w:i/>
          <w:sz w:val="22"/>
          <w:szCs w:val="22"/>
          <w:lang w:val="hy-AM"/>
        </w:rPr>
        <w:t>և</w:t>
      </w:r>
      <w:r w:rsidRPr="00B57DAB">
        <w:rPr>
          <w:rFonts w:ascii="GHEA Grapalat" w:hAnsi="GHEA Grapalat" w:cs="Arial"/>
          <w:i/>
          <w:sz w:val="22"/>
          <w:szCs w:val="22"/>
          <w:lang w:val="zu-ZA"/>
        </w:rPr>
        <w:t xml:space="preserve"> </w:t>
      </w:r>
      <w:r w:rsidRPr="00B57DAB">
        <w:rPr>
          <w:rFonts w:ascii="GHEA Grapalat" w:hAnsi="GHEA Grapalat" w:cs="Arial"/>
          <w:i/>
          <w:sz w:val="22"/>
          <w:szCs w:val="22"/>
          <w:lang w:val="hy-AM"/>
        </w:rPr>
        <w:t>արդյունավետության</w:t>
      </w:r>
      <w:r w:rsidRPr="00B57DAB">
        <w:rPr>
          <w:rFonts w:ascii="GHEA Grapalat" w:hAnsi="GHEA Grapalat" w:cs="Arial"/>
          <w:i/>
          <w:sz w:val="22"/>
          <w:szCs w:val="22"/>
          <w:lang w:val="zu-ZA"/>
        </w:rPr>
        <w:t xml:space="preserve"> </w:t>
      </w:r>
      <w:r w:rsidRPr="00B57DAB">
        <w:rPr>
          <w:rFonts w:ascii="GHEA Grapalat" w:hAnsi="GHEA Grapalat" w:cs="Arial"/>
          <w:i/>
          <w:sz w:val="22"/>
          <w:szCs w:val="22"/>
          <w:lang w:val="hy-AM"/>
        </w:rPr>
        <w:t>բարձրացման</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ծրագրի</w:t>
      </w:r>
      <w:r w:rsidRPr="00B57DAB">
        <w:rPr>
          <w:rFonts w:ascii="GHEA Grapalat" w:hAnsi="GHEA Grapalat"/>
          <w:sz w:val="22"/>
          <w:szCs w:val="22"/>
          <w:lang w:val="zu-ZA"/>
        </w:rPr>
        <w:t xml:space="preserve"> </w:t>
      </w:r>
      <w:r w:rsidRPr="00B57DAB">
        <w:rPr>
          <w:rFonts w:ascii="GHEA Grapalat" w:hAnsi="GHEA Grapalat"/>
          <w:sz w:val="22"/>
          <w:szCs w:val="22"/>
          <w:lang w:val="hy-AM"/>
        </w:rPr>
        <w:t>ծախսերը</w:t>
      </w:r>
      <w:r w:rsidRPr="00B57DAB">
        <w:rPr>
          <w:rFonts w:ascii="GHEA Grapalat" w:hAnsi="GHEA Grapalat"/>
          <w:sz w:val="22"/>
          <w:szCs w:val="22"/>
          <w:lang w:val="zu-ZA"/>
        </w:rPr>
        <w:t xml:space="preserve"> </w:t>
      </w:r>
      <w:r w:rsidRPr="00B57DAB">
        <w:rPr>
          <w:rFonts w:ascii="GHEA Grapalat" w:hAnsi="GHEA Grapalat" w:cs="Arial"/>
          <w:sz w:val="22"/>
          <w:szCs w:val="22"/>
          <w:lang w:val="hy-AM"/>
        </w:rPr>
        <w:t>հաշվետու</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ժամանակահատվածում</w:t>
      </w:r>
      <w:r w:rsidRPr="00B57DAB">
        <w:rPr>
          <w:rFonts w:ascii="GHEA Grapalat" w:hAnsi="GHEA Grapalat" w:cs="Arial"/>
          <w:sz w:val="22"/>
          <w:szCs w:val="22"/>
          <w:lang w:val="zu-ZA"/>
        </w:rPr>
        <w:t xml:space="preserve"> </w:t>
      </w:r>
      <w:r w:rsidRPr="00B57DAB">
        <w:rPr>
          <w:rFonts w:ascii="GHEA Grapalat" w:hAnsi="GHEA Grapalat"/>
          <w:sz w:val="22"/>
          <w:szCs w:val="22"/>
          <w:lang w:val="hy-AM"/>
        </w:rPr>
        <w:t>կազմել</w:t>
      </w:r>
      <w:r w:rsidRPr="00B57DAB">
        <w:rPr>
          <w:rFonts w:ascii="GHEA Grapalat" w:hAnsi="GHEA Grapalat"/>
          <w:sz w:val="22"/>
          <w:szCs w:val="22"/>
          <w:lang w:val="zu-ZA"/>
        </w:rPr>
        <w:t xml:space="preserve"> </w:t>
      </w:r>
      <w:r w:rsidRPr="00B57DAB">
        <w:rPr>
          <w:rFonts w:ascii="GHEA Grapalat" w:hAnsi="GHEA Grapalat"/>
          <w:sz w:val="22"/>
          <w:szCs w:val="22"/>
          <w:lang w:val="hy-AM"/>
        </w:rPr>
        <w:t>են</w:t>
      </w:r>
      <w:r w:rsidRPr="00B57DAB">
        <w:rPr>
          <w:rFonts w:ascii="GHEA Grapalat" w:hAnsi="GHEA Grapalat"/>
          <w:sz w:val="22"/>
          <w:szCs w:val="22"/>
          <w:lang w:val="zu-ZA"/>
        </w:rPr>
        <w:t xml:space="preserve"> </w:t>
      </w:r>
      <w:r w:rsidRPr="00B57DAB">
        <w:rPr>
          <w:rFonts w:ascii="GHEA Grapalat" w:hAnsi="GHEA Grapalat" w:cs="Arial"/>
          <w:sz w:val="22"/>
          <w:szCs w:val="22"/>
          <w:lang w:val="zu-ZA"/>
        </w:rPr>
        <w:t xml:space="preserve">ավելի քան 656.8 </w:t>
      </w:r>
      <w:r w:rsidRPr="00B57DAB">
        <w:rPr>
          <w:rFonts w:ascii="GHEA Grapalat" w:hAnsi="GHEA Grapalat" w:cs="Arial"/>
          <w:sz w:val="22"/>
          <w:szCs w:val="22"/>
          <w:lang w:val="hy-AM"/>
        </w:rPr>
        <w:t>մլն</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դրամ</w:t>
      </w:r>
      <w:r w:rsidRPr="00B57DAB">
        <w:rPr>
          <w:rFonts w:ascii="GHEA Grapalat" w:hAnsi="GHEA Grapalat"/>
          <w:sz w:val="22"/>
          <w:szCs w:val="22"/>
          <w:lang w:val="zu-ZA"/>
        </w:rPr>
        <w:t xml:space="preserve"> </w:t>
      </w:r>
      <w:r w:rsidRPr="00B57DAB">
        <w:rPr>
          <w:rFonts w:ascii="GHEA Grapalat" w:hAnsi="GHEA Grapalat" w:cs="Arial"/>
          <w:sz w:val="22"/>
          <w:szCs w:val="22"/>
          <w:lang w:val="hy-AM"/>
        </w:rPr>
        <w:t>կամ</w:t>
      </w:r>
      <w:r w:rsidRPr="00B57DAB">
        <w:rPr>
          <w:rFonts w:ascii="GHEA Grapalat" w:hAnsi="GHEA Grapalat"/>
          <w:sz w:val="22"/>
          <w:szCs w:val="22"/>
          <w:lang w:val="zu-ZA"/>
        </w:rPr>
        <w:t xml:space="preserve"> </w:t>
      </w:r>
      <w:r w:rsidRPr="00B57DAB">
        <w:rPr>
          <w:rFonts w:ascii="GHEA Grapalat" w:hAnsi="GHEA Grapalat" w:cs="Arial"/>
          <w:sz w:val="22"/>
          <w:szCs w:val="22"/>
          <w:lang w:val="hy-AM"/>
        </w:rPr>
        <w:t>ծրագրային</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ցուցանիշի</w:t>
      </w:r>
      <w:r w:rsidRPr="00B57DAB">
        <w:rPr>
          <w:rFonts w:ascii="GHEA Grapalat" w:hAnsi="GHEA Grapalat" w:cs="Arial"/>
          <w:sz w:val="22"/>
          <w:szCs w:val="22"/>
          <w:lang w:val="zu-ZA"/>
        </w:rPr>
        <w:t xml:space="preserve"> 31.8%-</w:t>
      </w:r>
      <w:r w:rsidRPr="00B57DAB">
        <w:rPr>
          <w:rFonts w:ascii="GHEA Grapalat" w:hAnsi="GHEA Grapalat" w:cs="Arial"/>
          <w:sz w:val="22"/>
          <w:szCs w:val="22"/>
          <w:lang w:val="hy-AM"/>
        </w:rPr>
        <w:t>ը</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Ծրագիրն</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ամբողջությամբ</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ֆինանսավորվել</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է</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արտաքին</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աջակցությամբ</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իրականացվող</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վարկային</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և</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դրամաշնորհային</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ծրագրերի</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շրջանակներում</w:t>
      </w:r>
      <w:r w:rsidR="00DA1B4B" w:rsidRPr="00B57DAB">
        <w:rPr>
          <w:rFonts w:ascii="GHEA Grapalat" w:hAnsi="GHEA Grapalat" w:cs="Arial"/>
          <w:sz w:val="22"/>
          <w:szCs w:val="22"/>
        </w:rPr>
        <w:t>, իսկ ցածր կատարողականը պայմանավորված է հիմնականում Գլոբալ հիմնադրամի աջակցությամբ իրականացվող «ՀՀ-ում տուբերկուլյոզի և ՄԻԱՎ/ՁԻԱՀ-ի ծրագրերի հզորացում» դրամաշնորհային ծրագրի կատարողականով</w:t>
      </w:r>
      <w:r w:rsidRPr="00B57DAB">
        <w:rPr>
          <w:rFonts w:ascii="GHEA Grapalat" w:hAnsi="GHEA Grapalat" w:cs="Arial"/>
          <w:sz w:val="22"/>
          <w:szCs w:val="22"/>
          <w:lang w:val="zu-ZA"/>
        </w:rPr>
        <w:t>:</w:t>
      </w:r>
    </w:p>
    <w:p w:rsidR="00AC1611" w:rsidRPr="00B57DAB" w:rsidRDefault="00AC1611" w:rsidP="00AC1611">
      <w:pPr>
        <w:spacing w:line="360" w:lineRule="auto"/>
        <w:ind w:firstLine="567"/>
        <w:jc w:val="both"/>
        <w:rPr>
          <w:rFonts w:ascii="GHEA Grapalat" w:hAnsi="GHEA Grapalat" w:cs="Arial"/>
          <w:sz w:val="22"/>
          <w:szCs w:val="22"/>
          <w:lang w:val="zu-ZA"/>
        </w:rPr>
      </w:pPr>
      <w:r w:rsidRPr="00B57DAB">
        <w:rPr>
          <w:rFonts w:ascii="GHEA Grapalat" w:hAnsi="GHEA Grapalat" w:cs="Arial"/>
          <w:sz w:val="22"/>
          <w:szCs w:val="22"/>
          <w:lang w:val="zu-ZA"/>
        </w:rPr>
        <w:t>Համաշխարհային բանկի աջակցությամբ իրականացվող Ո</w:t>
      </w:r>
      <w:r w:rsidRPr="00B57DAB">
        <w:rPr>
          <w:rFonts w:ascii="GHEA Grapalat" w:hAnsi="GHEA Grapalat" w:cs="Arial"/>
          <w:sz w:val="22"/>
          <w:szCs w:val="22"/>
        </w:rPr>
        <w:t>չ</w:t>
      </w:r>
      <w:r w:rsidRPr="00B57DAB">
        <w:rPr>
          <w:rFonts w:ascii="GHEA Grapalat" w:hAnsi="GHEA Grapalat" w:cs="Sylfaen"/>
          <w:sz w:val="22"/>
          <w:szCs w:val="22"/>
          <w:lang w:val="zu-ZA"/>
        </w:rPr>
        <w:t xml:space="preserve"> </w:t>
      </w:r>
      <w:r w:rsidRPr="00B57DAB">
        <w:rPr>
          <w:rFonts w:ascii="GHEA Grapalat" w:hAnsi="GHEA Grapalat" w:cs="Arial"/>
          <w:sz w:val="22"/>
          <w:szCs w:val="22"/>
        </w:rPr>
        <w:t>վարակիչ</w:t>
      </w:r>
      <w:r w:rsidRPr="00B57DAB">
        <w:rPr>
          <w:rFonts w:ascii="GHEA Grapalat" w:hAnsi="GHEA Grapalat" w:cs="Sylfaen"/>
          <w:sz w:val="22"/>
          <w:szCs w:val="22"/>
          <w:lang w:val="zu-ZA"/>
        </w:rPr>
        <w:t xml:space="preserve"> </w:t>
      </w:r>
      <w:r w:rsidRPr="00B57DAB">
        <w:rPr>
          <w:rFonts w:ascii="GHEA Grapalat" w:hAnsi="GHEA Grapalat" w:cs="Arial"/>
          <w:sz w:val="22"/>
          <w:szCs w:val="22"/>
        </w:rPr>
        <w:t>հիվանդությունների</w:t>
      </w:r>
      <w:r w:rsidRPr="00B57DAB">
        <w:rPr>
          <w:rFonts w:ascii="GHEA Grapalat" w:hAnsi="GHEA Grapalat" w:cs="Sylfaen"/>
          <w:sz w:val="22"/>
          <w:szCs w:val="22"/>
          <w:lang w:val="zu-ZA"/>
        </w:rPr>
        <w:t xml:space="preserve"> </w:t>
      </w:r>
      <w:r w:rsidRPr="00B57DAB">
        <w:rPr>
          <w:rFonts w:ascii="GHEA Grapalat" w:hAnsi="GHEA Grapalat" w:cs="Arial"/>
          <w:sz w:val="22"/>
          <w:szCs w:val="22"/>
        </w:rPr>
        <w:t>կանխարգելման</w:t>
      </w:r>
      <w:r w:rsidRPr="00B57DAB">
        <w:rPr>
          <w:rFonts w:ascii="GHEA Grapalat" w:hAnsi="GHEA Grapalat" w:cs="Sylfaen"/>
          <w:sz w:val="22"/>
          <w:szCs w:val="22"/>
          <w:lang w:val="zu-ZA"/>
        </w:rPr>
        <w:t xml:space="preserve"> </w:t>
      </w:r>
      <w:r w:rsidRPr="00B57DAB">
        <w:rPr>
          <w:rFonts w:ascii="GHEA Grapalat" w:hAnsi="GHEA Grapalat" w:cs="Arial"/>
          <w:sz w:val="22"/>
          <w:szCs w:val="22"/>
        </w:rPr>
        <w:t>և</w:t>
      </w:r>
      <w:r w:rsidRPr="00B57DAB">
        <w:rPr>
          <w:rFonts w:ascii="GHEA Grapalat" w:hAnsi="GHEA Grapalat" w:cs="Sylfaen"/>
          <w:sz w:val="22"/>
          <w:szCs w:val="22"/>
          <w:lang w:val="zu-ZA"/>
        </w:rPr>
        <w:t xml:space="preserve"> </w:t>
      </w:r>
      <w:r w:rsidRPr="00B57DAB">
        <w:rPr>
          <w:rFonts w:ascii="GHEA Grapalat" w:hAnsi="GHEA Grapalat" w:cs="Arial"/>
          <w:sz w:val="22"/>
          <w:szCs w:val="22"/>
        </w:rPr>
        <w:t>վերահսկման</w:t>
      </w:r>
      <w:r w:rsidRPr="00B57DAB">
        <w:rPr>
          <w:rFonts w:ascii="GHEA Grapalat" w:hAnsi="GHEA Grapalat"/>
          <w:sz w:val="22"/>
          <w:szCs w:val="22"/>
          <w:lang w:val="zu-ZA"/>
        </w:rPr>
        <w:t xml:space="preserve"> </w:t>
      </w:r>
      <w:r w:rsidRPr="00B57DAB">
        <w:rPr>
          <w:rFonts w:ascii="GHEA Grapalat" w:hAnsi="GHEA Grapalat"/>
          <w:sz w:val="22"/>
          <w:szCs w:val="22"/>
        </w:rPr>
        <w:t>վարկային</w:t>
      </w:r>
      <w:r w:rsidRPr="00B57DAB">
        <w:rPr>
          <w:rFonts w:ascii="GHEA Grapalat" w:hAnsi="GHEA Grapalat"/>
          <w:sz w:val="22"/>
          <w:szCs w:val="22"/>
          <w:lang w:val="zu-ZA"/>
        </w:rPr>
        <w:t xml:space="preserve"> </w:t>
      </w:r>
      <w:r w:rsidRPr="00B57DAB">
        <w:rPr>
          <w:rFonts w:ascii="GHEA Grapalat" w:hAnsi="GHEA Grapalat"/>
          <w:sz w:val="22"/>
          <w:szCs w:val="22"/>
        </w:rPr>
        <w:t>ծրագրի</w:t>
      </w:r>
      <w:r w:rsidRPr="00B57DAB">
        <w:rPr>
          <w:rFonts w:ascii="GHEA Grapalat" w:hAnsi="GHEA Grapalat"/>
          <w:sz w:val="22"/>
          <w:szCs w:val="22"/>
          <w:lang w:val="zu-ZA"/>
        </w:rPr>
        <w:t xml:space="preserve"> </w:t>
      </w:r>
      <w:r w:rsidRPr="00B57DAB">
        <w:rPr>
          <w:rFonts w:ascii="GHEA Grapalat" w:hAnsi="GHEA Grapalat" w:cs="Arial"/>
          <w:sz w:val="22"/>
          <w:szCs w:val="22"/>
        </w:rPr>
        <w:t>ծառայությունների</w:t>
      </w:r>
      <w:r w:rsidRPr="00B57DAB">
        <w:rPr>
          <w:rFonts w:ascii="GHEA Grapalat" w:hAnsi="GHEA Grapalat" w:cs="Arial"/>
          <w:sz w:val="22"/>
          <w:szCs w:val="22"/>
          <w:lang w:val="zu-ZA"/>
        </w:rPr>
        <w:t xml:space="preserve"> </w:t>
      </w:r>
      <w:r w:rsidRPr="00B57DAB">
        <w:rPr>
          <w:rFonts w:ascii="GHEA Grapalat" w:hAnsi="GHEA Grapalat" w:cs="Arial"/>
          <w:sz w:val="22"/>
          <w:szCs w:val="22"/>
        </w:rPr>
        <w:t>ձեռքբերման</w:t>
      </w:r>
      <w:r w:rsidRPr="00B57DAB">
        <w:rPr>
          <w:rFonts w:ascii="GHEA Grapalat" w:hAnsi="GHEA Grapalat" w:cs="Arial"/>
          <w:sz w:val="22"/>
          <w:szCs w:val="22"/>
          <w:lang w:val="zu-ZA"/>
        </w:rPr>
        <w:t xml:space="preserve"> </w:t>
      </w:r>
      <w:r w:rsidRPr="00B57DAB">
        <w:rPr>
          <w:rFonts w:ascii="GHEA Grapalat" w:hAnsi="GHEA Grapalat" w:cs="Arial"/>
          <w:sz w:val="22"/>
          <w:szCs w:val="22"/>
        </w:rPr>
        <w:t>շրջանակներում</w:t>
      </w:r>
      <w:r w:rsidRPr="00B57DAB">
        <w:rPr>
          <w:rFonts w:ascii="GHEA Grapalat" w:hAnsi="GHEA Grapalat" w:cs="Arial"/>
          <w:sz w:val="22"/>
          <w:szCs w:val="22"/>
          <w:lang w:val="zu-ZA"/>
        </w:rPr>
        <w:t xml:space="preserve"> </w:t>
      </w:r>
      <w:r w:rsidRPr="00B57DAB">
        <w:rPr>
          <w:rFonts w:ascii="GHEA Grapalat" w:hAnsi="GHEA Grapalat" w:cs="Arial"/>
          <w:sz w:val="22"/>
          <w:szCs w:val="22"/>
        </w:rPr>
        <w:t>հաշվետու</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ժամանակահատվածում</w:t>
      </w:r>
      <w:r w:rsidRPr="00B57DAB">
        <w:rPr>
          <w:rFonts w:ascii="GHEA Grapalat" w:hAnsi="GHEA Grapalat" w:cs="Arial"/>
          <w:sz w:val="22"/>
          <w:szCs w:val="22"/>
          <w:lang w:val="zu-ZA"/>
        </w:rPr>
        <w:t xml:space="preserve"> նախատեսվել և </w:t>
      </w:r>
      <w:r w:rsidRPr="00B57DAB">
        <w:rPr>
          <w:rFonts w:ascii="GHEA Grapalat" w:hAnsi="GHEA Grapalat" w:cs="Arial"/>
          <w:sz w:val="22"/>
          <w:szCs w:val="22"/>
        </w:rPr>
        <w:t>իրականացվել</w:t>
      </w:r>
      <w:r w:rsidRPr="00B57DAB">
        <w:rPr>
          <w:rFonts w:ascii="GHEA Grapalat" w:hAnsi="GHEA Grapalat" w:cs="Arial"/>
          <w:sz w:val="22"/>
          <w:szCs w:val="22"/>
          <w:lang w:val="zu-ZA"/>
        </w:rPr>
        <w:t xml:space="preserve"> </w:t>
      </w:r>
      <w:r w:rsidRPr="00B57DAB">
        <w:rPr>
          <w:rFonts w:ascii="GHEA Grapalat" w:hAnsi="GHEA Grapalat" w:cs="Arial"/>
          <w:sz w:val="22"/>
          <w:szCs w:val="22"/>
        </w:rPr>
        <w:t>են</w:t>
      </w:r>
      <w:r w:rsidRPr="00B57DAB">
        <w:rPr>
          <w:rFonts w:ascii="GHEA Grapalat" w:hAnsi="GHEA Grapalat" w:cs="Arial"/>
          <w:sz w:val="22"/>
          <w:szCs w:val="22"/>
          <w:lang w:val="hy-AM"/>
        </w:rPr>
        <w:t xml:space="preserve"> </w:t>
      </w:r>
      <w:r w:rsidRPr="00B57DAB">
        <w:rPr>
          <w:rFonts w:ascii="GHEA Grapalat" w:hAnsi="GHEA Grapalat" w:cs="Arial"/>
          <w:color w:val="000000" w:themeColor="text1"/>
          <w:sz w:val="22"/>
          <w:szCs w:val="22"/>
          <w:lang w:val="hy-AM"/>
        </w:rPr>
        <w:t xml:space="preserve">արգանդի պարանոցի քաղցկեղի </w:t>
      </w:r>
      <w:r w:rsidRPr="00B57DAB">
        <w:rPr>
          <w:rFonts w:ascii="GHEA Grapalat" w:hAnsi="GHEA Grapalat" w:cs="Arial"/>
          <w:color w:val="000000" w:themeColor="text1"/>
          <w:sz w:val="22"/>
          <w:szCs w:val="22"/>
          <w:lang w:val="zu-ZA"/>
        </w:rPr>
        <w:t>4000</w:t>
      </w:r>
      <w:r w:rsidRPr="00B57DAB">
        <w:rPr>
          <w:rFonts w:ascii="GHEA Grapalat" w:hAnsi="GHEA Grapalat" w:cs="Arial"/>
          <w:color w:val="FF0000"/>
          <w:sz w:val="22"/>
          <w:szCs w:val="22"/>
          <w:lang w:val="hy-AM"/>
        </w:rPr>
        <w:t xml:space="preserve"> </w:t>
      </w:r>
      <w:r w:rsidRPr="00B57DAB">
        <w:rPr>
          <w:rFonts w:ascii="GHEA Grapalat" w:hAnsi="GHEA Grapalat" w:cs="Arial"/>
          <w:sz w:val="22"/>
          <w:szCs w:val="22"/>
          <w:lang w:val="hy-AM"/>
        </w:rPr>
        <w:t xml:space="preserve">հետազոտություն, շաքարային դիաբեթի </w:t>
      </w:r>
      <w:r w:rsidRPr="00B57DAB">
        <w:rPr>
          <w:rFonts w:ascii="GHEA Grapalat" w:hAnsi="GHEA Grapalat" w:cs="Arial"/>
          <w:sz w:val="22"/>
          <w:szCs w:val="22"/>
          <w:lang w:val="zu-ZA"/>
        </w:rPr>
        <w:t>13000</w:t>
      </w:r>
      <w:r w:rsidRPr="00B57DAB">
        <w:rPr>
          <w:rFonts w:ascii="GHEA Grapalat" w:hAnsi="GHEA Grapalat" w:cs="Arial"/>
          <w:sz w:val="22"/>
          <w:szCs w:val="22"/>
          <w:lang w:val="hy-AM"/>
        </w:rPr>
        <w:t xml:space="preserve"> հետազոտություն և հղիների արյան ու մեզի </w:t>
      </w:r>
      <w:r w:rsidRPr="00B57DAB">
        <w:rPr>
          <w:rFonts w:ascii="GHEA Grapalat" w:hAnsi="GHEA Grapalat" w:cs="Arial"/>
          <w:sz w:val="22"/>
          <w:szCs w:val="22"/>
          <w:lang w:val="zu-ZA"/>
        </w:rPr>
        <w:t>2000</w:t>
      </w:r>
      <w:r w:rsidRPr="00B57DAB">
        <w:rPr>
          <w:rFonts w:ascii="GHEA Grapalat" w:hAnsi="GHEA Grapalat" w:cs="Arial"/>
          <w:sz w:val="22"/>
          <w:szCs w:val="22"/>
          <w:lang w:val="hy-AM"/>
        </w:rPr>
        <w:t xml:space="preserve"> հետազոտություն</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Համաշխարհային բանկի աջակցությամբ իրականացվող Ոչ վարակիչ հիվանդությունների կանխարգելման և վերահսկման ծրագրի՝ շենքային պայմանների բարելավման բաղադրիչի շրջանակներում իրականացվել են ՀՀ Գեղարքունիքի մարզի «Մարտունու բժշկական կենտրոն» ՓԲԸ-ի հիվանդանոցային նոր մասնաշենքի շինարարական աշխատանքներ</w:t>
      </w:r>
      <w:r w:rsidR="00134213" w:rsidRPr="00B57DAB">
        <w:rPr>
          <w:rFonts w:ascii="GHEA Grapalat" w:hAnsi="GHEA Grapalat" w:cs="Arial"/>
          <w:sz w:val="22"/>
          <w:szCs w:val="22"/>
        </w:rPr>
        <w:t>ը</w:t>
      </w:r>
      <w:r w:rsidRPr="00B57DAB">
        <w:rPr>
          <w:rFonts w:ascii="GHEA Grapalat" w:hAnsi="GHEA Grapalat" w:cs="Arial"/>
          <w:sz w:val="22"/>
          <w:szCs w:val="22"/>
          <w:lang w:val="zu-ZA"/>
        </w:rPr>
        <w:t>:</w:t>
      </w:r>
    </w:p>
    <w:p w:rsidR="00AC1611" w:rsidRPr="00B57DAB" w:rsidRDefault="00AC1611" w:rsidP="00AC1611">
      <w:pPr>
        <w:spacing w:line="360" w:lineRule="auto"/>
        <w:ind w:firstLine="567"/>
        <w:jc w:val="both"/>
        <w:rPr>
          <w:rFonts w:ascii="GHEA Grapalat" w:hAnsi="GHEA Grapalat" w:cs="Arial"/>
          <w:sz w:val="22"/>
          <w:szCs w:val="22"/>
          <w:lang w:val="hy-AM"/>
        </w:rPr>
      </w:pPr>
      <w:r w:rsidRPr="00B57DAB">
        <w:rPr>
          <w:rFonts w:ascii="GHEA Grapalat" w:hAnsi="GHEA Grapalat" w:cs="Arial"/>
          <w:sz w:val="22"/>
          <w:szCs w:val="22"/>
          <w:lang w:val="hy-AM"/>
        </w:rPr>
        <w:t>Համաշխարհային բանկի աջակցությամբ իրականացվող Ոչ վարակիչ հիվանդությունների կանխարգելման և վերահսկման ծրագրի լրացուցիչ ֆինանսավորման միջոցառման՝ շենքային պայմանների բարելավման բաղադրիչի շրջանակներում իրականացվել են ՀՀ Վայոց ձորի մարզի «Եղեգնաձորի բժշկական կենտրոն» ՓԲԸ-ի հիվանդանոցային նոր շենքի կառուցման աշխատանքները, իսկ ծառայությունների ձեռքբերման բաղադրիչի շրջանակներում՝ նշված շինարարական աշխատանքների տեխնիկական հսկողությունը:</w:t>
      </w:r>
    </w:p>
    <w:p w:rsidR="00AC1611" w:rsidRPr="00B57DAB" w:rsidRDefault="00AC1611" w:rsidP="00AC1611">
      <w:pPr>
        <w:spacing w:line="360" w:lineRule="auto"/>
        <w:ind w:firstLine="567"/>
        <w:jc w:val="both"/>
        <w:rPr>
          <w:rFonts w:ascii="GHEA Grapalat" w:hAnsi="GHEA Grapalat" w:cs="Arial"/>
          <w:sz w:val="22"/>
          <w:szCs w:val="22"/>
          <w:lang w:val="hy-AM"/>
        </w:rPr>
      </w:pPr>
      <w:r w:rsidRPr="00B57DAB">
        <w:rPr>
          <w:rFonts w:ascii="GHEA Grapalat" w:hAnsi="GHEA Grapalat" w:cs="Arial"/>
          <w:sz w:val="22"/>
          <w:szCs w:val="22"/>
          <w:lang w:val="hy-AM"/>
        </w:rPr>
        <w:t>Համաշխարհային բանկի աջակցությամբ իրականացվող Ոչ վարակիչ հիվանդությունների կանխարգելման և վերահսկման վարկային ծրագրի շրջանակներում հաշվետու</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ժամանակահատվածում ընդհանուր առմամբ օգտագործվել է 139.8 մլն դրամ կամ ծրագրված միջոցների 28.2%-ը:</w:t>
      </w:r>
      <w:r w:rsidRPr="00B57DAB">
        <w:rPr>
          <w:rFonts w:ascii="GHEA Grapalat" w:hAnsi="GHEA Grapalat" w:cs="Arial"/>
          <w:sz w:val="22"/>
          <w:szCs w:val="22"/>
          <w:lang w:val="zu-ZA"/>
        </w:rPr>
        <w:t xml:space="preserve"> Ծրագրի ցածր կատարողականը</w:t>
      </w:r>
      <w:r w:rsidRPr="00B57DAB">
        <w:rPr>
          <w:rFonts w:ascii="GHEA Grapalat" w:hAnsi="GHEA Grapalat" w:cs="Arial"/>
          <w:sz w:val="22"/>
          <w:szCs w:val="22"/>
          <w:lang w:val="hy-AM"/>
        </w:rPr>
        <w:t xml:space="preserve"> հիմնականում պայմանավորված է շինարարական</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 xml:space="preserve">աշխատանքների ծավալներով և որոշ կատարողականներ հաշվետու ժամանակահատվածի վերջում ներկայացվելու և սքրինինգային որոշ հետազոտություններ վերիֆիկացիայի ամփոփման փուլում գտնվելու հանգամանքով, </w:t>
      </w:r>
      <w:r w:rsidR="005B6E9F" w:rsidRPr="00B57DAB">
        <w:rPr>
          <w:rFonts w:ascii="GHEA Grapalat" w:hAnsi="GHEA Grapalat" w:cs="Arial"/>
          <w:sz w:val="22"/>
          <w:szCs w:val="22"/>
        </w:rPr>
        <w:t>որոնց</w:t>
      </w:r>
      <w:r w:rsidRPr="00B57DAB">
        <w:rPr>
          <w:rFonts w:ascii="GHEA Grapalat" w:hAnsi="GHEA Grapalat" w:cs="Arial"/>
          <w:sz w:val="22"/>
          <w:szCs w:val="22"/>
          <w:lang w:val="hy-AM"/>
        </w:rPr>
        <w:t xml:space="preserve"> արդյունքում վճարումները տեղափոխվել են հաջորդ եռամսյակ:</w:t>
      </w:r>
    </w:p>
    <w:p w:rsidR="00AC1611" w:rsidRPr="00B57DAB" w:rsidRDefault="00AC1611" w:rsidP="00AC1611">
      <w:pPr>
        <w:spacing w:line="360" w:lineRule="auto"/>
        <w:ind w:firstLine="567"/>
        <w:jc w:val="both"/>
        <w:rPr>
          <w:rFonts w:ascii="GHEA Grapalat" w:hAnsi="GHEA Grapalat" w:cs="Arial"/>
          <w:sz w:val="22"/>
          <w:szCs w:val="22"/>
          <w:lang w:val="hy-AM"/>
        </w:rPr>
      </w:pPr>
      <w:r w:rsidRPr="00B57DAB">
        <w:rPr>
          <w:rFonts w:ascii="GHEA Grapalat" w:hAnsi="GHEA Grapalat" w:cs="Arial"/>
          <w:sz w:val="22"/>
          <w:szCs w:val="22"/>
          <w:lang w:val="hy-AM"/>
        </w:rPr>
        <w:lastRenderedPageBreak/>
        <w:t xml:space="preserve">Հաշվետու ժամանակահատվածում </w:t>
      </w:r>
      <w:r w:rsidRPr="00B57DAB">
        <w:rPr>
          <w:rFonts w:ascii="GHEA Grapalat" w:hAnsi="GHEA Grapalat" w:cs="Sylfaen"/>
          <w:sz w:val="22"/>
          <w:szCs w:val="22"/>
          <w:lang w:val="hy-AM"/>
        </w:rPr>
        <w:t>Գլոբալ հիմնադրամի աջակցությամբ իրականացվել են 8 միջոցառումներ, որոնց ընդհանուր առմամբ ուղղվել է 499.9 մլն դրամ՝ կազմելով ծրագրված ցուցանիշի 33.4%-ը: Մասնավորապես՝</w:t>
      </w:r>
      <w:r w:rsidRPr="00B57DAB">
        <w:rPr>
          <w:rFonts w:ascii="GHEA Grapalat" w:hAnsi="GHEA Grapalat" w:cs="Arial"/>
          <w:sz w:val="22"/>
          <w:szCs w:val="22"/>
          <w:lang w:val="hy-AM"/>
        </w:rPr>
        <w:t xml:space="preserve"> Գլոբալ հիմնադրամի աջակցությամբ իրականացվող Հայաստանի Հանրապետությունում տուբերկուլյոզի և ՄԻԱՎ/ՁԻԱՀ-ի ծրագրերի հզորացման դրամաշնորհային ծրագրի շրջանակներում հաշվետու</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ժամանակահատվածում ընդհանուր առմամբ օգտագործվել է 67.9 մլն դրամ կամ նախատեսված միջոցների 6.4%-ը</w:t>
      </w:r>
      <w:r w:rsidR="005B6E9F" w:rsidRPr="00B57DAB">
        <w:rPr>
          <w:rFonts w:ascii="GHEA Grapalat" w:hAnsi="GHEA Grapalat" w:cs="Arial"/>
          <w:sz w:val="22"/>
          <w:szCs w:val="22"/>
        </w:rPr>
        <w:t>, որից</w:t>
      </w:r>
      <w:r w:rsidRPr="00B57DAB">
        <w:rPr>
          <w:rFonts w:ascii="GHEA Grapalat" w:hAnsi="GHEA Grapalat" w:cs="Arial"/>
          <w:sz w:val="22"/>
          <w:szCs w:val="22"/>
          <w:lang w:val="hy-AM"/>
        </w:rPr>
        <w:t xml:space="preserve"> 65.3 մլն դրամ</w:t>
      </w:r>
      <w:r w:rsidR="005B6E9F" w:rsidRPr="00B57DAB">
        <w:rPr>
          <w:rFonts w:ascii="GHEA Grapalat" w:hAnsi="GHEA Grapalat" w:cs="Arial"/>
          <w:sz w:val="22"/>
          <w:szCs w:val="22"/>
        </w:rPr>
        <w:t xml:space="preserve">ն </w:t>
      </w:r>
      <w:r w:rsidRPr="00B57DAB">
        <w:rPr>
          <w:rFonts w:ascii="GHEA Grapalat" w:hAnsi="GHEA Grapalat" w:cs="Arial"/>
          <w:sz w:val="22"/>
          <w:szCs w:val="22"/>
          <w:lang w:val="hy-AM"/>
        </w:rPr>
        <w:t>տրամադրվել</w:t>
      </w:r>
      <w:r w:rsidR="00231A8D" w:rsidRPr="00B57DAB">
        <w:rPr>
          <w:rFonts w:ascii="GHEA Grapalat" w:hAnsi="GHEA Grapalat" w:cs="Arial"/>
          <w:sz w:val="22"/>
          <w:szCs w:val="22"/>
        </w:rPr>
        <w:t xml:space="preserve"> է</w:t>
      </w:r>
      <w:r w:rsidRPr="00B57DAB">
        <w:rPr>
          <w:rFonts w:ascii="GHEA Grapalat" w:hAnsi="GHEA Grapalat" w:cs="Arial"/>
          <w:sz w:val="22"/>
          <w:szCs w:val="22"/>
          <w:lang w:val="hy-AM"/>
        </w:rPr>
        <w:t xml:space="preserve"> ծրագրի ծառայությունների ձեռքբերման բաղադրիչի շրջանակներում</w:t>
      </w:r>
      <w:r w:rsidR="005B6E9F" w:rsidRPr="00B57DAB">
        <w:rPr>
          <w:rFonts w:ascii="GHEA Grapalat" w:hAnsi="GHEA Grapalat" w:cs="Arial"/>
          <w:sz w:val="22"/>
          <w:szCs w:val="22"/>
        </w:rPr>
        <w:t>,</w:t>
      </w:r>
      <w:r w:rsidR="00D027DA" w:rsidRPr="00B57DAB">
        <w:rPr>
          <w:rFonts w:ascii="GHEA Grapalat" w:hAnsi="GHEA Grapalat" w:cs="Arial"/>
          <w:sz w:val="22"/>
          <w:szCs w:val="22"/>
          <w:lang w:val="hy-AM"/>
        </w:rPr>
        <w:t xml:space="preserve"> </w:t>
      </w:r>
      <w:r w:rsidRPr="00B57DAB">
        <w:rPr>
          <w:rFonts w:ascii="GHEA Grapalat" w:hAnsi="GHEA Grapalat" w:cs="Arial"/>
          <w:sz w:val="22"/>
          <w:szCs w:val="22"/>
          <w:lang w:val="hy-AM"/>
        </w:rPr>
        <w:t>2.7 մլն դրամ</w:t>
      </w:r>
      <w:r w:rsidR="005B6E9F" w:rsidRPr="00B57DAB">
        <w:rPr>
          <w:rFonts w:ascii="GHEA Grapalat" w:hAnsi="GHEA Grapalat" w:cs="Arial"/>
          <w:sz w:val="22"/>
          <w:szCs w:val="22"/>
        </w:rPr>
        <w:t>ը</w:t>
      </w:r>
      <w:r w:rsidRPr="00B57DAB">
        <w:rPr>
          <w:rFonts w:ascii="GHEA Grapalat" w:hAnsi="GHEA Grapalat" w:cs="Arial"/>
          <w:sz w:val="22"/>
          <w:szCs w:val="22"/>
          <w:lang w:val="hy-AM"/>
        </w:rPr>
        <w:t>` ՀՀ պետական առողջապահական համակարգի կարողությունների զարգացման և տեխնիկական հագեցվածության ապահովման բաղադրիչի շրջանակներում: Ծրագրի ցածր կատարողականը հիմնականում պայմանավորված է ուղղակի գնման եղանակով ներմո</w:t>
      </w:r>
      <w:r w:rsidR="005B6E9F" w:rsidRPr="00B57DAB">
        <w:rPr>
          <w:rFonts w:ascii="GHEA Grapalat" w:hAnsi="GHEA Grapalat" w:cs="Arial"/>
          <w:sz w:val="22"/>
          <w:szCs w:val="22"/>
          <w:lang w:val="hy-AM"/>
        </w:rPr>
        <w:t>ւծվող բեռների ուշացումներով, որ</w:t>
      </w:r>
      <w:r w:rsidR="005B6E9F" w:rsidRPr="00B57DAB">
        <w:rPr>
          <w:rFonts w:ascii="GHEA Grapalat" w:hAnsi="GHEA Grapalat" w:cs="Arial"/>
          <w:sz w:val="22"/>
          <w:szCs w:val="22"/>
        </w:rPr>
        <w:t>ոնց</w:t>
      </w:r>
      <w:r w:rsidRPr="00B57DAB">
        <w:rPr>
          <w:rFonts w:ascii="GHEA Grapalat" w:hAnsi="GHEA Grapalat" w:cs="Arial"/>
          <w:sz w:val="22"/>
          <w:szCs w:val="22"/>
          <w:lang w:val="hy-AM"/>
        </w:rPr>
        <w:t xml:space="preserve"> արդյունքում նախատեսված մատակարարման և մաքսազերծման ծառայությունների որոշ մասը տեղափոխվել է հաջորդ եռամսյակ, ինչպես նաև գնումների գործընթացով՝ բժշկական սարքավորումների ձեռք բերման մրցույթներն ամփոփվել են հաշվետու եռամսյակի ավարտից հետո, որի արդյունքում ապրանքների մատակարարումը տեղափոխվել է հաջորդ եռամսյակ:</w:t>
      </w:r>
    </w:p>
    <w:p w:rsidR="00AC1611" w:rsidRPr="00B57DAB" w:rsidRDefault="00AC1611" w:rsidP="00AC1611">
      <w:pPr>
        <w:autoSpaceDE w:val="0"/>
        <w:autoSpaceDN w:val="0"/>
        <w:adjustRightInd w:val="0"/>
        <w:spacing w:line="360" w:lineRule="auto"/>
        <w:ind w:firstLine="567"/>
        <w:jc w:val="both"/>
        <w:rPr>
          <w:rFonts w:ascii="GHEA Grapalat" w:hAnsi="GHEA Grapalat" w:cs="Arial"/>
          <w:sz w:val="22"/>
          <w:szCs w:val="22"/>
          <w:lang w:val="hy-AM"/>
        </w:rPr>
      </w:pPr>
      <w:r w:rsidRPr="00B57DAB">
        <w:rPr>
          <w:rFonts w:ascii="GHEA Grapalat" w:hAnsi="GHEA Grapalat" w:cs="Arial"/>
          <w:sz w:val="22"/>
          <w:szCs w:val="22"/>
          <w:lang w:val="hy-AM"/>
        </w:rPr>
        <w:t xml:space="preserve">Գլոբալ հիմնադրամի աջակցությամբ 201.4 մլն դրամ </w:t>
      </w:r>
      <w:r w:rsidRPr="00B57DAB">
        <w:rPr>
          <w:rFonts w:ascii="GHEA Grapalat" w:hAnsi="GHEA Grapalat" w:cs="Calibri"/>
          <w:sz w:val="22"/>
          <w:szCs w:val="22"/>
          <w:lang w:val="hy-AM"/>
        </w:rPr>
        <w:t>(նախատեսվածի 100.7%-ը)</w:t>
      </w:r>
      <w:r w:rsidRPr="00B57DAB">
        <w:rPr>
          <w:rFonts w:ascii="GHEA Grapalat" w:hAnsi="GHEA Grapalat" w:cs="Arial"/>
          <w:sz w:val="22"/>
          <w:szCs w:val="22"/>
          <w:lang w:val="hy-AM"/>
        </w:rPr>
        <w:t xml:space="preserve"> տրամադրվել է </w:t>
      </w:r>
      <w:r w:rsidRPr="00B57DAB">
        <w:rPr>
          <w:rFonts w:ascii="GHEA Grapalat" w:hAnsi="GHEA Grapalat" w:cs="Sylfaen"/>
          <w:sz w:val="22"/>
          <w:szCs w:val="22"/>
          <w:lang w:val="hy-AM"/>
        </w:rPr>
        <w:t xml:space="preserve">Հայաստանի Հանրապետությունում ՄԻԱՎ/ՁԻԱՀ-ի դեմ պայքարի ազգային ծրագրին աջակցություն դրամաշնորհային շարունակության </w:t>
      </w:r>
      <w:r w:rsidRPr="00B57DAB">
        <w:rPr>
          <w:rFonts w:ascii="GHEA Grapalat" w:hAnsi="GHEA Grapalat" w:cs="Arial"/>
          <w:sz w:val="22"/>
          <w:szCs w:val="22"/>
          <w:lang w:val="hy-AM"/>
        </w:rPr>
        <w:t>ծրագրին, 149.4</w:t>
      </w:r>
      <w:r w:rsidRPr="00B57DAB">
        <w:rPr>
          <w:rFonts w:ascii="GHEA Grapalat" w:hAnsi="GHEA Grapalat" w:cs="Sylfaen"/>
          <w:sz w:val="22"/>
          <w:szCs w:val="22"/>
          <w:lang w:val="hy-AM"/>
        </w:rPr>
        <w:t xml:space="preserve"> մլն դրամ </w:t>
      </w:r>
      <w:r w:rsidRPr="00B57DAB">
        <w:rPr>
          <w:rFonts w:ascii="GHEA Grapalat" w:hAnsi="GHEA Grapalat" w:cs="Calibri"/>
          <w:sz w:val="22"/>
          <w:szCs w:val="22"/>
          <w:lang w:val="hy-AM"/>
        </w:rPr>
        <w:t>(նախատեսվածի 99.6%</w:t>
      </w:r>
      <w:r w:rsidRPr="00B57DAB">
        <w:rPr>
          <w:rFonts w:ascii="GHEA Grapalat" w:hAnsi="GHEA Grapalat" w:cs="Arial"/>
          <w:sz w:val="22"/>
          <w:szCs w:val="22"/>
          <w:lang w:val="hy-AM"/>
        </w:rPr>
        <w:noBreakHyphen/>
        <w:t>ը</w:t>
      </w:r>
      <w:r w:rsidRPr="00B57DAB">
        <w:rPr>
          <w:rFonts w:ascii="GHEA Grapalat" w:hAnsi="GHEA Grapalat" w:cs="Calibri"/>
          <w:sz w:val="22"/>
          <w:szCs w:val="22"/>
          <w:lang w:val="hy-AM"/>
        </w:rPr>
        <w:t>)` «Հայաստանի Հանրապետությունում տուբերկուլյոզի դեմ պայքարի ազգային ծրագրին աջակցություն»</w:t>
      </w:r>
      <w:r w:rsidRPr="00B57DAB">
        <w:rPr>
          <w:rFonts w:ascii="GHEA Grapalat" w:hAnsi="GHEA Grapalat" w:cs="Calibri"/>
          <w:sz w:val="22"/>
          <w:szCs w:val="22"/>
          <w:lang w:val="zu-ZA"/>
        </w:rPr>
        <w:t>,</w:t>
      </w:r>
      <w:r w:rsidRPr="00B57DAB">
        <w:rPr>
          <w:rFonts w:ascii="GHEA Grapalat" w:hAnsi="GHEA Grapalat" w:cs="Arial"/>
          <w:sz w:val="22"/>
          <w:szCs w:val="22"/>
          <w:lang w:val="hy-AM"/>
        </w:rPr>
        <w:t xml:space="preserve"> 39.2 մլն դրամ (նախատեսվածի 97.9%</w:t>
      </w:r>
      <w:r w:rsidRPr="00B57DAB">
        <w:rPr>
          <w:rFonts w:ascii="GHEA Grapalat" w:hAnsi="GHEA Grapalat" w:cs="Arial"/>
          <w:sz w:val="22"/>
          <w:szCs w:val="22"/>
          <w:lang w:val="hy-AM"/>
        </w:rPr>
        <w:noBreakHyphen/>
        <w:t>ը)` «Հայաստանի Հանրապետությունում ՄԻԱՎ/ՁԻԱՀ վարակի կանխարգելում թմրամիջոցներ օգտագործողների շրջանում», 23.2 մլն դրամ (նախատեսվածի 100.1%</w:t>
      </w:r>
      <w:r w:rsidRPr="00B57DAB">
        <w:rPr>
          <w:rFonts w:ascii="GHEA Grapalat" w:hAnsi="GHEA Grapalat" w:cs="Arial"/>
          <w:sz w:val="22"/>
          <w:szCs w:val="22"/>
          <w:lang w:val="hy-AM"/>
        </w:rPr>
        <w:noBreakHyphen/>
        <w:t>ը)` «Հայաստանի Հանրապետությունում Covid համավարակի դեմ պայքարի», 14.9 մլն դրամ (նախատեսվածի 99.7%</w:t>
      </w:r>
      <w:r w:rsidRPr="00B57DAB">
        <w:rPr>
          <w:rFonts w:ascii="GHEA Grapalat" w:hAnsi="GHEA Grapalat" w:cs="Arial"/>
          <w:sz w:val="22"/>
          <w:szCs w:val="22"/>
          <w:lang w:val="hy-AM"/>
        </w:rPr>
        <w:noBreakHyphen/>
        <w:t>ը)՝ «Հայաստանի Հանրապետությունում տուբերկուլյոզով հիվանդներին հոգեբանական աջակցության տրամադրում», 3.8 մլն դրամ (նախատեսվածի 96%</w:t>
      </w:r>
      <w:r w:rsidRPr="00B57DAB">
        <w:rPr>
          <w:rFonts w:ascii="GHEA Grapalat" w:hAnsi="GHEA Grapalat" w:cs="Arial"/>
          <w:sz w:val="22"/>
          <w:szCs w:val="22"/>
          <w:lang w:val="hy-AM"/>
        </w:rPr>
        <w:noBreakHyphen/>
        <w:t>ը)` «Հայաստանի Հանրապետությունում տուբերկուլյոզի և ՄԻԱՎ/ՁԻԱՀ-ի կանխարգելում, ախտորոշում և բուժում քրեակատարողական համակարգում»</w:t>
      </w:r>
      <w:r w:rsidRPr="00B57DAB">
        <w:rPr>
          <w:rFonts w:ascii="GHEA Grapalat" w:hAnsi="GHEA Grapalat" w:cs="Calibri"/>
          <w:sz w:val="22"/>
          <w:szCs w:val="22"/>
          <w:lang w:val="zu-ZA"/>
        </w:rPr>
        <w:t xml:space="preserve"> </w:t>
      </w:r>
      <w:r w:rsidRPr="00B57DAB">
        <w:rPr>
          <w:rFonts w:ascii="GHEA Grapalat" w:hAnsi="GHEA Grapalat" w:cs="Calibri"/>
          <w:sz w:val="22"/>
          <w:szCs w:val="22"/>
          <w:lang w:val="hy-AM"/>
        </w:rPr>
        <w:t>միջոցառումներին</w:t>
      </w:r>
      <w:r w:rsidRPr="00B57DAB">
        <w:rPr>
          <w:rFonts w:ascii="GHEA Grapalat" w:hAnsi="GHEA Grapalat" w:cs="Calibri"/>
          <w:sz w:val="22"/>
          <w:szCs w:val="22"/>
          <w:lang w:val="zu-ZA"/>
        </w:rPr>
        <w:t>: Վ</w:t>
      </w:r>
      <w:r w:rsidRPr="00B57DAB">
        <w:rPr>
          <w:rFonts w:ascii="GHEA Grapalat" w:hAnsi="GHEA Grapalat" w:cs="Sylfaen"/>
          <w:sz w:val="22"/>
          <w:szCs w:val="22"/>
          <w:lang w:val="hy-AM"/>
        </w:rPr>
        <w:t>երոնշյալ</w:t>
      </w:r>
      <w:r w:rsidRPr="00B57DAB">
        <w:rPr>
          <w:rFonts w:ascii="GHEA Grapalat" w:hAnsi="GHEA Grapalat" w:cs="Sylfaen"/>
          <w:sz w:val="22"/>
          <w:szCs w:val="22"/>
          <w:lang w:val="zu-ZA"/>
        </w:rPr>
        <w:t xml:space="preserve"> </w:t>
      </w:r>
      <w:r w:rsidRPr="00B57DAB">
        <w:rPr>
          <w:rFonts w:ascii="GHEA Grapalat" w:hAnsi="GHEA Grapalat" w:cs="Sylfaen"/>
          <w:sz w:val="22"/>
          <w:szCs w:val="22"/>
          <w:lang w:val="hy-AM"/>
        </w:rPr>
        <w:t>դրամաշնորհային</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ծրագրերի կատարողականները</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պայմանավորված</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են</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արտարժույթի կանխատեսված և փաստացի փոխարժեքների տարբերությամբ:</w:t>
      </w:r>
    </w:p>
    <w:p w:rsidR="00AC1611" w:rsidRPr="00B57DAB" w:rsidRDefault="00AC1611" w:rsidP="00AC1611">
      <w:pPr>
        <w:autoSpaceDE w:val="0"/>
        <w:autoSpaceDN w:val="0"/>
        <w:adjustRightInd w:val="0"/>
        <w:spacing w:line="360" w:lineRule="auto"/>
        <w:ind w:firstLine="567"/>
        <w:jc w:val="both"/>
        <w:rPr>
          <w:rFonts w:ascii="GHEA Grapalat" w:hAnsi="GHEA Grapalat" w:cs="Arial"/>
          <w:sz w:val="22"/>
          <w:szCs w:val="22"/>
          <w:lang w:val="hy-AM"/>
        </w:rPr>
      </w:pPr>
      <w:r w:rsidRPr="00B57DAB">
        <w:rPr>
          <w:rFonts w:ascii="GHEA Grapalat" w:hAnsi="GHEA Grapalat" w:cs="Arial"/>
          <w:sz w:val="22"/>
          <w:szCs w:val="22"/>
          <w:lang w:val="hy-AM"/>
        </w:rPr>
        <w:t>Նախորդ</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տարվա</w:t>
      </w:r>
      <w:r w:rsidRPr="00B57DAB">
        <w:rPr>
          <w:rFonts w:ascii="GHEA Grapalat" w:hAnsi="GHEA Grapalat" w:cs="Sylfaen"/>
          <w:sz w:val="22"/>
          <w:szCs w:val="22"/>
          <w:lang w:val="zu-ZA"/>
        </w:rPr>
        <w:t xml:space="preserve"> </w:t>
      </w:r>
      <w:r w:rsidRPr="00B57DAB">
        <w:rPr>
          <w:rFonts w:ascii="GHEA Grapalat" w:hAnsi="GHEA Grapalat" w:cs="Arial"/>
          <w:sz w:val="22"/>
          <w:szCs w:val="22"/>
          <w:lang w:val="zu-ZA"/>
        </w:rPr>
        <w:t>առաջին եռամսյակի</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համեմատ</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Առողջապահության</w:t>
      </w:r>
      <w:r w:rsidRPr="00B57DAB">
        <w:rPr>
          <w:rFonts w:ascii="GHEA Grapalat" w:hAnsi="GHEA Grapalat"/>
          <w:sz w:val="22"/>
          <w:szCs w:val="22"/>
          <w:lang w:val="zu-ZA"/>
        </w:rPr>
        <w:t xml:space="preserve"> </w:t>
      </w:r>
      <w:r w:rsidRPr="00B57DAB">
        <w:rPr>
          <w:rFonts w:ascii="GHEA Grapalat" w:hAnsi="GHEA Grapalat" w:cs="Arial"/>
          <w:sz w:val="22"/>
          <w:szCs w:val="22"/>
          <w:lang w:val="hy-AM"/>
        </w:rPr>
        <w:t>համակարգի</w:t>
      </w:r>
      <w:r w:rsidRPr="00B57DAB">
        <w:rPr>
          <w:rFonts w:ascii="GHEA Grapalat" w:hAnsi="GHEA Grapalat"/>
          <w:sz w:val="22"/>
          <w:szCs w:val="22"/>
          <w:lang w:val="zu-ZA"/>
        </w:rPr>
        <w:t xml:space="preserve"> </w:t>
      </w:r>
      <w:r w:rsidRPr="00B57DAB">
        <w:rPr>
          <w:rFonts w:ascii="GHEA Grapalat" w:hAnsi="GHEA Grapalat" w:cs="Arial"/>
          <w:sz w:val="22"/>
          <w:szCs w:val="22"/>
          <w:lang w:val="hy-AM"/>
        </w:rPr>
        <w:t>արդիականացման</w:t>
      </w:r>
      <w:r w:rsidRPr="00B57DAB">
        <w:rPr>
          <w:rFonts w:ascii="GHEA Grapalat" w:hAnsi="GHEA Grapalat"/>
          <w:sz w:val="22"/>
          <w:szCs w:val="22"/>
          <w:lang w:val="zu-ZA"/>
        </w:rPr>
        <w:t xml:space="preserve"> </w:t>
      </w:r>
      <w:r w:rsidRPr="00B57DAB">
        <w:rPr>
          <w:rFonts w:ascii="GHEA Grapalat" w:hAnsi="GHEA Grapalat" w:cs="Arial"/>
          <w:sz w:val="22"/>
          <w:szCs w:val="22"/>
          <w:lang w:val="hy-AM"/>
        </w:rPr>
        <w:t>և</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արդյունավետության</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բարձրացման</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ծրագրի</w:t>
      </w:r>
      <w:r w:rsidRPr="00B57DAB">
        <w:rPr>
          <w:rFonts w:ascii="GHEA Grapalat" w:hAnsi="GHEA Grapalat" w:cs="Arial"/>
          <w:sz w:val="22"/>
          <w:szCs w:val="22"/>
          <w:lang w:val="zu-ZA"/>
        </w:rPr>
        <w:t xml:space="preserve"> </w:t>
      </w:r>
      <w:r w:rsidRPr="00B57DAB">
        <w:rPr>
          <w:rFonts w:ascii="GHEA Grapalat" w:hAnsi="GHEA Grapalat" w:cs="Arial"/>
          <w:sz w:val="22"/>
          <w:szCs w:val="22"/>
          <w:lang w:val="hy-AM"/>
        </w:rPr>
        <w:t>ծախսերն աճել</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են</w:t>
      </w:r>
      <w:r w:rsidRPr="00B57DAB">
        <w:rPr>
          <w:rFonts w:ascii="GHEA Grapalat" w:hAnsi="GHEA Grapalat" w:cs="Sylfaen"/>
          <w:sz w:val="22"/>
          <w:szCs w:val="22"/>
          <w:lang w:val="zu-ZA"/>
        </w:rPr>
        <w:t xml:space="preserve"> 32.1%-</w:t>
      </w:r>
      <w:r w:rsidRPr="00B57DAB">
        <w:rPr>
          <w:rFonts w:ascii="GHEA Grapalat" w:hAnsi="GHEA Grapalat" w:cs="Arial"/>
          <w:sz w:val="22"/>
          <w:szCs w:val="22"/>
          <w:lang w:val="hy-AM"/>
        </w:rPr>
        <w:t>ով</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կամ</w:t>
      </w:r>
      <w:r w:rsidRPr="00B57DAB">
        <w:rPr>
          <w:rFonts w:ascii="GHEA Grapalat" w:hAnsi="GHEA Grapalat" w:cs="Sylfaen"/>
          <w:sz w:val="22"/>
          <w:szCs w:val="22"/>
          <w:lang w:val="zu-ZA"/>
        </w:rPr>
        <w:t xml:space="preserve"> 159.5 </w:t>
      </w:r>
      <w:r w:rsidRPr="00B57DAB">
        <w:rPr>
          <w:rFonts w:ascii="GHEA Grapalat" w:hAnsi="GHEA Grapalat" w:cs="Arial"/>
          <w:sz w:val="22"/>
          <w:szCs w:val="22"/>
          <w:lang w:val="hy-AM"/>
        </w:rPr>
        <w:t>մլն</w:t>
      </w:r>
      <w:r w:rsidRPr="00B57DAB">
        <w:rPr>
          <w:rFonts w:ascii="GHEA Grapalat" w:hAnsi="GHEA Grapalat" w:cs="Sylfaen"/>
          <w:sz w:val="22"/>
          <w:szCs w:val="22"/>
          <w:lang w:val="zu-ZA"/>
        </w:rPr>
        <w:t xml:space="preserve"> </w:t>
      </w:r>
      <w:r w:rsidRPr="00B57DAB">
        <w:rPr>
          <w:rFonts w:ascii="GHEA Grapalat" w:hAnsi="GHEA Grapalat" w:cs="Arial"/>
          <w:sz w:val="22"/>
          <w:szCs w:val="22"/>
          <w:lang w:val="hy-AM"/>
        </w:rPr>
        <w:t>դրամով</w:t>
      </w:r>
      <w:r w:rsidRPr="00B57DAB">
        <w:rPr>
          <w:rFonts w:ascii="GHEA Grapalat" w:hAnsi="GHEA Grapalat" w:cs="Sylfaen"/>
          <w:sz w:val="22"/>
          <w:szCs w:val="22"/>
          <w:lang w:val="zu-ZA"/>
        </w:rPr>
        <w:t>, որ</w:t>
      </w:r>
      <w:r w:rsidRPr="00B57DAB">
        <w:rPr>
          <w:rFonts w:ascii="GHEA Grapalat" w:hAnsi="GHEA Grapalat" w:cs="Arial"/>
          <w:sz w:val="22"/>
          <w:szCs w:val="22"/>
          <w:lang w:val="hy-AM"/>
        </w:rPr>
        <w:t>ը</w:t>
      </w:r>
      <w:r w:rsidRPr="00B57DAB">
        <w:rPr>
          <w:rFonts w:ascii="GHEA Grapalat" w:hAnsi="GHEA Grapalat" w:cs="Sylfaen"/>
          <w:sz w:val="22"/>
          <w:szCs w:val="22"/>
          <w:lang w:val="hy-AM"/>
        </w:rPr>
        <w:t xml:space="preserve"> հիմնականում</w:t>
      </w:r>
      <w:r w:rsidRPr="00B57DAB">
        <w:rPr>
          <w:rFonts w:ascii="GHEA Grapalat" w:hAnsi="GHEA Grapalat" w:cs="Sylfaen"/>
          <w:sz w:val="22"/>
          <w:szCs w:val="22"/>
          <w:lang w:val="zu-ZA"/>
        </w:rPr>
        <w:t xml:space="preserve"> </w:t>
      </w:r>
      <w:r w:rsidRPr="00B57DAB">
        <w:rPr>
          <w:rFonts w:ascii="GHEA Grapalat" w:hAnsi="GHEA Grapalat" w:cs="Sylfaen"/>
          <w:sz w:val="22"/>
          <w:szCs w:val="22"/>
          <w:lang w:val="hy-AM"/>
        </w:rPr>
        <w:t xml:space="preserve">պայմանավորված </w:t>
      </w:r>
      <w:r w:rsidRPr="00B57DAB">
        <w:rPr>
          <w:rFonts w:ascii="GHEA Grapalat" w:hAnsi="GHEA Grapalat" w:cs="Arial"/>
          <w:sz w:val="22"/>
          <w:szCs w:val="22"/>
          <w:lang w:val="hy-AM"/>
        </w:rPr>
        <w:t>է Գլոբալ հիմնադրամի աջակցությամբ իրականացվող միջոցառումների ծ</w:t>
      </w:r>
      <w:r w:rsidRPr="00B57DAB">
        <w:rPr>
          <w:rFonts w:ascii="GHEA Grapalat" w:hAnsi="GHEA Grapalat" w:cs="Arial"/>
          <w:bCs/>
          <w:sz w:val="22"/>
          <w:szCs w:val="22"/>
          <w:lang w:val="hy-AM"/>
        </w:rPr>
        <w:t>ախսերի աճով</w:t>
      </w:r>
      <w:r w:rsidRPr="00B57DAB">
        <w:rPr>
          <w:rFonts w:ascii="GHEA Grapalat" w:hAnsi="GHEA Grapalat" w:cs="Arial"/>
          <w:sz w:val="22"/>
          <w:szCs w:val="22"/>
          <w:lang w:val="hy-AM"/>
        </w:rPr>
        <w:t>:</w:t>
      </w:r>
    </w:p>
    <w:p w:rsidR="00AC1611" w:rsidRPr="00B57DAB" w:rsidRDefault="00AC1611" w:rsidP="00AC1611">
      <w:pPr>
        <w:autoSpaceDE w:val="0"/>
        <w:autoSpaceDN w:val="0"/>
        <w:adjustRightInd w:val="0"/>
        <w:spacing w:line="360" w:lineRule="auto"/>
        <w:ind w:firstLine="567"/>
        <w:jc w:val="both"/>
        <w:rPr>
          <w:rFonts w:ascii="GHEA Grapalat" w:hAnsi="GHEA Grapalat" w:cs="Arial"/>
          <w:sz w:val="22"/>
          <w:szCs w:val="22"/>
          <w:lang w:val="hy-AM"/>
        </w:rPr>
      </w:pPr>
      <w:r w:rsidRPr="00B57DAB">
        <w:rPr>
          <w:rFonts w:ascii="GHEA Grapalat" w:hAnsi="GHEA Grapalat" w:cs="Arial"/>
          <w:i/>
          <w:sz w:val="22"/>
          <w:szCs w:val="22"/>
          <w:lang w:val="hy-AM"/>
        </w:rPr>
        <w:t>Շտապ բժշկական օգնության</w:t>
      </w:r>
      <w:r w:rsidRPr="00B57DAB">
        <w:rPr>
          <w:rFonts w:ascii="GHEA Grapalat" w:hAnsi="GHEA Grapalat" w:cs="Arial"/>
          <w:sz w:val="22"/>
          <w:szCs w:val="22"/>
          <w:lang w:val="hy-AM"/>
        </w:rPr>
        <w:t xml:space="preserve"> </w:t>
      </w:r>
      <w:r w:rsidRPr="00B57DAB">
        <w:rPr>
          <w:rFonts w:ascii="GHEA Grapalat" w:hAnsi="GHEA Grapalat" w:cs="Arial"/>
          <w:sz w:val="22"/>
          <w:szCs w:val="22"/>
          <w:lang w:val="zu-ZA"/>
        </w:rPr>
        <w:t>շրջանակներում հաշվետու ժամանակահատվածում սպասարկվել է 180.6 հազար կանչ` բյուջեով կանխատեսված 110 հազարի դիմաց:</w:t>
      </w:r>
      <w:r w:rsidRPr="00B57DAB">
        <w:rPr>
          <w:rFonts w:ascii="GHEA Grapalat" w:hAnsi="GHEA Grapalat" w:cs="Sylfaen"/>
          <w:sz w:val="22"/>
          <w:szCs w:val="22"/>
          <w:lang w:val="af-ZA"/>
        </w:rPr>
        <w:t xml:space="preserve"> </w:t>
      </w:r>
      <w:r w:rsidRPr="00B57DAB">
        <w:rPr>
          <w:rFonts w:ascii="GHEA Grapalat" w:hAnsi="GHEA Grapalat" w:cs="Arial"/>
          <w:sz w:val="22"/>
          <w:szCs w:val="22"/>
          <w:lang w:val="zu-ZA"/>
        </w:rPr>
        <w:t xml:space="preserve">Օդային ճանապարհով </w:t>
      </w:r>
      <w:r w:rsidRPr="00B57DAB">
        <w:rPr>
          <w:rFonts w:ascii="GHEA Grapalat" w:hAnsi="GHEA Grapalat" w:cs="Arial"/>
          <w:sz w:val="22"/>
          <w:szCs w:val="22"/>
          <w:lang w:val="zu-ZA"/>
        </w:rPr>
        <w:lastRenderedPageBreak/>
        <w:t>սպասարկվել</w:t>
      </w:r>
      <w:r w:rsidR="009C5D9A" w:rsidRPr="00B57DAB">
        <w:rPr>
          <w:rFonts w:ascii="GHEA Grapalat" w:hAnsi="GHEA Grapalat" w:cs="Arial"/>
          <w:sz w:val="22"/>
          <w:szCs w:val="22"/>
          <w:lang w:val="zu-ZA"/>
        </w:rPr>
        <w:t xml:space="preserve"> է</w:t>
      </w:r>
      <w:r w:rsidRPr="00B57DAB">
        <w:rPr>
          <w:rFonts w:ascii="GHEA Grapalat" w:hAnsi="GHEA Grapalat" w:cs="Arial"/>
          <w:sz w:val="22"/>
          <w:szCs w:val="22"/>
          <w:lang w:val="zu-ZA"/>
        </w:rPr>
        <w:t xml:space="preserve"> սանիտարական ավիացիայի 8 կանչ՝ կանխատեսված 20</w:t>
      </w:r>
      <w:r w:rsidRPr="00B57DAB">
        <w:rPr>
          <w:rFonts w:ascii="GHEA Grapalat" w:hAnsi="GHEA Grapalat" w:cs="Arial"/>
          <w:sz w:val="22"/>
          <w:szCs w:val="22"/>
          <w:lang w:val="zu-ZA"/>
        </w:rPr>
        <w:noBreakHyphen/>
        <w:t>ի դիմաց, մարզից Երևան կամ այլ տարածաշրջանային հիվանդանոցներ տեղափոխվել է 3894 հիվանդ՝ կանխատեսված 4220</w:t>
      </w:r>
      <w:r w:rsidR="009C5D9A" w:rsidRPr="00B57DAB">
        <w:rPr>
          <w:rFonts w:ascii="GHEA Grapalat" w:hAnsi="GHEA Grapalat" w:cs="Arial"/>
          <w:sz w:val="22"/>
          <w:szCs w:val="22"/>
          <w:lang w:val="zu-ZA"/>
        </w:rPr>
        <w:noBreakHyphen/>
      </w:r>
      <w:r w:rsidRPr="00B57DAB">
        <w:rPr>
          <w:rFonts w:ascii="GHEA Grapalat" w:hAnsi="GHEA Grapalat" w:cs="Arial"/>
          <w:sz w:val="22"/>
          <w:szCs w:val="22"/>
          <w:lang w:val="zu-ZA"/>
        </w:rPr>
        <w:t xml:space="preserve">ի դիմաց: </w:t>
      </w:r>
      <w:r w:rsidRPr="00B57DAB">
        <w:rPr>
          <w:rFonts w:ascii="GHEA Grapalat" w:hAnsi="GHEA Grapalat" w:cs="Arial"/>
          <w:sz w:val="22"/>
          <w:szCs w:val="22"/>
          <w:lang w:val="hy-AM"/>
        </w:rPr>
        <w:t>Շտապ բժշկական օգնության ծրագրի</w:t>
      </w:r>
      <w:r w:rsidRPr="00B57DAB">
        <w:rPr>
          <w:rFonts w:ascii="GHEA Grapalat" w:hAnsi="GHEA Grapalat"/>
          <w:sz w:val="22"/>
          <w:szCs w:val="22"/>
          <w:lang w:val="hy-AM"/>
        </w:rPr>
        <w:t xml:space="preserve"> </w:t>
      </w:r>
      <w:r w:rsidRPr="00B57DAB">
        <w:rPr>
          <w:rFonts w:ascii="GHEA Grapalat" w:hAnsi="GHEA Grapalat" w:cs="Arial"/>
          <w:sz w:val="22"/>
          <w:szCs w:val="22"/>
          <w:lang w:val="hy-AM"/>
        </w:rPr>
        <w:t>շրջանակներում</w:t>
      </w:r>
      <w:r w:rsidRPr="00B57DAB">
        <w:rPr>
          <w:rFonts w:ascii="GHEA Grapalat" w:hAnsi="GHEA Grapalat"/>
          <w:sz w:val="22"/>
          <w:szCs w:val="22"/>
          <w:lang w:val="hy-AM"/>
        </w:rPr>
        <w:t xml:space="preserve"> </w:t>
      </w:r>
      <w:r w:rsidRPr="00B57DAB">
        <w:rPr>
          <w:rFonts w:ascii="GHEA Grapalat" w:hAnsi="GHEA Grapalat" w:cs="Arial"/>
          <w:sz w:val="22"/>
          <w:szCs w:val="22"/>
          <w:lang w:val="hy-AM"/>
        </w:rPr>
        <w:t>օգտագործվել</w:t>
      </w:r>
      <w:r w:rsidRPr="00B57DAB">
        <w:rPr>
          <w:rFonts w:ascii="GHEA Grapalat" w:hAnsi="GHEA Grapalat"/>
          <w:sz w:val="22"/>
          <w:szCs w:val="22"/>
          <w:lang w:val="hy-AM"/>
        </w:rPr>
        <w:t xml:space="preserve"> </w:t>
      </w:r>
      <w:r w:rsidRPr="00B57DAB">
        <w:rPr>
          <w:rFonts w:ascii="GHEA Grapalat" w:hAnsi="GHEA Grapalat" w:cs="Arial"/>
          <w:sz w:val="22"/>
          <w:szCs w:val="22"/>
          <w:lang w:val="hy-AM"/>
        </w:rPr>
        <w:t>է</w:t>
      </w:r>
      <w:r w:rsidRPr="00B57DAB">
        <w:rPr>
          <w:rFonts w:ascii="GHEA Grapalat" w:hAnsi="GHEA Grapalat"/>
          <w:sz w:val="22"/>
          <w:szCs w:val="22"/>
          <w:lang w:val="hy-AM"/>
        </w:rPr>
        <w:t xml:space="preserve"> ավելի քան 769.5</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մլն</w:t>
      </w:r>
      <w:r w:rsidRPr="00B57DAB">
        <w:rPr>
          <w:rFonts w:ascii="GHEA Grapalat" w:hAnsi="GHEA Grapalat"/>
          <w:sz w:val="22"/>
          <w:szCs w:val="22"/>
          <w:lang w:val="hy-AM"/>
        </w:rPr>
        <w:t xml:space="preserve"> </w:t>
      </w:r>
      <w:r w:rsidRPr="00B57DAB">
        <w:rPr>
          <w:rFonts w:ascii="GHEA Grapalat" w:hAnsi="GHEA Grapalat" w:cs="Arial"/>
          <w:sz w:val="22"/>
          <w:szCs w:val="22"/>
          <w:lang w:val="hy-AM"/>
        </w:rPr>
        <w:t>դրամ</w:t>
      </w:r>
      <w:r w:rsidRPr="00B57DAB">
        <w:rPr>
          <w:rFonts w:ascii="GHEA Grapalat" w:hAnsi="GHEA Grapalat"/>
          <w:sz w:val="22"/>
          <w:szCs w:val="22"/>
          <w:lang w:val="hy-AM"/>
        </w:rPr>
        <w:t xml:space="preserve">` </w:t>
      </w:r>
      <w:r w:rsidRPr="00B57DAB">
        <w:rPr>
          <w:rFonts w:ascii="GHEA Grapalat" w:hAnsi="GHEA Grapalat" w:cs="Arial"/>
          <w:sz w:val="22"/>
          <w:szCs w:val="22"/>
          <w:lang w:val="hy-AM"/>
        </w:rPr>
        <w:t>ապահովելով</w:t>
      </w:r>
      <w:r w:rsidRPr="00B57DAB">
        <w:rPr>
          <w:rFonts w:ascii="GHEA Grapalat" w:hAnsi="GHEA Grapalat"/>
          <w:sz w:val="22"/>
          <w:szCs w:val="22"/>
          <w:lang w:val="hy-AM"/>
        </w:rPr>
        <w:t xml:space="preserve"> 96.7% </w:t>
      </w:r>
      <w:r w:rsidRPr="00B57DAB">
        <w:rPr>
          <w:rFonts w:ascii="GHEA Grapalat" w:hAnsi="GHEA Grapalat" w:cs="Arial"/>
          <w:sz w:val="22"/>
          <w:szCs w:val="22"/>
          <w:lang w:val="hy-AM"/>
        </w:rPr>
        <w:t>կատարողական և նախորդ տարվա</w:t>
      </w:r>
      <w:r w:rsidR="00231A8D" w:rsidRPr="00B57DAB">
        <w:rPr>
          <w:rFonts w:ascii="GHEA Grapalat" w:hAnsi="GHEA Grapalat" w:cs="Arial"/>
          <w:sz w:val="22"/>
          <w:szCs w:val="22"/>
        </w:rPr>
        <w:t xml:space="preserve"> նույն ժամանակահատվածի</w:t>
      </w:r>
      <w:r w:rsidRPr="00B57DAB">
        <w:rPr>
          <w:rFonts w:ascii="GHEA Grapalat" w:hAnsi="GHEA Grapalat" w:cs="Arial"/>
          <w:sz w:val="22"/>
          <w:szCs w:val="22"/>
          <w:lang w:val="hy-AM"/>
        </w:rPr>
        <w:t xml:space="preserve"> համեմատ նվազել</w:t>
      </w:r>
      <w:r w:rsidR="009C5D9A" w:rsidRPr="00B57DAB">
        <w:rPr>
          <w:rFonts w:ascii="GHEA Grapalat" w:hAnsi="GHEA Grapalat" w:cs="Arial"/>
          <w:sz w:val="22"/>
          <w:szCs w:val="22"/>
        </w:rPr>
        <w:t>ով</w:t>
      </w:r>
      <w:r w:rsidR="009C5D9A" w:rsidRPr="00B57DAB">
        <w:rPr>
          <w:rFonts w:ascii="GHEA Grapalat" w:hAnsi="GHEA Grapalat" w:cs="Arial"/>
          <w:sz w:val="22"/>
          <w:szCs w:val="22"/>
          <w:lang w:val="hy-AM"/>
        </w:rPr>
        <w:t xml:space="preserve"> 3.3%</w:t>
      </w:r>
      <w:r w:rsidR="009C5D9A" w:rsidRPr="00B57DAB">
        <w:rPr>
          <w:rFonts w:ascii="GHEA Grapalat" w:hAnsi="GHEA Grapalat" w:cs="Arial"/>
          <w:sz w:val="22"/>
          <w:szCs w:val="22"/>
        </w:rPr>
        <w:noBreakHyphen/>
      </w:r>
      <w:r w:rsidRPr="00B57DAB">
        <w:rPr>
          <w:rFonts w:ascii="GHEA Grapalat" w:hAnsi="GHEA Grapalat" w:cs="Arial"/>
          <w:sz w:val="22"/>
          <w:szCs w:val="22"/>
          <w:lang w:val="hy-AM"/>
        </w:rPr>
        <w:t>ով կամ 26.4 մլն դրամով:</w:t>
      </w:r>
    </w:p>
    <w:p w:rsidR="003F2149" w:rsidRPr="00B57DAB" w:rsidRDefault="003F2149" w:rsidP="003F2149">
      <w:pPr>
        <w:tabs>
          <w:tab w:val="num" w:pos="0"/>
        </w:tabs>
        <w:spacing w:line="360" w:lineRule="auto"/>
        <w:ind w:firstLine="561"/>
        <w:jc w:val="both"/>
        <w:rPr>
          <w:rFonts w:ascii="GHEA Grapalat" w:hAnsi="GHEA Grapalat" w:cs="Sylfaen"/>
          <w:sz w:val="22"/>
          <w:szCs w:val="22"/>
          <w:lang w:val="hy-AM"/>
        </w:rPr>
      </w:pPr>
    </w:p>
    <w:p w:rsidR="00454E98" w:rsidRPr="00B57DAB" w:rsidRDefault="003F2149" w:rsidP="00454E98">
      <w:pPr>
        <w:spacing w:line="360" w:lineRule="auto"/>
        <w:ind w:firstLine="567"/>
        <w:jc w:val="both"/>
        <w:rPr>
          <w:rFonts w:ascii="GHEA Grapalat" w:hAnsi="GHEA Grapalat" w:cs="Sylfaen"/>
          <w:sz w:val="22"/>
          <w:szCs w:val="22"/>
          <w:lang w:val="pt-BR"/>
        </w:rPr>
      </w:pPr>
      <w:r w:rsidRPr="00B57DAB">
        <w:rPr>
          <w:rFonts w:ascii="GHEA Grapalat" w:hAnsi="GHEA Grapalat" w:cs="Times Armenian"/>
          <w:i/>
          <w:sz w:val="22"/>
          <w:szCs w:val="22"/>
          <w:u w:val="single"/>
        </w:rPr>
        <w:t>ՀՀ արդարադատության նախարարությանը</w:t>
      </w:r>
      <w:r w:rsidR="00454E98" w:rsidRPr="00B57DAB">
        <w:rPr>
          <w:rFonts w:ascii="GHEA Grapalat" w:hAnsi="GHEA Grapalat" w:cs="Sylfaen"/>
          <w:sz w:val="22"/>
          <w:szCs w:val="22"/>
          <w:lang w:val="pt-BR"/>
        </w:rPr>
        <w:t xml:space="preserve"> 2022 թվականի առաջին եռամսյակի ընթացքում ՀՀ պետական բյուջեից տրամադրվել է 3.2 մլրդ դրամ՝ կազմելով եռամսյակային ծրագրի 68.1%-ը: Նախարարության պատասխանատվությամբ հաշվետու ժամանակահատվածում նախատեսված 8 ծրագրից իրականացվել է 7-ը: Շեղումը հիմնականում պայմանավորված է «Քրեակատարողական ծառայություններ», «Հակակոռուպցիոն քաղաքականության մշակում, ծրագրերի համակարգում և մոնիտորինգի իրականացում», և</w:t>
      </w:r>
      <w:r w:rsidR="004A782A" w:rsidRPr="00B57DAB">
        <w:rPr>
          <w:rFonts w:ascii="GHEA Grapalat" w:hAnsi="GHEA Grapalat" w:cs="Sylfaen"/>
          <w:sz w:val="22"/>
          <w:szCs w:val="22"/>
          <w:lang w:val="pt-BR"/>
        </w:rPr>
        <w:t xml:space="preserve"> </w:t>
      </w:r>
      <w:r w:rsidR="00454E98" w:rsidRPr="00B57DAB">
        <w:rPr>
          <w:rFonts w:ascii="GHEA Grapalat" w:hAnsi="GHEA Grapalat" w:cs="Sylfaen"/>
          <w:sz w:val="22"/>
          <w:szCs w:val="22"/>
          <w:lang w:val="pt-BR"/>
        </w:rPr>
        <w:t>«Արդարադատության ոլորտում քաղաքականության</w:t>
      </w:r>
      <w:r w:rsidR="004A782A" w:rsidRPr="00B57DAB">
        <w:rPr>
          <w:rFonts w:ascii="GHEA Grapalat" w:hAnsi="GHEA Grapalat" w:cs="Sylfaen"/>
          <w:sz w:val="22"/>
          <w:szCs w:val="22"/>
          <w:lang w:val="pt-BR"/>
        </w:rPr>
        <w:t xml:space="preserve"> </w:t>
      </w:r>
      <w:r w:rsidR="00454E98" w:rsidRPr="00B57DAB">
        <w:rPr>
          <w:rFonts w:ascii="GHEA Grapalat" w:hAnsi="GHEA Grapalat" w:cs="Sylfaen"/>
          <w:sz w:val="22"/>
          <w:szCs w:val="22"/>
          <w:lang w:val="pt-BR"/>
        </w:rPr>
        <w:t xml:space="preserve">մշակում, ծրագրերի համակարգում, խորհրդատվության և մոնիտորինգի իրականացում» ծրագրերի կատարողականով: Նախորդ տարվա նույն ժամանակահատվածի համեմատ ՀՀ արդարադատության նախարարության ծախսերն աճել են 1.4%-ով կամ 44.3 մլն դրամով՝ </w:t>
      </w:r>
      <w:r w:rsidR="00D129B2" w:rsidRPr="00B57DAB">
        <w:rPr>
          <w:rFonts w:ascii="GHEA Grapalat" w:hAnsi="GHEA Grapalat" w:cs="Sylfaen"/>
          <w:sz w:val="22"/>
          <w:szCs w:val="22"/>
          <w:lang w:val="pt-BR"/>
        </w:rPr>
        <w:t xml:space="preserve">հիմնականում </w:t>
      </w:r>
      <w:r w:rsidR="00454E98" w:rsidRPr="00B57DAB">
        <w:rPr>
          <w:rFonts w:ascii="GHEA Grapalat" w:hAnsi="GHEA Grapalat" w:cs="Sylfaen"/>
          <w:sz w:val="22"/>
          <w:szCs w:val="22"/>
          <w:lang w:val="pt-BR"/>
        </w:rPr>
        <w:t>պայմանավորված «Դատական և հանրային պաշտպանություն» ծրագրի գծով ծախսերի աճով:</w:t>
      </w:r>
    </w:p>
    <w:p w:rsidR="00454E98" w:rsidRPr="00B57DAB" w:rsidRDefault="00454E98" w:rsidP="00454E98">
      <w:pPr>
        <w:spacing w:line="360" w:lineRule="auto"/>
        <w:ind w:firstLine="567"/>
        <w:jc w:val="both"/>
        <w:rPr>
          <w:rFonts w:ascii="GHEA Grapalat" w:hAnsi="GHEA Grapalat" w:cs="Sylfaen"/>
          <w:sz w:val="22"/>
          <w:szCs w:val="22"/>
          <w:lang w:val="pt-BR"/>
        </w:rPr>
      </w:pPr>
    </w:p>
    <w:p w:rsidR="00454E98" w:rsidRPr="00B57DAB" w:rsidRDefault="00454E98" w:rsidP="00770F24">
      <w:pPr>
        <w:pStyle w:val="Caption"/>
        <w:keepNext/>
        <w:numPr>
          <w:ilvl w:val="0"/>
          <w:numId w:val="8"/>
        </w:numPr>
        <w:tabs>
          <w:tab w:val="left" w:pos="1276"/>
        </w:tabs>
        <w:ind w:left="0" w:firstLine="0"/>
        <w:jc w:val="left"/>
        <w:rPr>
          <w:rFonts w:ascii="GHEA Grapalat" w:hAnsi="GHEA Grapalat"/>
          <w:i/>
          <w:sz w:val="18"/>
          <w:szCs w:val="18"/>
          <w:lang w:val="en-US"/>
        </w:rPr>
      </w:pPr>
      <w:r w:rsidRPr="00B57DAB">
        <w:rPr>
          <w:rFonts w:ascii="GHEA Grapalat" w:hAnsi="GHEA Grapalat"/>
          <w:i/>
          <w:sz w:val="18"/>
          <w:szCs w:val="18"/>
          <w:lang w:val="en-US"/>
        </w:rPr>
        <w:t>2022թ. առաջին եռամսյակում ՀՀ արդարադատության նախարարության կողմից իրականացված ծրագրերը (մլն դրամ)</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5"/>
        <w:gridCol w:w="965"/>
        <w:gridCol w:w="983"/>
        <w:gridCol w:w="969"/>
        <w:gridCol w:w="1332"/>
        <w:gridCol w:w="1203"/>
        <w:gridCol w:w="1048"/>
      </w:tblGrid>
      <w:tr w:rsidR="00315C59" w:rsidRPr="00B57DAB" w:rsidTr="004A782A">
        <w:trPr>
          <w:trHeight w:val="300"/>
          <w:jc w:val="center"/>
        </w:trPr>
        <w:tc>
          <w:tcPr>
            <w:tcW w:w="3665" w:type="dxa"/>
            <w:shd w:val="clear" w:color="auto" w:fill="auto"/>
            <w:noWrap/>
            <w:vAlign w:val="bottom"/>
            <w:hideMark/>
          </w:tcPr>
          <w:p w:rsidR="00315C59" w:rsidRPr="00B57DAB" w:rsidRDefault="00315C59" w:rsidP="004A782A">
            <w:pPr>
              <w:rPr>
                <w:rFonts w:ascii="GHEA Grapalat" w:hAnsi="GHEA Grapalat" w:cs="Calibri"/>
                <w:b/>
                <w:color w:val="000000"/>
                <w:sz w:val="18"/>
                <w:szCs w:val="18"/>
              </w:rPr>
            </w:pPr>
          </w:p>
        </w:tc>
        <w:tc>
          <w:tcPr>
            <w:tcW w:w="965" w:type="dxa"/>
          </w:tcPr>
          <w:p w:rsidR="00315C59" w:rsidRPr="00B57DAB" w:rsidRDefault="00315C59" w:rsidP="005B7DCC">
            <w:pPr>
              <w:jc w:val="center"/>
              <w:rPr>
                <w:rFonts w:ascii="GHEA Grapalat" w:hAnsi="GHEA Grapalat" w:cs="Calibri"/>
                <w:b/>
                <w:bCs/>
                <w:sz w:val="18"/>
                <w:szCs w:val="18"/>
                <w:lang w:val="hy-AM"/>
              </w:rPr>
            </w:pPr>
            <w:r w:rsidRPr="00B57DAB">
              <w:rPr>
                <w:rFonts w:ascii="GHEA Grapalat" w:hAnsi="GHEA Grapalat" w:cs="Calibri"/>
                <w:b/>
                <w:bCs/>
                <w:sz w:val="18"/>
                <w:szCs w:val="18"/>
              </w:rPr>
              <w:t>2021թ. առաջին եռամս-յակի փաստ</w:t>
            </w:r>
          </w:p>
        </w:tc>
        <w:tc>
          <w:tcPr>
            <w:tcW w:w="983" w:type="dxa"/>
          </w:tcPr>
          <w:p w:rsidR="00315C59" w:rsidRPr="00B57DAB" w:rsidRDefault="00315C59" w:rsidP="005B7DCC">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 ճշտված պլան</w:t>
            </w:r>
          </w:p>
        </w:tc>
        <w:tc>
          <w:tcPr>
            <w:tcW w:w="969" w:type="dxa"/>
            <w:shd w:val="clear" w:color="auto" w:fill="auto"/>
            <w:noWrap/>
            <w:hideMark/>
          </w:tcPr>
          <w:p w:rsidR="00315C59" w:rsidRPr="00B57DAB" w:rsidRDefault="00315C59" w:rsidP="005B7DCC">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 փաստ</w:t>
            </w:r>
          </w:p>
        </w:tc>
        <w:tc>
          <w:tcPr>
            <w:tcW w:w="1332" w:type="dxa"/>
          </w:tcPr>
          <w:p w:rsidR="00315C59" w:rsidRPr="00B57DAB" w:rsidRDefault="00315C59" w:rsidP="005B7DCC">
            <w:pPr>
              <w:jc w:val="center"/>
              <w:rPr>
                <w:rFonts w:ascii="GHEA Grapalat" w:hAnsi="GHEA Grapalat" w:cs="Calibri"/>
                <w:b/>
                <w:bCs/>
                <w:sz w:val="18"/>
                <w:szCs w:val="18"/>
              </w:rPr>
            </w:pPr>
            <w:r w:rsidRPr="00B57DAB">
              <w:rPr>
                <w:rFonts w:ascii="GHEA Grapalat" w:hAnsi="GHEA Grapalat" w:cs="Calibri"/>
                <w:b/>
                <w:bCs/>
                <w:sz w:val="18"/>
                <w:szCs w:val="18"/>
                <w:lang w:val="hy-AM"/>
              </w:rPr>
              <w:t>Կատարո-ղական</w:t>
            </w:r>
            <w:r w:rsidRPr="00B57DAB">
              <w:rPr>
                <w:rFonts w:ascii="GHEA Grapalat" w:hAnsi="GHEA Grapalat" w:cs="Calibri"/>
                <w:b/>
                <w:bCs/>
                <w:sz w:val="18"/>
                <w:szCs w:val="18"/>
              </w:rPr>
              <w:t>ն առաջին եռամսյակի</w:t>
            </w:r>
            <w:r w:rsidRPr="00B57DAB">
              <w:rPr>
                <w:rFonts w:ascii="GHEA Grapalat" w:hAnsi="GHEA Grapalat" w:cs="Calibri"/>
                <w:b/>
                <w:bCs/>
                <w:sz w:val="18"/>
                <w:szCs w:val="18"/>
                <w:lang w:val="hy-AM"/>
              </w:rPr>
              <w:t xml:space="preserve"> ճշտված պլանի նկատմամբ</w:t>
            </w:r>
            <w:r w:rsidRPr="00B57DAB">
              <w:rPr>
                <w:rFonts w:ascii="GHEA Grapalat" w:hAnsi="GHEA Grapalat" w:cs="Calibri"/>
                <w:b/>
                <w:bCs/>
                <w:sz w:val="18"/>
                <w:szCs w:val="18"/>
              </w:rPr>
              <w:t xml:space="preserve"> (%)</w:t>
            </w:r>
          </w:p>
        </w:tc>
        <w:tc>
          <w:tcPr>
            <w:tcW w:w="1203" w:type="dxa"/>
          </w:tcPr>
          <w:p w:rsidR="00315C59" w:rsidRPr="00B57DAB" w:rsidRDefault="00315C59" w:rsidP="005B7DCC">
            <w:pPr>
              <w:jc w:val="center"/>
              <w:rPr>
                <w:rFonts w:ascii="GHEA Grapalat" w:hAnsi="GHEA Grapalat" w:cs="Calibri"/>
                <w:b/>
                <w:bCs/>
                <w:sz w:val="18"/>
                <w:szCs w:val="18"/>
              </w:rPr>
            </w:pPr>
            <w:r w:rsidRPr="00B57DAB">
              <w:rPr>
                <w:rFonts w:ascii="GHEA Grapalat" w:hAnsi="GHEA Grapalat" w:cs="Calibri"/>
                <w:b/>
                <w:bCs/>
                <w:sz w:val="18"/>
                <w:szCs w:val="18"/>
              </w:rPr>
              <w:t xml:space="preserve">2022թ. առաջին եռամսյակը 2021թ. </w:t>
            </w:r>
            <w:proofErr w:type="gramStart"/>
            <w:r w:rsidRPr="00B57DAB">
              <w:rPr>
                <w:rFonts w:ascii="GHEA Grapalat" w:hAnsi="GHEA Grapalat" w:cs="Calibri"/>
                <w:b/>
                <w:bCs/>
                <w:sz w:val="18"/>
                <w:szCs w:val="18"/>
              </w:rPr>
              <w:t>առաջին</w:t>
            </w:r>
            <w:proofErr w:type="gramEnd"/>
            <w:r w:rsidRPr="00B57DAB">
              <w:rPr>
                <w:rFonts w:ascii="GHEA Grapalat" w:hAnsi="GHEA Grapalat" w:cs="Calibri"/>
                <w:b/>
                <w:bCs/>
                <w:sz w:val="18"/>
                <w:szCs w:val="18"/>
              </w:rPr>
              <w:t xml:space="preserve"> եռամսյակի նկատմամբ (%)</w:t>
            </w:r>
          </w:p>
        </w:tc>
        <w:tc>
          <w:tcPr>
            <w:tcW w:w="1048" w:type="dxa"/>
          </w:tcPr>
          <w:p w:rsidR="00315C59" w:rsidRPr="00B57DAB" w:rsidRDefault="00315C59" w:rsidP="005B7DCC">
            <w:pPr>
              <w:jc w:val="center"/>
              <w:rPr>
                <w:rFonts w:ascii="GHEA Grapalat" w:hAnsi="GHEA Grapalat" w:cs="Calibri"/>
                <w:b/>
                <w:color w:val="000000"/>
                <w:sz w:val="18"/>
                <w:szCs w:val="18"/>
              </w:rPr>
            </w:pPr>
            <w:r w:rsidRPr="00B57DAB">
              <w:rPr>
                <w:rFonts w:ascii="GHEA Grapalat" w:hAnsi="GHEA Grapalat" w:cs="Calibri"/>
                <w:b/>
                <w:color w:val="000000"/>
                <w:sz w:val="18"/>
                <w:szCs w:val="18"/>
              </w:rPr>
              <w:t>2022թ. և 2021թ. տարբե-րությունը</w:t>
            </w:r>
          </w:p>
        </w:tc>
      </w:tr>
      <w:tr w:rsidR="00454E98" w:rsidRPr="00B57DAB" w:rsidTr="004A782A">
        <w:trPr>
          <w:trHeight w:val="331"/>
          <w:jc w:val="center"/>
        </w:trPr>
        <w:tc>
          <w:tcPr>
            <w:tcW w:w="3665" w:type="dxa"/>
            <w:shd w:val="clear" w:color="auto" w:fill="auto"/>
          </w:tcPr>
          <w:p w:rsidR="00454E98" w:rsidRPr="00B57DAB" w:rsidRDefault="00454E98" w:rsidP="004A782A">
            <w:pPr>
              <w:rPr>
                <w:rFonts w:ascii="GHEA Grapalat" w:hAnsi="GHEA Grapalat" w:cs="Calibri"/>
                <w:b/>
                <w:color w:val="000000"/>
                <w:sz w:val="18"/>
                <w:szCs w:val="18"/>
              </w:rPr>
            </w:pPr>
            <w:r w:rsidRPr="00B57DAB">
              <w:rPr>
                <w:rFonts w:ascii="GHEA Grapalat" w:hAnsi="GHEA Grapalat" w:cs="Calibri"/>
                <w:b/>
                <w:color w:val="000000"/>
                <w:sz w:val="18"/>
                <w:szCs w:val="18"/>
              </w:rPr>
              <w:t>ԸՆԴԱՄԵՆԸ</w:t>
            </w:r>
          </w:p>
        </w:tc>
        <w:tc>
          <w:tcPr>
            <w:tcW w:w="965" w:type="dxa"/>
          </w:tcPr>
          <w:p w:rsidR="00454E98" w:rsidRPr="00B57DAB" w:rsidRDefault="00454E98" w:rsidP="004A782A">
            <w:pPr>
              <w:jc w:val="right"/>
              <w:rPr>
                <w:rFonts w:ascii="GHEA Grapalat" w:hAnsi="GHEA Grapalat" w:cs="Calibri"/>
                <w:b/>
                <w:color w:val="000000"/>
                <w:sz w:val="18"/>
                <w:szCs w:val="18"/>
              </w:rPr>
            </w:pPr>
            <w:r w:rsidRPr="00B57DAB">
              <w:rPr>
                <w:rFonts w:ascii="GHEA Grapalat" w:hAnsi="GHEA Grapalat" w:cs="Calibri"/>
                <w:b/>
                <w:color w:val="000000"/>
                <w:sz w:val="18"/>
                <w:szCs w:val="18"/>
              </w:rPr>
              <w:t>3,150.2</w:t>
            </w:r>
          </w:p>
        </w:tc>
        <w:tc>
          <w:tcPr>
            <w:tcW w:w="983" w:type="dxa"/>
          </w:tcPr>
          <w:p w:rsidR="00454E98" w:rsidRPr="00B57DAB" w:rsidRDefault="00454E98" w:rsidP="004A782A">
            <w:pPr>
              <w:jc w:val="right"/>
              <w:rPr>
                <w:rFonts w:ascii="GHEA Grapalat" w:hAnsi="GHEA Grapalat" w:cs="Calibri"/>
                <w:b/>
                <w:color w:val="000000"/>
                <w:sz w:val="18"/>
                <w:szCs w:val="18"/>
              </w:rPr>
            </w:pPr>
            <w:r w:rsidRPr="00B57DAB">
              <w:rPr>
                <w:rFonts w:ascii="GHEA Grapalat" w:hAnsi="GHEA Grapalat" w:cs="Calibri"/>
                <w:b/>
                <w:color w:val="000000"/>
                <w:sz w:val="18"/>
                <w:szCs w:val="18"/>
              </w:rPr>
              <w:t>4,692.9</w:t>
            </w:r>
          </w:p>
        </w:tc>
        <w:tc>
          <w:tcPr>
            <w:tcW w:w="969" w:type="dxa"/>
            <w:shd w:val="clear" w:color="auto" w:fill="auto"/>
          </w:tcPr>
          <w:p w:rsidR="00454E98" w:rsidRPr="00B57DAB" w:rsidRDefault="00454E98" w:rsidP="004A782A">
            <w:pPr>
              <w:jc w:val="right"/>
              <w:rPr>
                <w:rFonts w:ascii="GHEA Grapalat" w:hAnsi="GHEA Grapalat" w:cs="Calibri"/>
                <w:b/>
                <w:color w:val="000000"/>
                <w:sz w:val="18"/>
                <w:szCs w:val="18"/>
              </w:rPr>
            </w:pPr>
            <w:r w:rsidRPr="00B57DAB">
              <w:rPr>
                <w:rFonts w:ascii="GHEA Grapalat" w:hAnsi="GHEA Grapalat" w:cs="Calibri"/>
                <w:b/>
                <w:color w:val="000000"/>
                <w:sz w:val="18"/>
                <w:szCs w:val="18"/>
              </w:rPr>
              <w:t>3,194.4</w:t>
            </w:r>
          </w:p>
        </w:tc>
        <w:tc>
          <w:tcPr>
            <w:tcW w:w="1332" w:type="dxa"/>
          </w:tcPr>
          <w:p w:rsidR="00454E98" w:rsidRPr="00B57DAB" w:rsidRDefault="00454E98" w:rsidP="004A782A">
            <w:pPr>
              <w:jc w:val="right"/>
              <w:rPr>
                <w:rFonts w:ascii="GHEA Grapalat" w:hAnsi="GHEA Grapalat" w:cs="Calibri"/>
                <w:b/>
                <w:color w:val="000000"/>
                <w:sz w:val="18"/>
                <w:szCs w:val="18"/>
              </w:rPr>
            </w:pPr>
            <w:r w:rsidRPr="00B57DAB">
              <w:rPr>
                <w:rFonts w:ascii="GHEA Grapalat" w:hAnsi="GHEA Grapalat" w:cs="Calibri"/>
                <w:b/>
                <w:color w:val="000000"/>
                <w:sz w:val="18"/>
                <w:szCs w:val="18"/>
              </w:rPr>
              <w:t>68.1</w:t>
            </w:r>
          </w:p>
        </w:tc>
        <w:tc>
          <w:tcPr>
            <w:tcW w:w="1203" w:type="dxa"/>
          </w:tcPr>
          <w:p w:rsidR="00454E98" w:rsidRPr="00B57DAB" w:rsidRDefault="00454E98" w:rsidP="004A782A">
            <w:pPr>
              <w:jc w:val="right"/>
              <w:rPr>
                <w:rFonts w:ascii="GHEA Grapalat" w:hAnsi="GHEA Grapalat" w:cs="Calibri"/>
                <w:b/>
                <w:color w:val="000000"/>
                <w:sz w:val="18"/>
                <w:szCs w:val="18"/>
              </w:rPr>
            </w:pPr>
            <w:r w:rsidRPr="00B57DAB">
              <w:rPr>
                <w:rFonts w:ascii="GHEA Grapalat" w:hAnsi="GHEA Grapalat" w:cs="Calibri"/>
                <w:b/>
                <w:color w:val="000000"/>
                <w:sz w:val="18"/>
                <w:szCs w:val="18"/>
              </w:rPr>
              <w:t>101.4</w:t>
            </w:r>
          </w:p>
        </w:tc>
        <w:tc>
          <w:tcPr>
            <w:tcW w:w="1048" w:type="dxa"/>
          </w:tcPr>
          <w:p w:rsidR="00454E98" w:rsidRPr="00B57DAB" w:rsidRDefault="00454E98" w:rsidP="004A782A">
            <w:pPr>
              <w:jc w:val="right"/>
              <w:rPr>
                <w:rFonts w:ascii="GHEA Grapalat" w:hAnsi="GHEA Grapalat" w:cs="Calibri"/>
                <w:b/>
                <w:color w:val="000000"/>
                <w:sz w:val="18"/>
                <w:szCs w:val="18"/>
              </w:rPr>
            </w:pPr>
            <w:r w:rsidRPr="00B57DAB">
              <w:rPr>
                <w:rFonts w:ascii="GHEA Grapalat" w:hAnsi="GHEA Grapalat" w:cs="Calibri"/>
                <w:b/>
                <w:color w:val="000000"/>
                <w:sz w:val="18"/>
                <w:szCs w:val="18"/>
              </w:rPr>
              <w:t>44.3</w:t>
            </w:r>
          </w:p>
        </w:tc>
      </w:tr>
      <w:tr w:rsidR="00454E98" w:rsidRPr="00B57DAB" w:rsidTr="004A782A">
        <w:trPr>
          <w:trHeight w:val="300"/>
          <w:jc w:val="center"/>
        </w:trPr>
        <w:tc>
          <w:tcPr>
            <w:tcW w:w="3665" w:type="dxa"/>
            <w:shd w:val="clear" w:color="auto" w:fill="auto"/>
            <w:hideMark/>
          </w:tcPr>
          <w:p w:rsidR="00454E98" w:rsidRPr="00B57DAB" w:rsidRDefault="00454E98" w:rsidP="004A782A">
            <w:pPr>
              <w:rPr>
                <w:rFonts w:ascii="GHEA Grapalat" w:hAnsi="GHEA Grapalat" w:cs="Calibri"/>
                <w:color w:val="000000"/>
                <w:sz w:val="18"/>
                <w:szCs w:val="18"/>
              </w:rPr>
            </w:pPr>
            <w:r w:rsidRPr="00B57DAB">
              <w:rPr>
                <w:rFonts w:ascii="GHEA Grapalat" w:hAnsi="GHEA Grapalat" w:cs="Calibri"/>
                <w:color w:val="000000"/>
                <w:sz w:val="18"/>
                <w:szCs w:val="18"/>
              </w:rPr>
              <w:t>Արդարադատության ոլորտում քաղաքականության մշակում, ծրագրերի համակարգում, խորհրդատվության և մոնիտորինգի իրականացում</w:t>
            </w:r>
          </w:p>
        </w:tc>
        <w:tc>
          <w:tcPr>
            <w:tcW w:w="965"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306.4</w:t>
            </w:r>
          </w:p>
        </w:tc>
        <w:tc>
          <w:tcPr>
            <w:tcW w:w="983"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418.4</w:t>
            </w:r>
          </w:p>
        </w:tc>
        <w:tc>
          <w:tcPr>
            <w:tcW w:w="969" w:type="dxa"/>
            <w:shd w:val="clear" w:color="auto" w:fill="auto"/>
            <w:hideMark/>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303.8</w:t>
            </w:r>
          </w:p>
        </w:tc>
        <w:tc>
          <w:tcPr>
            <w:tcW w:w="1332"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72.6</w:t>
            </w:r>
          </w:p>
        </w:tc>
        <w:tc>
          <w:tcPr>
            <w:tcW w:w="1203"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99.1</w:t>
            </w:r>
          </w:p>
        </w:tc>
        <w:tc>
          <w:tcPr>
            <w:tcW w:w="1048"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(2.6)</w:t>
            </w:r>
          </w:p>
        </w:tc>
      </w:tr>
      <w:tr w:rsidR="00454E98" w:rsidRPr="00B57DAB" w:rsidTr="004A782A">
        <w:trPr>
          <w:trHeight w:val="300"/>
          <w:jc w:val="center"/>
        </w:trPr>
        <w:tc>
          <w:tcPr>
            <w:tcW w:w="3665" w:type="dxa"/>
            <w:shd w:val="clear" w:color="auto" w:fill="auto"/>
          </w:tcPr>
          <w:p w:rsidR="00454E98" w:rsidRPr="00B57DAB" w:rsidRDefault="00454E98" w:rsidP="004A782A">
            <w:pPr>
              <w:rPr>
                <w:rFonts w:ascii="GHEA Grapalat" w:hAnsi="GHEA Grapalat" w:cs="Calibri"/>
                <w:color w:val="000000"/>
                <w:sz w:val="18"/>
                <w:szCs w:val="18"/>
              </w:rPr>
            </w:pPr>
            <w:r w:rsidRPr="00B57DAB">
              <w:rPr>
                <w:rFonts w:ascii="GHEA Grapalat" w:hAnsi="GHEA Grapalat" w:cs="Calibri"/>
                <w:color w:val="000000"/>
                <w:sz w:val="18"/>
                <w:szCs w:val="18"/>
              </w:rPr>
              <w:t>Դատական և հանրային պաշտպանություն</w:t>
            </w:r>
          </w:p>
        </w:tc>
        <w:tc>
          <w:tcPr>
            <w:tcW w:w="965"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134.7</w:t>
            </w:r>
          </w:p>
        </w:tc>
        <w:tc>
          <w:tcPr>
            <w:tcW w:w="983"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243.9</w:t>
            </w:r>
          </w:p>
        </w:tc>
        <w:tc>
          <w:tcPr>
            <w:tcW w:w="969" w:type="dxa"/>
            <w:shd w:val="clear" w:color="auto" w:fill="auto"/>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243.8</w:t>
            </w:r>
          </w:p>
        </w:tc>
        <w:tc>
          <w:tcPr>
            <w:tcW w:w="1332"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100.0</w:t>
            </w:r>
          </w:p>
        </w:tc>
        <w:tc>
          <w:tcPr>
            <w:tcW w:w="1203"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181.1</w:t>
            </w:r>
          </w:p>
        </w:tc>
        <w:tc>
          <w:tcPr>
            <w:tcW w:w="1048"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109.2</w:t>
            </w:r>
          </w:p>
        </w:tc>
      </w:tr>
      <w:tr w:rsidR="00454E98" w:rsidRPr="00B57DAB" w:rsidTr="004A782A">
        <w:trPr>
          <w:trHeight w:val="300"/>
          <w:jc w:val="center"/>
        </w:trPr>
        <w:tc>
          <w:tcPr>
            <w:tcW w:w="3665" w:type="dxa"/>
            <w:shd w:val="clear" w:color="auto" w:fill="auto"/>
            <w:hideMark/>
          </w:tcPr>
          <w:p w:rsidR="00454E98" w:rsidRPr="00B57DAB" w:rsidRDefault="00454E98" w:rsidP="004A782A">
            <w:pPr>
              <w:rPr>
                <w:rFonts w:ascii="GHEA Grapalat" w:hAnsi="GHEA Grapalat" w:cs="Calibri"/>
                <w:color w:val="000000"/>
                <w:sz w:val="18"/>
                <w:szCs w:val="18"/>
              </w:rPr>
            </w:pPr>
            <w:r w:rsidRPr="00B57DAB">
              <w:rPr>
                <w:rFonts w:ascii="GHEA Grapalat" w:hAnsi="GHEA Grapalat" w:cs="Calibri"/>
                <w:color w:val="000000"/>
                <w:sz w:val="18"/>
                <w:szCs w:val="18"/>
              </w:rPr>
              <w:t>Քրեակատարողական ծառայություններ</w:t>
            </w:r>
          </w:p>
        </w:tc>
        <w:tc>
          <w:tcPr>
            <w:tcW w:w="965"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2,028.4</w:t>
            </w:r>
          </w:p>
        </w:tc>
        <w:tc>
          <w:tcPr>
            <w:tcW w:w="983"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3,154.5</w:t>
            </w:r>
          </w:p>
        </w:tc>
        <w:tc>
          <w:tcPr>
            <w:tcW w:w="969" w:type="dxa"/>
            <w:shd w:val="clear" w:color="auto" w:fill="auto"/>
            <w:hideMark/>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1,980.3</w:t>
            </w:r>
          </w:p>
        </w:tc>
        <w:tc>
          <w:tcPr>
            <w:tcW w:w="1332"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62.8</w:t>
            </w:r>
          </w:p>
        </w:tc>
        <w:tc>
          <w:tcPr>
            <w:tcW w:w="1203"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97.6</w:t>
            </w:r>
          </w:p>
        </w:tc>
        <w:tc>
          <w:tcPr>
            <w:tcW w:w="1048"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(48.1)</w:t>
            </w:r>
          </w:p>
        </w:tc>
      </w:tr>
      <w:tr w:rsidR="00454E98" w:rsidRPr="00B57DAB" w:rsidTr="004A782A">
        <w:trPr>
          <w:trHeight w:val="300"/>
          <w:jc w:val="center"/>
        </w:trPr>
        <w:tc>
          <w:tcPr>
            <w:tcW w:w="3665" w:type="dxa"/>
            <w:shd w:val="clear" w:color="auto" w:fill="auto"/>
            <w:hideMark/>
          </w:tcPr>
          <w:p w:rsidR="00454E98" w:rsidRPr="00B57DAB" w:rsidRDefault="00454E98" w:rsidP="004A782A">
            <w:pPr>
              <w:rPr>
                <w:rFonts w:ascii="GHEA Grapalat" w:hAnsi="GHEA Grapalat" w:cs="Calibri"/>
                <w:color w:val="000000"/>
                <w:sz w:val="18"/>
                <w:szCs w:val="18"/>
              </w:rPr>
            </w:pPr>
            <w:r w:rsidRPr="00B57DAB">
              <w:rPr>
                <w:rFonts w:ascii="GHEA Grapalat" w:hAnsi="GHEA Grapalat" w:cs="Calibri"/>
                <w:color w:val="000000"/>
                <w:sz w:val="18"/>
                <w:szCs w:val="18"/>
              </w:rPr>
              <w:t>Հարկադիր կատարման ծառայություններ</w:t>
            </w:r>
          </w:p>
        </w:tc>
        <w:tc>
          <w:tcPr>
            <w:tcW w:w="965"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393.3</w:t>
            </w:r>
          </w:p>
        </w:tc>
        <w:tc>
          <w:tcPr>
            <w:tcW w:w="983"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413.3</w:t>
            </w:r>
          </w:p>
        </w:tc>
        <w:tc>
          <w:tcPr>
            <w:tcW w:w="969" w:type="dxa"/>
            <w:shd w:val="clear" w:color="auto" w:fill="auto"/>
            <w:hideMark/>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 xml:space="preserve">383.5 </w:t>
            </w:r>
          </w:p>
        </w:tc>
        <w:tc>
          <w:tcPr>
            <w:tcW w:w="1332"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92.8</w:t>
            </w:r>
          </w:p>
        </w:tc>
        <w:tc>
          <w:tcPr>
            <w:tcW w:w="1203"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97.5</w:t>
            </w:r>
          </w:p>
        </w:tc>
        <w:tc>
          <w:tcPr>
            <w:tcW w:w="1048"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(9.8)</w:t>
            </w:r>
          </w:p>
        </w:tc>
      </w:tr>
      <w:tr w:rsidR="00454E98" w:rsidRPr="00B57DAB" w:rsidTr="004A782A">
        <w:trPr>
          <w:trHeight w:val="300"/>
          <w:jc w:val="center"/>
        </w:trPr>
        <w:tc>
          <w:tcPr>
            <w:tcW w:w="3665" w:type="dxa"/>
            <w:shd w:val="clear" w:color="auto" w:fill="auto"/>
            <w:hideMark/>
          </w:tcPr>
          <w:p w:rsidR="00454E98" w:rsidRPr="00B57DAB" w:rsidRDefault="00454E98" w:rsidP="004A782A">
            <w:pPr>
              <w:rPr>
                <w:rFonts w:ascii="GHEA Grapalat" w:hAnsi="GHEA Grapalat" w:cs="Calibri"/>
                <w:color w:val="000000"/>
                <w:sz w:val="18"/>
                <w:szCs w:val="18"/>
              </w:rPr>
            </w:pPr>
            <w:r w:rsidRPr="00B57DAB">
              <w:rPr>
                <w:rFonts w:ascii="GHEA Grapalat" w:hAnsi="GHEA Grapalat" w:cs="Calibri"/>
                <w:color w:val="000000"/>
                <w:sz w:val="18"/>
                <w:szCs w:val="18"/>
              </w:rPr>
              <w:t>Հակակոռուպցիոն քաղաքականության մշակում,ծրագրերի համակարգում և մոնիթորինգի իրականացում</w:t>
            </w:r>
          </w:p>
        </w:tc>
        <w:tc>
          <w:tcPr>
            <w:tcW w:w="965"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0.0</w:t>
            </w:r>
          </w:p>
        </w:tc>
        <w:tc>
          <w:tcPr>
            <w:tcW w:w="983"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172.8</w:t>
            </w:r>
          </w:p>
        </w:tc>
        <w:tc>
          <w:tcPr>
            <w:tcW w:w="969" w:type="dxa"/>
            <w:shd w:val="clear" w:color="auto" w:fill="auto"/>
            <w:hideMark/>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 xml:space="preserve">0.0 </w:t>
            </w:r>
          </w:p>
        </w:tc>
        <w:tc>
          <w:tcPr>
            <w:tcW w:w="1332"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0.0</w:t>
            </w:r>
          </w:p>
        </w:tc>
        <w:tc>
          <w:tcPr>
            <w:tcW w:w="1203"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w:t>
            </w:r>
          </w:p>
        </w:tc>
        <w:tc>
          <w:tcPr>
            <w:tcW w:w="1048"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0.0</w:t>
            </w:r>
          </w:p>
        </w:tc>
      </w:tr>
      <w:tr w:rsidR="00454E98" w:rsidRPr="00B57DAB" w:rsidTr="004A782A">
        <w:trPr>
          <w:trHeight w:val="300"/>
          <w:jc w:val="center"/>
        </w:trPr>
        <w:tc>
          <w:tcPr>
            <w:tcW w:w="3665" w:type="dxa"/>
            <w:shd w:val="clear" w:color="auto" w:fill="auto"/>
            <w:hideMark/>
          </w:tcPr>
          <w:p w:rsidR="00454E98" w:rsidRPr="00B57DAB" w:rsidRDefault="00454E98" w:rsidP="004A782A">
            <w:pPr>
              <w:rPr>
                <w:rFonts w:ascii="GHEA Grapalat" w:hAnsi="GHEA Grapalat" w:cs="Calibri"/>
                <w:color w:val="000000"/>
                <w:sz w:val="18"/>
                <w:szCs w:val="18"/>
              </w:rPr>
            </w:pPr>
            <w:r w:rsidRPr="00B57DAB">
              <w:rPr>
                <w:rFonts w:ascii="GHEA Grapalat" w:hAnsi="GHEA Grapalat" w:cs="Calibri"/>
                <w:color w:val="000000"/>
                <w:sz w:val="18"/>
                <w:szCs w:val="18"/>
              </w:rPr>
              <w:t>Այլ ծրագրեր</w:t>
            </w:r>
          </w:p>
        </w:tc>
        <w:tc>
          <w:tcPr>
            <w:tcW w:w="965"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287.4</w:t>
            </w:r>
          </w:p>
        </w:tc>
        <w:tc>
          <w:tcPr>
            <w:tcW w:w="983"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290.0</w:t>
            </w:r>
          </w:p>
        </w:tc>
        <w:tc>
          <w:tcPr>
            <w:tcW w:w="969" w:type="dxa"/>
            <w:shd w:val="clear" w:color="auto" w:fill="auto"/>
            <w:hideMark/>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283.0</w:t>
            </w:r>
          </w:p>
        </w:tc>
        <w:tc>
          <w:tcPr>
            <w:tcW w:w="1332"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97.6</w:t>
            </w:r>
          </w:p>
        </w:tc>
        <w:tc>
          <w:tcPr>
            <w:tcW w:w="1203"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98.5</w:t>
            </w:r>
          </w:p>
        </w:tc>
        <w:tc>
          <w:tcPr>
            <w:tcW w:w="1048"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(7.0)</w:t>
            </w:r>
          </w:p>
        </w:tc>
      </w:tr>
    </w:tbl>
    <w:p w:rsidR="00454E98" w:rsidRPr="00B57DAB" w:rsidRDefault="00454E98" w:rsidP="00454E98">
      <w:pPr>
        <w:autoSpaceDE w:val="0"/>
        <w:autoSpaceDN w:val="0"/>
        <w:adjustRightInd w:val="0"/>
        <w:spacing w:line="360" w:lineRule="auto"/>
        <w:ind w:firstLine="567"/>
        <w:jc w:val="both"/>
        <w:rPr>
          <w:rFonts w:ascii="GHEA Grapalat" w:hAnsi="GHEA Grapalat" w:cs="Times Armenian"/>
          <w:sz w:val="22"/>
          <w:szCs w:val="22"/>
        </w:rPr>
      </w:pPr>
    </w:p>
    <w:p w:rsidR="00454E98" w:rsidRPr="00B57DAB" w:rsidRDefault="00454E98" w:rsidP="00454E98">
      <w:pPr>
        <w:autoSpaceDE w:val="0"/>
        <w:autoSpaceDN w:val="0"/>
        <w:adjustRightInd w:val="0"/>
        <w:spacing w:line="360" w:lineRule="auto"/>
        <w:ind w:firstLine="567"/>
        <w:jc w:val="both"/>
        <w:rPr>
          <w:rFonts w:ascii="GHEA Grapalat" w:hAnsi="GHEA Grapalat" w:cs="Times Armenian"/>
          <w:sz w:val="22"/>
          <w:szCs w:val="22"/>
        </w:rPr>
      </w:pPr>
      <w:r w:rsidRPr="00B57DAB">
        <w:rPr>
          <w:rFonts w:ascii="GHEA Grapalat" w:hAnsi="GHEA Grapalat"/>
          <w:sz w:val="22"/>
          <w:szCs w:val="22"/>
        </w:rPr>
        <w:lastRenderedPageBreak/>
        <w:t xml:space="preserve">Հաշվետու ժամանակահատվածում </w:t>
      </w:r>
      <w:r w:rsidRPr="00B57DAB">
        <w:rPr>
          <w:rFonts w:ascii="GHEA Grapalat" w:hAnsi="GHEA Grapalat"/>
          <w:i/>
          <w:sz w:val="22"/>
          <w:szCs w:val="22"/>
        </w:rPr>
        <w:t>Արդարադատության ոլորտում քաղաքականության մշակման, ծրագրերի համակարգման, խորհրդատվության և մոնիտորինգի իրականացման</w:t>
      </w:r>
      <w:r w:rsidRPr="00B57DAB">
        <w:rPr>
          <w:rFonts w:ascii="GHEA Grapalat" w:hAnsi="GHEA Grapalat"/>
          <w:sz w:val="22"/>
          <w:szCs w:val="22"/>
        </w:rPr>
        <w:t xml:space="preserve"> ծրագրին տրամադրվել է 303.8 մլն դրամ՝ ապահովելով ծրագրված ցուցանիշի 99.1%-ը: Շեղումը հիմնականում պայմանավորված է խորհրդատվությունների ձեռքբերման նպատակով հատկացված գումար</w:t>
      </w:r>
      <w:r w:rsidR="00D012CF" w:rsidRPr="00B57DAB">
        <w:rPr>
          <w:rFonts w:ascii="GHEA Grapalat" w:hAnsi="GHEA Grapalat"/>
          <w:sz w:val="22"/>
          <w:szCs w:val="22"/>
        </w:rPr>
        <w:t xml:space="preserve">ը </w:t>
      </w:r>
      <w:r w:rsidRPr="00B57DAB">
        <w:rPr>
          <w:rFonts w:ascii="GHEA Grapalat" w:hAnsi="GHEA Grapalat"/>
          <w:sz w:val="22"/>
          <w:szCs w:val="22"/>
        </w:rPr>
        <w:t>չօգտագործ</w:t>
      </w:r>
      <w:r w:rsidR="00D012CF" w:rsidRPr="00B57DAB">
        <w:rPr>
          <w:rFonts w:ascii="GHEA Grapalat" w:hAnsi="GHEA Grapalat"/>
          <w:sz w:val="22"/>
          <w:szCs w:val="22"/>
        </w:rPr>
        <w:t>ելու հանգամանքով</w:t>
      </w:r>
      <w:r w:rsidRPr="00B57DAB">
        <w:rPr>
          <w:rFonts w:ascii="GHEA Grapalat" w:hAnsi="GHEA Grapalat"/>
          <w:sz w:val="22"/>
          <w:szCs w:val="22"/>
        </w:rPr>
        <w:t>՝ դրանց ձեռքբերման գնման գործընթացներն ամբողջությամբ չավարտվելու պատճառով: Ն</w:t>
      </w:r>
      <w:r w:rsidRPr="00B57DAB">
        <w:rPr>
          <w:rFonts w:ascii="GHEA Grapalat" w:hAnsi="GHEA Grapalat" w:cs="Sylfaen"/>
          <w:sz w:val="22"/>
          <w:szCs w:val="22"/>
        </w:rPr>
        <w:t>ախորդ տարվա նույն ժամանակահատվածի համեմատ նշված ծրագրի ծախսերը նվազել են 0.9</w:t>
      </w:r>
      <w:r w:rsidRPr="00B57DAB">
        <w:rPr>
          <w:rFonts w:ascii="GHEA Grapalat" w:hAnsi="GHEA Grapalat" w:cs="Times Armenian"/>
          <w:sz w:val="22"/>
          <w:szCs w:val="22"/>
        </w:rPr>
        <w:t xml:space="preserve">%-ով (2.6 մլն դրամով): </w:t>
      </w:r>
    </w:p>
    <w:p w:rsidR="00454E98" w:rsidRPr="00B57DAB" w:rsidRDefault="00454E98" w:rsidP="00454E98">
      <w:pPr>
        <w:autoSpaceDE w:val="0"/>
        <w:autoSpaceDN w:val="0"/>
        <w:adjustRightInd w:val="0"/>
        <w:spacing w:line="360" w:lineRule="auto"/>
        <w:ind w:firstLine="567"/>
        <w:jc w:val="both"/>
        <w:rPr>
          <w:rFonts w:ascii="GHEA Grapalat" w:hAnsi="GHEA Grapalat" w:cs="Times Armenian"/>
          <w:sz w:val="22"/>
          <w:szCs w:val="22"/>
        </w:rPr>
      </w:pPr>
      <w:r w:rsidRPr="00B57DAB">
        <w:rPr>
          <w:rFonts w:ascii="GHEA Grapalat" w:hAnsi="GHEA Grapalat" w:cs="Times Armenian"/>
          <w:sz w:val="22"/>
          <w:szCs w:val="22"/>
        </w:rPr>
        <w:t xml:space="preserve">Շուրջ 243.9 դրամ ուղղվել է </w:t>
      </w:r>
      <w:r w:rsidRPr="00B57DAB">
        <w:rPr>
          <w:rFonts w:ascii="GHEA Grapalat" w:hAnsi="GHEA Grapalat" w:cs="Times Armenian"/>
          <w:i/>
          <w:sz w:val="22"/>
          <w:szCs w:val="22"/>
        </w:rPr>
        <w:t>Դատական և հանրային պաշտպանության</w:t>
      </w:r>
      <w:r w:rsidRPr="00B57DAB">
        <w:rPr>
          <w:rFonts w:ascii="GHEA Grapalat" w:hAnsi="GHEA Grapalat" w:cs="Times Armenian"/>
          <w:sz w:val="22"/>
          <w:szCs w:val="22"/>
        </w:rPr>
        <w:t xml:space="preserve"> ծրագրին, որն ամբողջությամբ կատարվել է: Նախորդ տարվա համեմատ նշված ծախսերն աճել են 81.1%-ով կամ 109.2 մլն դրամով՝ հիմնականում պայմանավորված Փորձաքննությունների ծառայությունների տրամադրման նպատակով կատարված ծախսերի 3.7 անգամ (104.9 մլն դրամով) աճով: Հաշվետու ժամանակահատվածում իրականացվել է</w:t>
      </w:r>
      <w:r w:rsidR="00D012CF" w:rsidRPr="00B57DAB">
        <w:rPr>
          <w:rFonts w:ascii="GHEA Grapalat" w:hAnsi="GHEA Grapalat" w:cs="Times Armenian"/>
          <w:sz w:val="22"/>
          <w:szCs w:val="22"/>
        </w:rPr>
        <w:t xml:space="preserve"> ընդհանուր առմամբ</w:t>
      </w:r>
      <w:r w:rsidRPr="00B57DAB">
        <w:rPr>
          <w:rFonts w:ascii="GHEA Grapalat" w:hAnsi="GHEA Grapalat" w:cs="Times Armenian"/>
          <w:sz w:val="22"/>
          <w:szCs w:val="22"/>
        </w:rPr>
        <w:t xml:space="preserve"> 3199</w:t>
      </w:r>
      <w:r w:rsidRPr="00B57DAB">
        <w:t xml:space="preserve"> </w:t>
      </w:r>
      <w:r w:rsidRPr="00B57DAB">
        <w:rPr>
          <w:rFonts w:ascii="GHEA Grapalat" w:hAnsi="GHEA Grapalat" w:cs="Times Armenian"/>
          <w:sz w:val="22"/>
          <w:szCs w:val="22"/>
        </w:rPr>
        <w:t>փորձաքննություն</w:t>
      </w:r>
      <w:r w:rsidR="00D012CF" w:rsidRPr="00B57DAB">
        <w:rPr>
          <w:rFonts w:ascii="GHEA Grapalat" w:hAnsi="GHEA Grapalat" w:cs="Times Armenian"/>
          <w:sz w:val="22"/>
          <w:szCs w:val="22"/>
        </w:rPr>
        <w:t>՝ կանխատեսված 2523-ի դիմաց</w:t>
      </w:r>
      <w:r w:rsidRPr="00B57DAB">
        <w:rPr>
          <w:rFonts w:ascii="GHEA Grapalat" w:hAnsi="GHEA Grapalat" w:cs="Times Armenian"/>
          <w:sz w:val="22"/>
          <w:szCs w:val="22"/>
        </w:rPr>
        <w:t xml:space="preserve">, </w:t>
      </w:r>
      <w:r w:rsidR="00D012CF" w:rsidRPr="00B57DAB">
        <w:rPr>
          <w:rFonts w:ascii="GHEA Grapalat" w:hAnsi="GHEA Grapalat" w:cs="Times Armenian"/>
          <w:sz w:val="22"/>
          <w:szCs w:val="22"/>
        </w:rPr>
        <w:t xml:space="preserve">իսկ նախատեսված </w:t>
      </w:r>
      <w:r w:rsidRPr="00B57DAB">
        <w:rPr>
          <w:rFonts w:ascii="GHEA Grapalat" w:hAnsi="GHEA Grapalat" w:cs="Times Armenian"/>
          <w:sz w:val="22"/>
          <w:szCs w:val="22"/>
        </w:rPr>
        <w:t>144.3 մլն դրամ</w:t>
      </w:r>
      <w:r w:rsidR="00D012CF" w:rsidRPr="00B57DAB">
        <w:rPr>
          <w:rFonts w:ascii="GHEA Grapalat" w:hAnsi="GHEA Grapalat" w:cs="Times Armenian"/>
          <w:sz w:val="22"/>
          <w:szCs w:val="22"/>
        </w:rPr>
        <w:t>ն ամբողջությամբ օգտագործվել է</w:t>
      </w:r>
      <w:r w:rsidRPr="00B57DAB">
        <w:rPr>
          <w:rFonts w:ascii="GHEA Grapalat" w:hAnsi="GHEA Grapalat" w:cs="Times Armenian"/>
          <w:sz w:val="22"/>
          <w:szCs w:val="22"/>
        </w:rPr>
        <w:t>:</w:t>
      </w:r>
    </w:p>
    <w:p w:rsidR="00454E98" w:rsidRPr="00B57DAB" w:rsidRDefault="00454E98" w:rsidP="00454E98">
      <w:pPr>
        <w:autoSpaceDE w:val="0"/>
        <w:autoSpaceDN w:val="0"/>
        <w:adjustRightInd w:val="0"/>
        <w:spacing w:line="360" w:lineRule="auto"/>
        <w:ind w:firstLine="567"/>
        <w:jc w:val="both"/>
        <w:rPr>
          <w:rFonts w:ascii="GHEA Grapalat" w:hAnsi="GHEA Grapalat" w:cs="Times Armenian"/>
          <w:sz w:val="22"/>
          <w:szCs w:val="22"/>
        </w:rPr>
      </w:pPr>
      <w:r w:rsidRPr="00B57DAB">
        <w:rPr>
          <w:rFonts w:ascii="GHEA Grapalat" w:hAnsi="GHEA Grapalat" w:cs="Sylfaen"/>
          <w:i/>
          <w:sz w:val="22"/>
          <w:szCs w:val="22"/>
        </w:rPr>
        <w:t>Քրեակատարողական ծառայությունների</w:t>
      </w:r>
      <w:r w:rsidRPr="00B57DAB">
        <w:rPr>
          <w:rFonts w:ascii="GHEA Grapalat" w:hAnsi="GHEA Grapalat" w:cs="Sylfaen"/>
          <w:sz w:val="22"/>
          <w:szCs w:val="22"/>
        </w:rPr>
        <w:t xml:space="preserve"> ծրագրին </w:t>
      </w:r>
      <w:r w:rsidR="00B94907" w:rsidRPr="00B57DAB">
        <w:rPr>
          <w:rFonts w:ascii="GHEA Grapalat" w:hAnsi="GHEA Grapalat" w:cs="Sylfaen"/>
          <w:sz w:val="22"/>
          <w:szCs w:val="22"/>
        </w:rPr>
        <w:t>2022 թվականի առաջին եռամսյակում</w:t>
      </w:r>
      <w:r w:rsidRPr="00B57DAB">
        <w:rPr>
          <w:rFonts w:ascii="GHEA Grapalat" w:hAnsi="GHEA Grapalat" w:cs="Sylfaen"/>
          <w:sz w:val="22"/>
          <w:szCs w:val="22"/>
        </w:rPr>
        <w:t xml:space="preserve"> տրամադրվել է </w:t>
      </w:r>
      <w:r w:rsidR="006E0881" w:rsidRPr="00B57DAB">
        <w:rPr>
          <w:rFonts w:ascii="GHEA Grapalat" w:hAnsi="GHEA Grapalat" w:cs="Sylfaen"/>
          <w:sz w:val="22"/>
          <w:szCs w:val="22"/>
        </w:rPr>
        <w:t xml:space="preserve">շուրջ </w:t>
      </w:r>
      <w:r w:rsidRPr="00B57DAB">
        <w:rPr>
          <w:rFonts w:ascii="GHEA Grapalat" w:hAnsi="GHEA Grapalat" w:cs="Sylfaen"/>
          <w:sz w:val="22"/>
          <w:szCs w:val="22"/>
        </w:rPr>
        <w:t>2</w:t>
      </w:r>
      <w:r w:rsidR="006E0881" w:rsidRPr="00B57DAB">
        <w:rPr>
          <w:rFonts w:ascii="Courier New" w:hAnsi="Courier New" w:cs="Courier New"/>
          <w:sz w:val="22"/>
          <w:szCs w:val="22"/>
        </w:rPr>
        <w:t> </w:t>
      </w:r>
      <w:r w:rsidRPr="00B57DAB">
        <w:rPr>
          <w:rFonts w:ascii="GHEA Grapalat" w:hAnsi="GHEA Grapalat" w:cs="Times Armenian"/>
          <w:sz w:val="22"/>
          <w:szCs w:val="22"/>
        </w:rPr>
        <w:t xml:space="preserve">մլրդ դրամ կամ նախատեսված միջոցների 62.8%-ը: Շեղումը հիմնականում պայմանավորված է «Քրեակատարողական ծառայություններ» միջոցառման կատարողականով, ինչպես նաև </w:t>
      </w:r>
      <w:r w:rsidR="006E0881" w:rsidRPr="00B57DAB">
        <w:rPr>
          <w:rFonts w:ascii="GHEA Grapalat" w:hAnsi="GHEA Grapalat" w:cs="Times Armenian"/>
          <w:sz w:val="22"/>
          <w:szCs w:val="22"/>
        </w:rPr>
        <w:t>ք</w:t>
      </w:r>
      <w:r w:rsidRPr="00B57DAB">
        <w:rPr>
          <w:rFonts w:ascii="GHEA Grapalat" w:hAnsi="GHEA Grapalat" w:cs="Times Armenian"/>
          <w:sz w:val="22"/>
          <w:szCs w:val="22"/>
        </w:rPr>
        <w:t>րեակատարողական հիմնարկների օպտիմալաց</w:t>
      </w:r>
      <w:r w:rsidR="006E0881" w:rsidRPr="00B57DAB">
        <w:rPr>
          <w:rFonts w:ascii="GHEA Grapalat" w:hAnsi="GHEA Grapalat" w:cs="Times Armenian"/>
          <w:sz w:val="22"/>
          <w:szCs w:val="22"/>
        </w:rPr>
        <w:t>ման</w:t>
      </w:r>
      <w:r w:rsidRPr="00B57DAB">
        <w:rPr>
          <w:rFonts w:ascii="GHEA Grapalat" w:hAnsi="GHEA Grapalat" w:cs="Times Armenian"/>
          <w:sz w:val="22"/>
          <w:szCs w:val="22"/>
        </w:rPr>
        <w:t>, շենքային պայմանների բավարար</w:t>
      </w:r>
      <w:r w:rsidR="006E0881" w:rsidRPr="00B57DAB">
        <w:rPr>
          <w:rFonts w:ascii="GHEA Grapalat" w:hAnsi="GHEA Grapalat" w:cs="Times Armenian"/>
          <w:sz w:val="22"/>
          <w:szCs w:val="22"/>
        </w:rPr>
        <w:t>ման նպատակով հատկացված միջոցները չօգտագործելու հանգամանքով:</w:t>
      </w:r>
      <w:r w:rsidRPr="00B57DAB">
        <w:rPr>
          <w:rFonts w:ascii="GHEA Grapalat" w:hAnsi="GHEA Grapalat" w:cs="Times Armenian"/>
          <w:sz w:val="22"/>
          <w:szCs w:val="22"/>
        </w:rPr>
        <w:t xml:space="preserve"> Նախորդ տարվա առաջին եռամսյակի համեմատ Քրեակատարողական ծառայություններ</w:t>
      </w:r>
      <w:r w:rsidR="005836CA" w:rsidRPr="00B57DAB">
        <w:rPr>
          <w:rFonts w:ascii="GHEA Grapalat" w:hAnsi="GHEA Grapalat" w:cs="Times Armenian"/>
          <w:sz w:val="22"/>
          <w:szCs w:val="22"/>
        </w:rPr>
        <w:t>ի ծրագրի ծախսերը նվազել են 2.4%</w:t>
      </w:r>
      <w:r w:rsidR="005836CA" w:rsidRPr="00B57DAB">
        <w:rPr>
          <w:rFonts w:ascii="GHEA Grapalat" w:hAnsi="GHEA Grapalat" w:cs="Times Armenian"/>
          <w:sz w:val="22"/>
          <w:szCs w:val="22"/>
        </w:rPr>
        <w:noBreakHyphen/>
      </w:r>
      <w:r w:rsidRPr="00B57DAB">
        <w:rPr>
          <w:rFonts w:ascii="GHEA Grapalat" w:hAnsi="GHEA Grapalat" w:cs="Times Armenian"/>
          <w:sz w:val="22"/>
          <w:szCs w:val="22"/>
        </w:rPr>
        <w:t>ով (48.1 մլն դրամով)՝ պայմանավորված «Քրեակատարողական ծառայություններ» միջոցառման ծախսերի 4% (72.6 մլն դրամ) նվազ</w:t>
      </w:r>
      <w:r w:rsidR="005836CA" w:rsidRPr="00B57DAB">
        <w:rPr>
          <w:rFonts w:ascii="GHEA Grapalat" w:hAnsi="GHEA Grapalat" w:cs="Times Armenian"/>
          <w:sz w:val="22"/>
          <w:szCs w:val="22"/>
        </w:rPr>
        <w:t>մամբ</w:t>
      </w:r>
      <w:r w:rsidRPr="00B57DAB">
        <w:rPr>
          <w:rFonts w:ascii="GHEA Grapalat" w:hAnsi="GHEA Grapalat" w:cs="Times Armenian"/>
          <w:sz w:val="22"/>
          <w:szCs w:val="22"/>
        </w:rPr>
        <w:t>:</w:t>
      </w:r>
    </w:p>
    <w:p w:rsidR="00454E98" w:rsidRPr="00B57DAB" w:rsidRDefault="005836CA" w:rsidP="00454E98">
      <w:pPr>
        <w:autoSpaceDE w:val="0"/>
        <w:autoSpaceDN w:val="0"/>
        <w:adjustRightInd w:val="0"/>
        <w:spacing w:line="360" w:lineRule="auto"/>
        <w:ind w:firstLine="567"/>
        <w:jc w:val="both"/>
        <w:rPr>
          <w:rFonts w:ascii="GHEA Grapalat" w:hAnsi="GHEA Grapalat" w:cs="Times Armenian"/>
          <w:sz w:val="22"/>
          <w:szCs w:val="22"/>
        </w:rPr>
      </w:pPr>
      <w:r w:rsidRPr="00B57DAB">
        <w:rPr>
          <w:rFonts w:ascii="GHEA Grapalat" w:hAnsi="GHEA Grapalat" w:cs="Times Armenian"/>
          <w:sz w:val="22"/>
          <w:szCs w:val="22"/>
        </w:rPr>
        <w:t>Ծրագրին կատարված հ</w:t>
      </w:r>
      <w:r w:rsidR="00454E98" w:rsidRPr="00B57DAB">
        <w:rPr>
          <w:rFonts w:ascii="GHEA Grapalat" w:hAnsi="GHEA Grapalat" w:cs="Times Armenian"/>
          <w:sz w:val="22"/>
          <w:szCs w:val="22"/>
        </w:rPr>
        <w:t xml:space="preserve">ատկացումների գերակշիռ մասն ուղղվել է «Քրեակատարողական ծառայություններ» միջոցառմանը, որի շրջանակներում </w:t>
      </w:r>
      <w:r w:rsidRPr="00B57DAB">
        <w:rPr>
          <w:rFonts w:ascii="GHEA Grapalat" w:hAnsi="GHEA Grapalat" w:cs="Times Armenian"/>
          <w:sz w:val="22"/>
          <w:szCs w:val="22"/>
        </w:rPr>
        <w:t>դատապարտյալների և կալանքի տակ գտնվող անձանց թիվը կազմել է 2216</w:t>
      </w:r>
      <w:r w:rsidR="00454E98" w:rsidRPr="00B57DAB">
        <w:rPr>
          <w:rFonts w:ascii="GHEA Grapalat" w:hAnsi="GHEA Grapalat" w:cs="Times Armenian"/>
          <w:sz w:val="22"/>
          <w:szCs w:val="22"/>
        </w:rPr>
        <w:t xml:space="preserve">՝ </w:t>
      </w:r>
      <w:r w:rsidRPr="00B57DAB">
        <w:rPr>
          <w:rFonts w:ascii="GHEA Grapalat" w:hAnsi="GHEA Grapalat" w:cs="Times Armenian"/>
          <w:sz w:val="22"/>
          <w:szCs w:val="22"/>
        </w:rPr>
        <w:t>կանխատեսված 2300-ի դիմաց, որը</w:t>
      </w:r>
      <w:r w:rsidR="00454E98" w:rsidRPr="00B57DAB">
        <w:rPr>
          <w:rFonts w:ascii="GHEA Grapalat" w:hAnsi="GHEA Grapalat" w:cs="Times Armenian"/>
          <w:sz w:val="22"/>
          <w:szCs w:val="22"/>
        </w:rPr>
        <w:t xml:space="preserve"> պայմանավորված </w:t>
      </w:r>
      <w:r w:rsidRPr="00B57DAB">
        <w:rPr>
          <w:rFonts w:ascii="GHEA Grapalat" w:hAnsi="GHEA Grapalat" w:cs="Times Armenian"/>
          <w:sz w:val="22"/>
          <w:szCs w:val="22"/>
        </w:rPr>
        <w:t xml:space="preserve">է </w:t>
      </w:r>
      <w:r w:rsidR="00454E98" w:rsidRPr="00B57DAB">
        <w:rPr>
          <w:rFonts w:ascii="GHEA Grapalat" w:hAnsi="GHEA Grapalat" w:cs="Times Armenian"/>
          <w:sz w:val="22"/>
          <w:szCs w:val="22"/>
        </w:rPr>
        <w:t>նրանով, որ դատարանները հաճախակի են կիրառում գրավի դիմաց ազատում: Միջոցառման ծախսերը կատարվել են 72.7%-ով՝ կազմելով 1.7 մլրդ դրամ՝ պայմանավորված թափուր հաստիքների առկայությամբ, շարունակական ծախսերի գծով միջոցների տնտեսմամբ և գնումների գործընթացի արդյունքում առաջացած խնայողություններով:</w:t>
      </w:r>
    </w:p>
    <w:p w:rsidR="00454E98" w:rsidRPr="00B57DAB" w:rsidRDefault="00454E98" w:rsidP="00454E98">
      <w:pPr>
        <w:autoSpaceDE w:val="0"/>
        <w:autoSpaceDN w:val="0"/>
        <w:adjustRightInd w:val="0"/>
        <w:spacing w:line="360" w:lineRule="auto"/>
        <w:ind w:firstLine="567"/>
        <w:jc w:val="both"/>
        <w:rPr>
          <w:rFonts w:ascii="GHEA Grapalat" w:hAnsi="GHEA Grapalat" w:cs="Times Armenian"/>
          <w:sz w:val="22"/>
          <w:szCs w:val="22"/>
        </w:rPr>
      </w:pPr>
      <w:r w:rsidRPr="00B57DAB">
        <w:rPr>
          <w:rFonts w:ascii="GHEA Grapalat" w:hAnsi="GHEA Grapalat" w:cs="Times Armenian"/>
          <w:sz w:val="22"/>
          <w:szCs w:val="22"/>
        </w:rPr>
        <w:t>Քրեակատարողական հիմնարկների օպտիմալացման, շենքային պայմանների բավարարման համար առաջին եռամսյակում հատկացված 393.3 մլն դրամը չի օգտագործվել, քանի որ օբյեկտի փոփոխության</w:t>
      </w:r>
      <w:r w:rsidR="00AA7B70" w:rsidRPr="00B57DAB">
        <w:rPr>
          <w:rFonts w:ascii="GHEA Grapalat" w:hAnsi="GHEA Grapalat" w:cs="Times Armenian"/>
          <w:sz w:val="22"/>
          <w:szCs w:val="22"/>
        </w:rPr>
        <w:t xml:space="preserve"> վերաբերյալ որոշում</w:t>
      </w:r>
      <w:r w:rsidRPr="00B57DAB">
        <w:rPr>
          <w:rFonts w:ascii="GHEA Grapalat" w:hAnsi="GHEA Grapalat" w:cs="Times Armenian"/>
          <w:sz w:val="22"/>
          <w:szCs w:val="22"/>
        </w:rPr>
        <w:t>ն ընդունվել է ապրիլին:</w:t>
      </w:r>
    </w:p>
    <w:p w:rsidR="00454E98" w:rsidRPr="00B57DAB" w:rsidRDefault="00454E98" w:rsidP="00454E98">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Times Armenian"/>
          <w:i/>
          <w:sz w:val="22"/>
          <w:szCs w:val="22"/>
        </w:rPr>
        <w:lastRenderedPageBreak/>
        <w:t>Հարկադիր կատարման ծառայությունների</w:t>
      </w:r>
      <w:r w:rsidRPr="00B57DAB">
        <w:rPr>
          <w:rFonts w:ascii="GHEA Grapalat" w:hAnsi="GHEA Grapalat" w:cs="Times Armenian"/>
          <w:sz w:val="22"/>
          <w:szCs w:val="22"/>
        </w:rPr>
        <w:t xml:space="preserve"> ծրագրի շրջանակներում հաշվետու </w:t>
      </w:r>
      <w:r w:rsidR="00B94907" w:rsidRPr="00B57DAB">
        <w:rPr>
          <w:rFonts w:ascii="GHEA Grapalat" w:hAnsi="GHEA Grapalat" w:cs="Times Armenian"/>
          <w:sz w:val="22"/>
          <w:szCs w:val="22"/>
        </w:rPr>
        <w:t xml:space="preserve">ժամանակահատվածում </w:t>
      </w:r>
      <w:r w:rsidRPr="00B57DAB">
        <w:rPr>
          <w:rFonts w:ascii="GHEA Grapalat" w:hAnsi="GHEA Grapalat" w:cs="Sylfaen"/>
          <w:sz w:val="22"/>
          <w:szCs w:val="22"/>
        </w:rPr>
        <w:t>օգտագործվել է</w:t>
      </w:r>
      <w:r w:rsidR="005836CA" w:rsidRPr="00B57DAB">
        <w:rPr>
          <w:rFonts w:ascii="GHEA Grapalat" w:hAnsi="GHEA Grapalat" w:cs="Sylfaen"/>
          <w:sz w:val="22"/>
          <w:szCs w:val="22"/>
        </w:rPr>
        <w:t xml:space="preserve"> նախատեսված միջոցների 92.8</w:t>
      </w:r>
      <w:r w:rsidR="005836CA" w:rsidRPr="00B57DAB">
        <w:rPr>
          <w:rFonts w:ascii="GHEA Grapalat" w:hAnsi="GHEA Grapalat" w:cs="Times Armenian"/>
          <w:sz w:val="22"/>
          <w:szCs w:val="22"/>
        </w:rPr>
        <w:t>%-ը՝</w:t>
      </w:r>
      <w:r w:rsidRPr="00B57DAB">
        <w:rPr>
          <w:rFonts w:ascii="GHEA Grapalat" w:hAnsi="GHEA Grapalat" w:cs="Sylfaen"/>
          <w:sz w:val="22"/>
          <w:szCs w:val="22"/>
        </w:rPr>
        <w:t xml:space="preserve"> 383.5 մլն դրամ</w:t>
      </w:r>
      <w:r w:rsidRPr="00B57DAB">
        <w:rPr>
          <w:rFonts w:ascii="GHEA Grapalat" w:hAnsi="GHEA Grapalat" w:cs="Times Armenian"/>
          <w:sz w:val="22"/>
          <w:szCs w:val="22"/>
        </w:rPr>
        <w:t xml:space="preserve">: Շեղումը </w:t>
      </w:r>
      <w:r w:rsidRPr="00B57DAB">
        <w:rPr>
          <w:rFonts w:ascii="GHEA Grapalat" w:hAnsi="GHEA Grapalat" w:cs="GHEA Grapalat"/>
          <w:sz w:val="22"/>
          <w:szCs w:val="22"/>
        </w:rPr>
        <w:t>պայմանավորված է</w:t>
      </w:r>
      <w:r w:rsidRPr="00B57DAB">
        <w:rPr>
          <w:rFonts w:ascii="GHEA Grapalat" w:hAnsi="GHEA Grapalat" w:cs="Times Armenian"/>
          <w:sz w:val="22"/>
          <w:szCs w:val="22"/>
        </w:rPr>
        <w:t xml:space="preserve"> թափուր հաստիքներով և</w:t>
      </w:r>
      <w:r w:rsidRPr="00B57DAB">
        <w:rPr>
          <w:rFonts w:ascii="GHEA Grapalat" w:hAnsi="GHEA Grapalat"/>
        </w:rPr>
        <w:t xml:space="preserve"> </w:t>
      </w:r>
      <w:r w:rsidRPr="00B57DAB">
        <w:rPr>
          <w:rFonts w:ascii="GHEA Grapalat" w:hAnsi="GHEA Grapalat" w:cs="Times Armenian"/>
          <w:sz w:val="22"/>
          <w:szCs w:val="22"/>
        </w:rPr>
        <w:t xml:space="preserve">որոշ ապրանքների ու ծառայությունների գնման գործընթացի ժամանակատարությամբ: </w:t>
      </w:r>
      <w:r w:rsidRPr="00B57DAB">
        <w:rPr>
          <w:rFonts w:ascii="GHEA Grapalat" w:hAnsi="GHEA Grapalat" w:cs="Sylfaen"/>
          <w:sz w:val="22"/>
          <w:szCs w:val="22"/>
        </w:rPr>
        <w:t>Նշված ծախսերը</w:t>
      </w:r>
      <w:r w:rsidR="005836CA" w:rsidRPr="00B57DAB">
        <w:rPr>
          <w:rFonts w:ascii="GHEA Grapalat" w:hAnsi="GHEA Grapalat" w:cs="Sylfaen"/>
          <w:sz w:val="22"/>
          <w:szCs w:val="22"/>
        </w:rPr>
        <w:t xml:space="preserve"> </w:t>
      </w:r>
      <w:r w:rsidR="005836CA" w:rsidRPr="00B57DAB">
        <w:rPr>
          <w:rFonts w:ascii="GHEA Grapalat" w:hAnsi="GHEA Grapalat" w:cs="Times Armenian"/>
          <w:sz w:val="22"/>
          <w:szCs w:val="22"/>
        </w:rPr>
        <w:t>նախորդ տարվա</w:t>
      </w:r>
      <w:r w:rsidR="005836CA" w:rsidRPr="00B57DAB">
        <w:rPr>
          <w:rFonts w:ascii="GHEA Grapalat" w:hAnsi="GHEA Grapalat" w:cs="Sylfaen"/>
          <w:sz w:val="22"/>
          <w:szCs w:val="22"/>
        </w:rPr>
        <w:t xml:space="preserve"> </w:t>
      </w:r>
      <w:r w:rsidR="00B94907" w:rsidRPr="00B57DAB">
        <w:rPr>
          <w:rFonts w:ascii="GHEA Grapalat" w:hAnsi="GHEA Grapalat" w:cs="Sylfaen"/>
          <w:sz w:val="22"/>
          <w:szCs w:val="22"/>
        </w:rPr>
        <w:t>առաջին եռամսյակի</w:t>
      </w:r>
      <w:r w:rsidR="005836CA" w:rsidRPr="00B57DAB">
        <w:rPr>
          <w:rFonts w:ascii="GHEA Grapalat" w:hAnsi="GHEA Grapalat" w:cs="Sylfaen"/>
          <w:sz w:val="22"/>
          <w:szCs w:val="22"/>
        </w:rPr>
        <w:t xml:space="preserve"> համեմատ նվազել են</w:t>
      </w:r>
      <w:r w:rsidRPr="00B57DAB">
        <w:rPr>
          <w:rFonts w:ascii="GHEA Grapalat" w:hAnsi="GHEA Grapalat" w:cs="Sylfaen"/>
          <w:sz w:val="22"/>
          <w:szCs w:val="22"/>
        </w:rPr>
        <w:t xml:space="preserve"> 2.5</w:t>
      </w:r>
      <w:r w:rsidR="005836CA" w:rsidRPr="00B57DAB">
        <w:rPr>
          <w:rFonts w:ascii="GHEA Grapalat" w:hAnsi="GHEA Grapalat" w:cs="Times Armenian"/>
          <w:sz w:val="22"/>
          <w:szCs w:val="22"/>
        </w:rPr>
        <w:t>%</w:t>
      </w:r>
      <w:r w:rsidR="005836CA" w:rsidRPr="00B57DAB">
        <w:rPr>
          <w:rFonts w:ascii="GHEA Grapalat" w:hAnsi="GHEA Grapalat" w:cs="Times Armenian"/>
          <w:sz w:val="22"/>
          <w:szCs w:val="22"/>
        </w:rPr>
        <w:noBreakHyphen/>
      </w:r>
      <w:r w:rsidRPr="00B57DAB">
        <w:rPr>
          <w:rFonts w:ascii="GHEA Grapalat" w:hAnsi="GHEA Grapalat" w:cs="Times Armenian"/>
          <w:sz w:val="22"/>
          <w:szCs w:val="22"/>
        </w:rPr>
        <w:t>ով (9.8</w:t>
      </w:r>
      <w:r w:rsidR="005836CA" w:rsidRPr="00B57DAB">
        <w:rPr>
          <w:rFonts w:ascii="GHEA Grapalat" w:hAnsi="GHEA Grapalat" w:cs="Times Armenian"/>
          <w:sz w:val="22"/>
          <w:szCs w:val="22"/>
        </w:rPr>
        <w:t xml:space="preserve"> մլն դրամով)</w:t>
      </w:r>
      <w:r w:rsidRPr="00B57DAB">
        <w:rPr>
          <w:rFonts w:ascii="GHEA Grapalat" w:hAnsi="GHEA Grapalat" w:cs="Sylfaen"/>
          <w:sz w:val="22"/>
          <w:szCs w:val="22"/>
        </w:rPr>
        <w:t xml:space="preserve">: </w:t>
      </w:r>
    </w:p>
    <w:p w:rsidR="003F2149" w:rsidRPr="00B57DAB" w:rsidRDefault="00454E98" w:rsidP="00454E98">
      <w:pPr>
        <w:spacing w:line="360" w:lineRule="auto"/>
        <w:ind w:firstLine="561"/>
        <w:jc w:val="both"/>
        <w:rPr>
          <w:rFonts w:ascii="GHEA Grapalat" w:hAnsi="GHEA Grapalat" w:cs="Times Armenian"/>
          <w:i/>
          <w:sz w:val="22"/>
          <w:szCs w:val="22"/>
          <w:u w:val="single"/>
        </w:rPr>
      </w:pPr>
      <w:r w:rsidRPr="00B57DAB">
        <w:rPr>
          <w:rFonts w:ascii="GHEA Grapalat" w:hAnsi="GHEA Grapalat" w:cs="Times Armenian"/>
          <w:i/>
          <w:sz w:val="22"/>
          <w:szCs w:val="22"/>
        </w:rPr>
        <w:t xml:space="preserve">Հակակոռուպցիոն քաղաքականության մշակման, ծրագրերի համակարգման և մոնիտորինգի իրականացման ծրագրի </w:t>
      </w:r>
      <w:r w:rsidRPr="00B57DAB">
        <w:rPr>
          <w:rFonts w:ascii="GHEA Grapalat" w:hAnsi="GHEA Grapalat" w:cs="Times Armenian"/>
          <w:iCs/>
          <w:sz w:val="22"/>
          <w:szCs w:val="22"/>
        </w:rPr>
        <w:t>շրջանակներում Էլեկտրոնային ռեսուրսների ստեղծման կամ արդիականացման նախագծերի ապահովման համար նախատեսված 172.8 մլն դրամը չի օգտագործվել, քանի որ կատարված աշխատանքների համար</w:t>
      </w:r>
      <w:r w:rsidRPr="00B57DAB">
        <w:t xml:space="preserve"> </w:t>
      </w:r>
      <w:r w:rsidRPr="00B57DAB">
        <w:rPr>
          <w:rFonts w:ascii="GHEA Grapalat" w:hAnsi="GHEA Grapalat" w:cs="Times Armenian"/>
          <w:iCs/>
          <w:sz w:val="22"/>
          <w:szCs w:val="22"/>
        </w:rPr>
        <w:t xml:space="preserve">ընդունման-հանձնման արձանագրությունը ներկայացվել է մարտի 29-ին, </w:t>
      </w:r>
      <w:r w:rsidR="00B94907" w:rsidRPr="00B57DAB">
        <w:rPr>
          <w:rFonts w:ascii="GHEA Grapalat" w:hAnsi="GHEA Grapalat" w:cs="Times Armenian"/>
          <w:iCs/>
          <w:sz w:val="22"/>
          <w:szCs w:val="22"/>
        </w:rPr>
        <w:t>և</w:t>
      </w:r>
      <w:r w:rsidRPr="00B57DAB">
        <w:rPr>
          <w:rFonts w:ascii="GHEA Grapalat" w:hAnsi="GHEA Grapalat" w:cs="Times Armenian"/>
          <w:iCs/>
          <w:sz w:val="22"/>
          <w:szCs w:val="22"/>
        </w:rPr>
        <w:t xml:space="preserve"> վճարում</w:t>
      </w:r>
      <w:r w:rsidR="00B94907" w:rsidRPr="00B57DAB">
        <w:rPr>
          <w:rFonts w:ascii="GHEA Grapalat" w:hAnsi="GHEA Grapalat" w:cs="Times Armenian"/>
          <w:iCs/>
          <w:sz w:val="22"/>
          <w:szCs w:val="22"/>
        </w:rPr>
        <w:t>ն</w:t>
      </w:r>
      <w:r w:rsidRPr="00B57DAB">
        <w:rPr>
          <w:rFonts w:ascii="GHEA Grapalat" w:hAnsi="GHEA Grapalat" w:cs="Times Armenian"/>
          <w:iCs/>
          <w:sz w:val="22"/>
          <w:szCs w:val="22"/>
        </w:rPr>
        <w:t xml:space="preserve"> իրականացվել է ապրիլին:</w:t>
      </w:r>
    </w:p>
    <w:p w:rsidR="003F2149" w:rsidRPr="00B57DAB" w:rsidRDefault="003F2149" w:rsidP="003F2149">
      <w:pPr>
        <w:spacing w:line="360" w:lineRule="auto"/>
        <w:ind w:firstLine="561"/>
        <w:jc w:val="both"/>
        <w:rPr>
          <w:rFonts w:ascii="GHEA Grapalat" w:hAnsi="GHEA Grapalat" w:cs="Times Armenian"/>
          <w:sz w:val="22"/>
          <w:szCs w:val="22"/>
        </w:rPr>
      </w:pPr>
    </w:p>
    <w:p w:rsidR="00772ED1" w:rsidRPr="00B57DAB" w:rsidRDefault="003F2149" w:rsidP="00772ED1">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i/>
          <w:sz w:val="22"/>
          <w:szCs w:val="22"/>
          <w:u w:val="single"/>
        </w:rPr>
        <w:t>ՀՀ Էկոնոմիկայի նախարարության</w:t>
      </w:r>
      <w:r w:rsidRPr="00B57DAB">
        <w:rPr>
          <w:rFonts w:ascii="GHEA Grapalat" w:hAnsi="GHEA Grapalat" w:cs="GHEA Grapalat"/>
          <w:sz w:val="22"/>
          <w:szCs w:val="22"/>
        </w:rPr>
        <w:t xml:space="preserve"> </w:t>
      </w:r>
      <w:r w:rsidR="00772ED1" w:rsidRPr="00B57DAB">
        <w:rPr>
          <w:rFonts w:ascii="GHEA Grapalat" w:hAnsi="GHEA Grapalat" w:cs="Times Armenian"/>
          <w:sz w:val="22"/>
          <w:szCs w:val="22"/>
        </w:rPr>
        <w:t>պատասխանատվությամբ 2022</w:t>
      </w:r>
      <w:r w:rsidR="00772ED1" w:rsidRPr="00B57DAB">
        <w:rPr>
          <w:rFonts w:ascii="GHEA Grapalat" w:hAnsi="GHEA Grapalat" w:cs="GHEA Grapalat"/>
          <w:sz w:val="22"/>
          <w:szCs w:val="22"/>
        </w:rPr>
        <w:t xml:space="preserve"> թվականի </w:t>
      </w:r>
      <w:r w:rsidR="00772ED1" w:rsidRPr="00B57DAB">
        <w:rPr>
          <w:rFonts w:ascii="GHEA Grapalat" w:hAnsi="GHEA Grapalat"/>
          <w:sz w:val="22"/>
          <w:szCs w:val="22"/>
        </w:rPr>
        <w:t>առաջին եռամսյակում</w:t>
      </w:r>
      <w:r w:rsidR="00772ED1" w:rsidRPr="00B57DAB">
        <w:rPr>
          <w:rFonts w:ascii="GHEA Grapalat" w:hAnsi="GHEA Grapalat" w:cs="GHEA Grapalat"/>
          <w:sz w:val="22"/>
          <w:szCs w:val="22"/>
        </w:rPr>
        <w:t xml:space="preserve"> նախատեսված 13-ի դիմաց</w:t>
      </w:r>
      <w:r w:rsidR="00772ED1" w:rsidRPr="00B57DAB">
        <w:rPr>
          <w:rFonts w:ascii="GHEA Grapalat" w:hAnsi="GHEA Grapalat"/>
          <w:sz w:val="22"/>
          <w:szCs w:val="22"/>
        </w:rPr>
        <w:t xml:space="preserve"> </w:t>
      </w:r>
      <w:r w:rsidR="00772ED1" w:rsidRPr="00B57DAB">
        <w:rPr>
          <w:rFonts w:ascii="GHEA Grapalat" w:hAnsi="GHEA Grapalat" w:cs="GHEA Grapalat"/>
          <w:sz w:val="22"/>
          <w:szCs w:val="22"/>
        </w:rPr>
        <w:t xml:space="preserve">կատարվել է պետական բյուջեի 12 ծրագիր: Ծախսերը կազմել են 8.7 մլրդ դրամ կամ </w:t>
      </w:r>
      <w:r w:rsidR="00817C92" w:rsidRPr="00B57DAB">
        <w:rPr>
          <w:rFonts w:ascii="GHEA Grapalat" w:hAnsi="GHEA Grapalat" w:cs="GHEA Grapalat"/>
          <w:sz w:val="22"/>
          <w:szCs w:val="22"/>
        </w:rPr>
        <w:t>ծրագրված ցուցանիշի</w:t>
      </w:r>
      <w:r w:rsidR="00772ED1" w:rsidRPr="00B57DAB">
        <w:rPr>
          <w:rFonts w:ascii="GHEA Grapalat" w:hAnsi="GHEA Grapalat" w:cs="GHEA Grapalat"/>
          <w:sz w:val="22"/>
          <w:szCs w:val="22"/>
        </w:rPr>
        <w:t xml:space="preserve"> 76.5%</w:t>
      </w:r>
      <w:r w:rsidR="00772ED1" w:rsidRPr="00B57DAB">
        <w:rPr>
          <w:rFonts w:ascii="GHEA Grapalat" w:hAnsi="GHEA Grapalat" w:cs="GHEA Grapalat"/>
          <w:sz w:val="22"/>
          <w:szCs w:val="22"/>
        </w:rPr>
        <w:noBreakHyphen/>
        <w:t xml:space="preserve">ը: </w:t>
      </w:r>
      <w:r w:rsidR="00817C92" w:rsidRPr="00B57DAB">
        <w:rPr>
          <w:rFonts w:ascii="GHEA Grapalat" w:hAnsi="GHEA Grapalat" w:cs="GHEA Grapalat"/>
          <w:sz w:val="22"/>
          <w:szCs w:val="22"/>
        </w:rPr>
        <w:t>Շ</w:t>
      </w:r>
      <w:r w:rsidR="00772ED1" w:rsidRPr="00B57DAB">
        <w:rPr>
          <w:rFonts w:ascii="GHEA Grapalat" w:hAnsi="GHEA Grapalat" w:cs="GHEA Grapalat"/>
          <w:sz w:val="22"/>
          <w:szCs w:val="22"/>
        </w:rPr>
        <w:t xml:space="preserve">եղումը հիմնականում պայմանավորված է Գյուղական ենթակառուցվածքների վերականգնման և զարգացման, Անասնաբուժական ծառայությունների, </w:t>
      </w:r>
      <w:r w:rsidR="00F817F8" w:rsidRPr="00B57DAB">
        <w:rPr>
          <w:rFonts w:ascii="GHEA Grapalat" w:hAnsi="GHEA Grapalat" w:cs="GHEA Grapalat"/>
          <w:sz w:val="22"/>
          <w:szCs w:val="22"/>
        </w:rPr>
        <w:t>Գյուղատնտեսության արդիականացման,</w:t>
      </w:r>
      <w:r w:rsidR="00772ED1" w:rsidRPr="00B57DAB">
        <w:rPr>
          <w:rFonts w:ascii="GHEA Grapalat" w:hAnsi="GHEA Grapalat" w:cs="GHEA Grapalat"/>
          <w:sz w:val="22"/>
          <w:szCs w:val="22"/>
        </w:rPr>
        <w:t xml:space="preserve"> Ճգնաժամերի հակազդման և արտակարգ իրավիճակների հետևանքների նվազեցման և վերացման</w:t>
      </w:r>
      <w:r w:rsidR="00F817F8" w:rsidRPr="00B57DAB">
        <w:rPr>
          <w:rFonts w:ascii="GHEA Grapalat" w:hAnsi="GHEA Grapalat" w:cs="GHEA Grapalat"/>
          <w:sz w:val="22"/>
          <w:szCs w:val="22"/>
        </w:rPr>
        <w:t>, ինչպես նաև Ենթակառուցվածքների և գյուղական ֆինանսավորման աջակցության</w:t>
      </w:r>
      <w:r w:rsidR="00772ED1" w:rsidRPr="00B57DAB">
        <w:rPr>
          <w:rFonts w:ascii="GHEA Grapalat" w:hAnsi="GHEA Grapalat" w:cs="GHEA Grapalat"/>
          <w:sz w:val="22"/>
          <w:szCs w:val="22"/>
        </w:rPr>
        <w:t xml:space="preserve"> ծրագրերի կատարողականով: Նախորդ տարվա առաջին եռամսյակի համեմատ ՀՀ Էկոնոմիկայի նախարարության պատասխանատվությամբ իրականացվող ծրագրերի գծով ծախսերն աճել են 54.6%</w:t>
      </w:r>
      <w:r w:rsidR="00772ED1" w:rsidRPr="00B57DAB">
        <w:rPr>
          <w:rFonts w:ascii="GHEA Grapalat" w:hAnsi="GHEA Grapalat" w:cs="GHEA Grapalat"/>
          <w:sz w:val="22"/>
          <w:szCs w:val="22"/>
        </w:rPr>
        <w:noBreakHyphen/>
        <w:t>ով կամ շուրջ 3.1 մլրդ դրամով, որը հիմնականում պայմանավորված է Գյուղատնտեսության խթանման և Գյուղատնտեսության արդիականացման ծրագրերի շրջանակներում կատարված ծախսերի աճով:</w:t>
      </w:r>
    </w:p>
    <w:p w:rsidR="00772ED1" w:rsidRPr="00B57DAB" w:rsidRDefault="00772ED1" w:rsidP="00772ED1">
      <w:pPr>
        <w:autoSpaceDE w:val="0"/>
        <w:autoSpaceDN w:val="0"/>
        <w:adjustRightInd w:val="0"/>
        <w:spacing w:line="360" w:lineRule="auto"/>
        <w:ind w:firstLine="567"/>
        <w:jc w:val="both"/>
        <w:rPr>
          <w:rFonts w:ascii="GHEA Grapalat" w:hAnsi="GHEA Grapalat" w:cs="GHEA Grapalat"/>
          <w:b/>
          <w:bCs/>
          <w:iCs/>
          <w:sz w:val="18"/>
          <w:szCs w:val="18"/>
        </w:rPr>
      </w:pPr>
    </w:p>
    <w:p w:rsidR="00772ED1" w:rsidRPr="00B57DAB" w:rsidRDefault="00772ED1" w:rsidP="00770F24">
      <w:pPr>
        <w:pStyle w:val="Caption"/>
        <w:keepNext/>
        <w:numPr>
          <w:ilvl w:val="0"/>
          <w:numId w:val="8"/>
        </w:numPr>
        <w:tabs>
          <w:tab w:val="left" w:pos="1276"/>
        </w:tabs>
        <w:ind w:left="0" w:firstLine="0"/>
        <w:jc w:val="left"/>
        <w:rPr>
          <w:rFonts w:ascii="Arial Armenian" w:hAnsi="Arial Armenian"/>
          <w:bCs w:val="0"/>
          <w:i/>
          <w:sz w:val="24"/>
        </w:rPr>
      </w:pPr>
      <w:r w:rsidRPr="00B57DAB">
        <w:rPr>
          <w:rFonts w:ascii="GHEA Grapalat" w:hAnsi="GHEA Grapalat"/>
          <w:i/>
          <w:sz w:val="18"/>
          <w:szCs w:val="18"/>
          <w:lang w:val="en-US"/>
        </w:rPr>
        <w:t>2022թ</w:t>
      </w:r>
      <w:r w:rsidRPr="00B57DAB">
        <w:rPr>
          <w:rFonts w:ascii="GHEA Grapalat" w:hAnsi="GHEA Grapalat" w:cs="GHEA Grapalat"/>
          <w:bCs w:val="0"/>
          <w:i/>
          <w:iCs/>
          <w:sz w:val="18"/>
          <w:szCs w:val="18"/>
        </w:rPr>
        <w:t>. Առաջին եռամսակում ՀՀ էկոնոմիկայի նախարարության կողմից իրականացված ծրագրերը (մլն դրամ)</w:t>
      </w:r>
    </w:p>
    <w:tbl>
      <w:tblPr>
        <w:tblW w:w="10286" w:type="dxa"/>
        <w:jc w:val="cente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4"/>
        <w:gridCol w:w="992"/>
        <w:gridCol w:w="993"/>
        <w:gridCol w:w="992"/>
        <w:gridCol w:w="1276"/>
        <w:gridCol w:w="1275"/>
        <w:gridCol w:w="1174"/>
      </w:tblGrid>
      <w:tr w:rsidR="00B21082" w:rsidRPr="00B57DAB" w:rsidTr="00B21082">
        <w:trPr>
          <w:trHeight w:val="300"/>
          <w:jc w:val="center"/>
        </w:trPr>
        <w:tc>
          <w:tcPr>
            <w:tcW w:w="3584" w:type="dxa"/>
            <w:shd w:val="clear" w:color="auto" w:fill="auto"/>
            <w:noWrap/>
            <w:vAlign w:val="bottom"/>
            <w:hideMark/>
          </w:tcPr>
          <w:p w:rsidR="00B21082" w:rsidRPr="00B57DAB" w:rsidRDefault="00B21082" w:rsidP="00772ED1">
            <w:pPr>
              <w:rPr>
                <w:rFonts w:ascii="GHEA Grapalat" w:hAnsi="GHEA Grapalat" w:cs="Calibri"/>
                <w:b/>
                <w:color w:val="000000"/>
                <w:sz w:val="18"/>
                <w:szCs w:val="18"/>
              </w:rPr>
            </w:pPr>
          </w:p>
        </w:tc>
        <w:tc>
          <w:tcPr>
            <w:tcW w:w="992" w:type="dxa"/>
          </w:tcPr>
          <w:p w:rsidR="00B21082" w:rsidRPr="00B57DAB" w:rsidRDefault="00B21082" w:rsidP="00EB7CD6">
            <w:pPr>
              <w:jc w:val="center"/>
              <w:rPr>
                <w:rFonts w:ascii="GHEA Grapalat" w:hAnsi="GHEA Grapalat" w:cs="Calibri"/>
                <w:b/>
                <w:bCs/>
                <w:sz w:val="18"/>
                <w:szCs w:val="18"/>
                <w:lang w:val="hy-AM"/>
              </w:rPr>
            </w:pPr>
            <w:r w:rsidRPr="00B57DAB">
              <w:rPr>
                <w:rFonts w:ascii="GHEA Grapalat" w:hAnsi="GHEA Grapalat" w:cs="Calibri"/>
                <w:b/>
                <w:bCs/>
                <w:sz w:val="18"/>
                <w:szCs w:val="18"/>
              </w:rPr>
              <w:t>2021թ. առաջին եռամս-յակի փաստ</w:t>
            </w:r>
          </w:p>
        </w:tc>
        <w:tc>
          <w:tcPr>
            <w:tcW w:w="993" w:type="dxa"/>
          </w:tcPr>
          <w:p w:rsidR="00B21082" w:rsidRPr="00B57DAB" w:rsidRDefault="00B21082" w:rsidP="00EB7CD6">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 ճշտված պլան</w:t>
            </w:r>
          </w:p>
        </w:tc>
        <w:tc>
          <w:tcPr>
            <w:tcW w:w="992" w:type="dxa"/>
            <w:shd w:val="clear" w:color="auto" w:fill="auto"/>
            <w:noWrap/>
            <w:hideMark/>
          </w:tcPr>
          <w:p w:rsidR="00B21082" w:rsidRPr="00B57DAB" w:rsidRDefault="00B21082" w:rsidP="00EB7CD6">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 փաստ</w:t>
            </w:r>
          </w:p>
        </w:tc>
        <w:tc>
          <w:tcPr>
            <w:tcW w:w="1276" w:type="dxa"/>
          </w:tcPr>
          <w:p w:rsidR="00B21082" w:rsidRPr="00B57DAB" w:rsidRDefault="00B21082" w:rsidP="00EB7CD6">
            <w:pPr>
              <w:jc w:val="center"/>
              <w:rPr>
                <w:rFonts w:ascii="GHEA Grapalat" w:hAnsi="GHEA Grapalat" w:cs="Calibri"/>
                <w:b/>
                <w:bCs/>
                <w:sz w:val="18"/>
                <w:szCs w:val="18"/>
              </w:rPr>
            </w:pPr>
            <w:r w:rsidRPr="00B57DAB">
              <w:rPr>
                <w:rFonts w:ascii="GHEA Grapalat" w:hAnsi="GHEA Grapalat" w:cs="Calibri"/>
                <w:b/>
                <w:bCs/>
                <w:sz w:val="18"/>
                <w:szCs w:val="18"/>
                <w:lang w:val="hy-AM"/>
              </w:rPr>
              <w:t>Կատարո-ղական</w:t>
            </w:r>
            <w:r w:rsidRPr="00B57DAB">
              <w:rPr>
                <w:rFonts w:ascii="GHEA Grapalat" w:hAnsi="GHEA Grapalat" w:cs="Calibri"/>
                <w:b/>
                <w:bCs/>
                <w:sz w:val="18"/>
                <w:szCs w:val="18"/>
              </w:rPr>
              <w:t>ն առաջին եռամսյակի</w:t>
            </w:r>
            <w:r w:rsidRPr="00B57DAB">
              <w:rPr>
                <w:rFonts w:ascii="GHEA Grapalat" w:hAnsi="GHEA Grapalat" w:cs="Calibri"/>
                <w:b/>
                <w:bCs/>
                <w:sz w:val="18"/>
                <w:szCs w:val="18"/>
                <w:lang w:val="hy-AM"/>
              </w:rPr>
              <w:t xml:space="preserve"> ճշտված պլանի նկատմամբ</w:t>
            </w:r>
            <w:r w:rsidRPr="00B57DAB">
              <w:rPr>
                <w:rFonts w:ascii="GHEA Grapalat" w:hAnsi="GHEA Grapalat" w:cs="Calibri"/>
                <w:b/>
                <w:bCs/>
                <w:sz w:val="18"/>
                <w:szCs w:val="18"/>
              </w:rPr>
              <w:t xml:space="preserve"> (%)</w:t>
            </w:r>
          </w:p>
        </w:tc>
        <w:tc>
          <w:tcPr>
            <w:tcW w:w="1275" w:type="dxa"/>
          </w:tcPr>
          <w:p w:rsidR="00B21082" w:rsidRPr="00B57DAB" w:rsidRDefault="00B21082" w:rsidP="00EB7CD6">
            <w:pPr>
              <w:jc w:val="center"/>
              <w:rPr>
                <w:rFonts w:ascii="GHEA Grapalat" w:hAnsi="GHEA Grapalat" w:cs="Calibri"/>
                <w:b/>
                <w:bCs/>
                <w:sz w:val="18"/>
                <w:szCs w:val="18"/>
              </w:rPr>
            </w:pPr>
            <w:r w:rsidRPr="00B57DAB">
              <w:rPr>
                <w:rFonts w:ascii="GHEA Grapalat" w:hAnsi="GHEA Grapalat" w:cs="Calibri"/>
                <w:b/>
                <w:bCs/>
                <w:sz w:val="18"/>
                <w:szCs w:val="18"/>
              </w:rPr>
              <w:t xml:space="preserve">2022թ. առաջին եռամսյակը 2021թ. </w:t>
            </w:r>
            <w:proofErr w:type="gramStart"/>
            <w:r w:rsidRPr="00B57DAB">
              <w:rPr>
                <w:rFonts w:ascii="GHEA Grapalat" w:hAnsi="GHEA Grapalat" w:cs="Calibri"/>
                <w:b/>
                <w:bCs/>
                <w:sz w:val="18"/>
                <w:szCs w:val="18"/>
              </w:rPr>
              <w:t>առաջին</w:t>
            </w:r>
            <w:proofErr w:type="gramEnd"/>
            <w:r w:rsidRPr="00B57DAB">
              <w:rPr>
                <w:rFonts w:ascii="GHEA Grapalat" w:hAnsi="GHEA Grapalat" w:cs="Calibri"/>
                <w:b/>
                <w:bCs/>
                <w:sz w:val="18"/>
                <w:szCs w:val="18"/>
              </w:rPr>
              <w:t xml:space="preserve"> եռամսյակի նկատմամբ (%)</w:t>
            </w:r>
          </w:p>
        </w:tc>
        <w:tc>
          <w:tcPr>
            <w:tcW w:w="1174" w:type="dxa"/>
          </w:tcPr>
          <w:p w:rsidR="00B21082" w:rsidRPr="00B57DAB" w:rsidRDefault="00B21082" w:rsidP="00EB7CD6">
            <w:pPr>
              <w:jc w:val="center"/>
              <w:rPr>
                <w:rFonts w:ascii="GHEA Grapalat" w:hAnsi="GHEA Grapalat" w:cs="Calibri"/>
                <w:b/>
                <w:color w:val="000000"/>
                <w:sz w:val="18"/>
                <w:szCs w:val="18"/>
              </w:rPr>
            </w:pPr>
            <w:r w:rsidRPr="00B57DAB">
              <w:rPr>
                <w:rFonts w:ascii="GHEA Grapalat" w:hAnsi="GHEA Grapalat" w:cs="Calibri"/>
                <w:b/>
                <w:color w:val="000000"/>
                <w:sz w:val="18"/>
                <w:szCs w:val="18"/>
              </w:rPr>
              <w:t>2022թ. և 2021թ. տարբե-րությունը</w:t>
            </w:r>
          </w:p>
        </w:tc>
      </w:tr>
      <w:tr w:rsidR="000977F9" w:rsidRPr="00B57DAB" w:rsidTr="00B21082">
        <w:trPr>
          <w:trHeight w:val="268"/>
          <w:jc w:val="center"/>
        </w:trPr>
        <w:tc>
          <w:tcPr>
            <w:tcW w:w="3584" w:type="dxa"/>
            <w:shd w:val="clear" w:color="auto" w:fill="auto"/>
            <w:vAlign w:val="bottom"/>
          </w:tcPr>
          <w:p w:rsidR="000977F9" w:rsidRPr="00B57DAB" w:rsidRDefault="000977F9" w:rsidP="00B21082">
            <w:pPr>
              <w:rPr>
                <w:rFonts w:ascii="GHEA Grapalat" w:hAnsi="GHEA Grapalat" w:cs="Calibri"/>
                <w:b/>
                <w:color w:val="000000"/>
                <w:sz w:val="20"/>
                <w:szCs w:val="20"/>
              </w:rPr>
            </w:pPr>
            <w:r w:rsidRPr="00B57DAB">
              <w:rPr>
                <w:rFonts w:ascii="GHEA Grapalat" w:hAnsi="GHEA Grapalat" w:cs="Calibri"/>
                <w:b/>
                <w:color w:val="000000"/>
                <w:sz w:val="20"/>
                <w:szCs w:val="20"/>
              </w:rPr>
              <w:t>ԸՆԴԱՄԵՆԸ</w:t>
            </w:r>
          </w:p>
        </w:tc>
        <w:tc>
          <w:tcPr>
            <w:tcW w:w="992" w:type="dxa"/>
            <w:vAlign w:val="bottom"/>
          </w:tcPr>
          <w:p w:rsidR="000977F9" w:rsidRPr="00B57DAB" w:rsidRDefault="000977F9" w:rsidP="00B21082">
            <w:pPr>
              <w:jc w:val="right"/>
              <w:rPr>
                <w:rFonts w:ascii="GHEA Grapalat" w:hAnsi="GHEA Grapalat"/>
                <w:b/>
                <w:bCs/>
                <w:sz w:val="18"/>
                <w:szCs w:val="18"/>
              </w:rPr>
            </w:pPr>
            <w:r w:rsidRPr="00B57DAB">
              <w:rPr>
                <w:rFonts w:ascii="GHEA Grapalat" w:hAnsi="GHEA Grapalat"/>
                <w:b/>
                <w:bCs/>
                <w:sz w:val="18"/>
                <w:szCs w:val="18"/>
              </w:rPr>
              <w:t>5,638.0</w:t>
            </w:r>
          </w:p>
        </w:tc>
        <w:tc>
          <w:tcPr>
            <w:tcW w:w="993" w:type="dxa"/>
            <w:vAlign w:val="bottom"/>
          </w:tcPr>
          <w:p w:rsidR="000977F9" w:rsidRPr="00B57DAB" w:rsidRDefault="000977F9" w:rsidP="00B21082">
            <w:pPr>
              <w:jc w:val="right"/>
              <w:rPr>
                <w:rFonts w:ascii="GHEA Grapalat" w:hAnsi="GHEA Grapalat"/>
                <w:b/>
                <w:bCs/>
                <w:sz w:val="18"/>
                <w:szCs w:val="18"/>
              </w:rPr>
            </w:pPr>
            <w:r w:rsidRPr="00B57DAB">
              <w:rPr>
                <w:rFonts w:ascii="GHEA Grapalat" w:hAnsi="GHEA Grapalat"/>
                <w:b/>
                <w:bCs/>
                <w:sz w:val="18"/>
                <w:szCs w:val="18"/>
              </w:rPr>
              <w:t>11,394.5</w:t>
            </w:r>
          </w:p>
        </w:tc>
        <w:tc>
          <w:tcPr>
            <w:tcW w:w="992" w:type="dxa"/>
            <w:shd w:val="clear" w:color="auto" w:fill="auto"/>
            <w:vAlign w:val="bottom"/>
          </w:tcPr>
          <w:p w:rsidR="000977F9" w:rsidRPr="00B57DAB" w:rsidRDefault="000977F9" w:rsidP="00B21082">
            <w:pPr>
              <w:jc w:val="right"/>
              <w:rPr>
                <w:rFonts w:ascii="GHEA Grapalat" w:hAnsi="GHEA Grapalat"/>
                <w:b/>
                <w:bCs/>
                <w:sz w:val="18"/>
                <w:szCs w:val="18"/>
              </w:rPr>
            </w:pPr>
            <w:r w:rsidRPr="00B57DAB">
              <w:rPr>
                <w:rFonts w:ascii="GHEA Grapalat" w:hAnsi="GHEA Grapalat"/>
                <w:b/>
                <w:bCs/>
                <w:sz w:val="18"/>
                <w:szCs w:val="18"/>
              </w:rPr>
              <w:t>8,718.8</w:t>
            </w:r>
          </w:p>
        </w:tc>
        <w:tc>
          <w:tcPr>
            <w:tcW w:w="1276" w:type="dxa"/>
            <w:vAlign w:val="bottom"/>
          </w:tcPr>
          <w:p w:rsidR="000977F9" w:rsidRPr="00B57DAB" w:rsidRDefault="000977F9" w:rsidP="00B21082">
            <w:pPr>
              <w:jc w:val="right"/>
              <w:rPr>
                <w:rFonts w:ascii="GHEA Grapalat" w:hAnsi="GHEA Grapalat"/>
                <w:b/>
                <w:bCs/>
                <w:sz w:val="18"/>
                <w:szCs w:val="18"/>
              </w:rPr>
            </w:pPr>
            <w:r w:rsidRPr="00B57DAB">
              <w:rPr>
                <w:rFonts w:ascii="GHEA Grapalat" w:hAnsi="GHEA Grapalat"/>
                <w:b/>
                <w:bCs/>
                <w:sz w:val="18"/>
                <w:szCs w:val="18"/>
              </w:rPr>
              <w:t>76.5</w:t>
            </w:r>
          </w:p>
        </w:tc>
        <w:tc>
          <w:tcPr>
            <w:tcW w:w="1275" w:type="dxa"/>
            <w:vAlign w:val="bottom"/>
          </w:tcPr>
          <w:p w:rsidR="000977F9" w:rsidRPr="00B57DAB" w:rsidRDefault="000977F9" w:rsidP="00EB7CD6">
            <w:pPr>
              <w:jc w:val="right"/>
              <w:rPr>
                <w:rFonts w:ascii="GHEA Grapalat" w:hAnsi="GHEA Grapalat"/>
                <w:b/>
                <w:bCs/>
                <w:sz w:val="18"/>
                <w:szCs w:val="18"/>
              </w:rPr>
            </w:pPr>
            <w:r w:rsidRPr="00B57DAB">
              <w:rPr>
                <w:rFonts w:ascii="GHEA Grapalat" w:hAnsi="GHEA Grapalat"/>
                <w:b/>
                <w:bCs/>
                <w:sz w:val="18"/>
                <w:szCs w:val="18"/>
              </w:rPr>
              <w:t>154.6</w:t>
            </w:r>
          </w:p>
        </w:tc>
        <w:tc>
          <w:tcPr>
            <w:tcW w:w="1174" w:type="dxa"/>
            <w:vAlign w:val="bottom"/>
          </w:tcPr>
          <w:p w:rsidR="000977F9" w:rsidRPr="00B57DAB" w:rsidRDefault="000977F9" w:rsidP="00B21082">
            <w:pPr>
              <w:jc w:val="right"/>
              <w:rPr>
                <w:rFonts w:ascii="GHEA Grapalat" w:hAnsi="GHEA Grapalat"/>
                <w:b/>
                <w:bCs/>
                <w:sz w:val="18"/>
                <w:szCs w:val="18"/>
              </w:rPr>
            </w:pPr>
            <w:r w:rsidRPr="00B57DAB">
              <w:rPr>
                <w:rFonts w:ascii="GHEA Grapalat" w:hAnsi="GHEA Grapalat"/>
                <w:b/>
                <w:bCs/>
                <w:sz w:val="18"/>
                <w:szCs w:val="18"/>
              </w:rPr>
              <w:t>3,080.8</w:t>
            </w:r>
          </w:p>
        </w:tc>
      </w:tr>
      <w:tr w:rsidR="000977F9" w:rsidRPr="00B57DAB" w:rsidTr="00B21082">
        <w:trPr>
          <w:trHeight w:val="331"/>
          <w:jc w:val="center"/>
        </w:trPr>
        <w:tc>
          <w:tcPr>
            <w:tcW w:w="3584" w:type="dxa"/>
            <w:shd w:val="clear" w:color="auto" w:fill="auto"/>
            <w:vAlign w:val="bottom"/>
            <w:hideMark/>
          </w:tcPr>
          <w:p w:rsidR="000977F9" w:rsidRPr="00B57DAB" w:rsidRDefault="000977F9" w:rsidP="00B21082">
            <w:pPr>
              <w:rPr>
                <w:rFonts w:ascii="GHEA Grapalat" w:hAnsi="GHEA Grapalat"/>
                <w:sz w:val="20"/>
                <w:szCs w:val="20"/>
              </w:rPr>
            </w:pPr>
            <w:r w:rsidRPr="00B57DAB">
              <w:rPr>
                <w:rFonts w:ascii="GHEA Grapalat" w:hAnsi="GHEA Grapalat"/>
                <w:sz w:val="20"/>
                <w:szCs w:val="20"/>
              </w:rPr>
              <w:t>Գյուղատնտեսության խթանման ծրագիր</w:t>
            </w:r>
          </w:p>
        </w:tc>
        <w:tc>
          <w:tcPr>
            <w:tcW w:w="992" w:type="dxa"/>
            <w:vAlign w:val="bottom"/>
          </w:tcPr>
          <w:p w:rsidR="000977F9" w:rsidRPr="00B57DAB" w:rsidRDefault="000977F9" w:rsidP="00B21082">
            <w:pPr>
              <w:jc w:val="right"/>
              <w:rPr>
                <w:rFonts w:ascii="GHEA Grapalat" w:hAnsi="GHEA Grapalat"/>
                <w:sz w:val="18"/>
                <w:szCs w:val="18"/>
              </w:rPr>
            </w:pPr>
            <w:r w:rsidRPr="00B57DAB">
              <w:rPr>
                <w:rFonts w:ascii="GHEA Grapalat" w:hAnsi="GHEA Grapalat"/>
                <w:sz w:val="18"/>
                <w:szCs w:val="18"/>
              </w:rPr>
              <w:t>1,774.1</w:t>
            </w:r>
          </w:p>
        </w:tc>
        <w:tc>
          <w:tcPr>
            <w:tcW w:w="993" w:type="dxa"/>
            <w:vAlign w:val="bottom"/>
          </w:tcPr>
          <w:p w:rsidR="000977F9" w:rsidRPr="00B57DAB" w:rsidRDefault="000977F9" w:rsidP="00B21082">
            <w:pPr>
              <w:jc w:val="right"/>
              <w:rPr>
                <w:rFonts w:ascii="GHEA Grapalat" w:hAnsi="GHEA Grapalat"/>
                <w:sz w:val="18"/>
                <w:szCs w:val="18"/>
              </w:rPr>
            </w:pPr>
            <w:r w:rsidRPr="00B57DAB">
              <w:rPr>
                <w:rFonts w:ascii="GHEA Grapalat" w:hAnsi="GHEA Grapalat"/>
                <w:sz w:val="18"/>
                <w:szCs w:val="18"/>
              </w:rPr>
              <w:t>4,100.6</w:t>
            </w:r>
          </w:p>
        </w:tc>
        <w:tc>
          <w:tcPr>
            <w:tcW w:w="992" w:type="dxa"/>
            <w:shd w:val="clear" w:color="auto" w:fill="auto"/>
            <w:vAlign w:val="bottom"/>
            <w:hideMark/>
          </w:tcPr>
          <w:p w:rsidR="000977F9" w:rsidRPr="00B57DAB" w:rsidRDefault="000977F9" w:rsidP="00B21082">
            <w:pPr>
              <w:jc w:val="right"/>
              <w:rPr>
                <w:rFonts w:ascii="GHEA Grapalat" w:hAnsi="GHEA Grapalat"/>
                <w:sz w:val="18"/>
                <w:szCs w:val="18"/>
              </w:rPr>
            </w:pPr>
            <w:r w:rsidRPr="00B57DAB">
              <w:rPr>
                <w:rFonts w:ascii="GHEA Grapalat" w:hAnsi="GHEA Grapalat"/>
                <w:sz w:val="18"/>
                <w:szCs w:val="18"/>
              </w:rPr>
              <w:t>3,918.1</w:t>
            </w:r>
          </w:p>
        </w:tc>
        <w:tc>
          <w:tcPr>
            <w:tcW w:w="1276" w:type="dxa"/>
            <w:vAlign w:val="bottom"/>
          </w:tcPr>
          <w:p w:rsidR="000977F9" w:rsidRPr="00B57DAB" w:rsidRDefault="000977F9" w:rsidP="00B21082">
            <w:pPr>
              <w:jc w:val="right"/>
              <w:rPr>
                <w:rFonts w:ascii="GHEA Grapalat" w:hAnsi="GHEA Grapalat"/>
                <w:sz w:val="18"/>
                <w:szCs w:val="18"/>
              </w:rPr>
            </w:pPr>
            <w:r w:rsidRPr="00B57DAB">
              <w:rPr>
                <w:rFonts w:ascii="GHEA Grapalat" w:hAnsi="GHEA Grapalat"/>
                <w:sz w:val="18"/>
                <w:szCs w:val="18"/>
              </w:rPr>
              <w:t>95.5</w:t>
            </w:r>
          </w:p>
        </w:tc>
        <w:tc>
          <w:tcPr>
            <w:tcW w:w="1275" w:type="dxa"/>
            <w:vAlign w:val="bottom"/>
          </w:tcPr>
          <w:p w:rsidR="000977F9" w:rsidRPr="00B57DAB" w:rsidRDefault="000977F9" w:rsidP="00EB7CD6">
            <w:pPr>
              <w:jc w:val="right"/>
              <w:rPr>
                <w:rFonts w:ascii="GHEA Grapalat" w:hAnsi="GHEA Grapalat"/>
                <w:sz w:val="18"/>
                <w:szCs w:val="18"/>
              </w:rPr>
            </w:pPr>
            <w:r w:rsidRPr="00B57DAB">
              <w:rPr>
                <w:rFonts w:ascii="GHEA Grapalat" w:hAnsi="GHEA Grapalat"/>
                <w:sz w:val="18"/>
                <w:szCs w:val="18"/>
              </w:rPr>
              <w:t>220.8</w:t>
            </w:r>
          </w:p>
        </w:tc>
        <w:tc>
          <w:tcPr>
            <w:tcW w:w="1174" w:type="dxa"/>
            <w:vAlign w:val="bottom"/>
          </w:tcPr>
          <w:p w:rsidR="000977F9" w:rsidRPr="00B57DAB" w:rsidRDefault="000977F9" w:rsidP="00B21082">
            <w:pPr>
              <w:jc w:val="right"/>
              <w:rPr>
                <w:rFonts w:ascii="GHEA Grapalat" w:hAnsi="GHEA Grapalat"/>
                <w:sz w:val="18"/>
                <w:szCs w:val="18"/>
              </w:rPr>
            </w:pPr>
            <w:r w:rsidRPr="00B57DAB">
              <w:rPr>
                <w:rFonts w:ascii="GHEA Grapalat" w:hAnsi="GHEA Grapalat"/>
                <w:sz w:val="18"/>
                <w:szCs w:val="18"/>
              </w:rPr>
              <w:t>2,144.0</w:t>
            </w:r>
          </w:p>
        </w:tc>
      </w:tr>
      <w:tr w:rsidR="000977F9" w:rsidRPr="00B57DAB" w:rsidTr="00B21082">
        <w:trPr>
          <w:trHeight w:val="300"/>
          <w:jc w:val="center"/>
        </w:trPr>
        <w:tc>
          <w:tcPr>
            <w:tcW w:w="3584" w:type="dxa"/>
            <w:shd w:val="clear" w:color="auto" w:fill="auto"/>
            <w:vAlign w:val="bottom"/>
            <w:hideMark/>
          </w:tcPr>
          <w:p w:rsidR="000977F9" w:rsidRPr="00B57DAB" w:rsidRDefault="000977F9" w:rsidP="00B21082">
            <w:pPr>
              <w:rPr>
                <w:rFonts w:ascii="GHEA Grapalat" w:hAnsi="GHEA Grapalat"/>
                <w:sz w:val="20"/>
                <w:szCs w:val="20"/>
              </w:rPr>
            </w:pPr>
            <w:r w:rsidRPr="00B57DAB">
              <w:rPr>
                <w:rFonts w:ascii="GHEA Grapalat" w:hAnsi="GHEA Grapalat"/>
                <w:sz w:val="20"/>
                <w:szCs w:val="20"/>
              </w:rPr>
              <w:t>Գյուղատնտեսության արդիականացման ծրագիր</w:t>
            </w:r>
          </w:p>
        </w:tc>
        <w:tc>
          <w:tcPr>
            <w:tcW w:w="992" w:type="dxa"/>
            <w:vAlign w:val="bottom"/>
          </w:tcPr>
          <w:p w:rsidR="000977F9" w:rsidRPr="00B57DAB" w:rsidRDefault="000977F9" w:rsidP="00B21082">
            <w:pPr>
              <w:jc w:val="right"/>
              <w:rPr>
                <w:rFonts w:ascii="GHEA Grapalat" w:hAnsi="GHEA Grapalat"/>
                <w:sz w:val="18"/>
                <w:szCs w:val="18"/>
              </w:rPr>
            </w:pPr>
            <w:r w:rsidRPr="00B57DAB">
              <w:rPr>
                <w:rFonts w:ascii="GHEA Grapalat" w:hAnsi="GHEA Grapalat"/>
                <w:sz w:val="18"/>
                <w:szCs w:val="18"/>
              </w:rPr>
              <w:t>414.6</w:t>
            </w:r>
          </w:p>
        </w:tc>
        <w:tc>
          <w:tcPr>
            <w:tcW w:w="993" w:type="dxa"/>
            <w:vAlign w:val="bottom"/>
          </w:tcPr>
          <w:p w:rsidR="000977F9" w:rsidRPr="00B57DAB" w:rsidRDefault="000977F9" w:rsidP="00B21082">
            <w:pPr>
              <w:jc w:val="right"/>
              <w:rPr>
                <w:rFonts w:ascii="GHEA Grapalat" w:hAnsi="GHEA Grapalat"/>
                <w:sz w:val="18"/>
                <w:szCs w:val="18"/>
              </w:rPr>
            </w:pPr>
            <w:r w:rsidRPr="00B57DAB">
              <w:rPr>
                <w:rFonts w:ascii="GHEA Grapalat" w:hAnsi="GHEA Grapalat"/>
                <w:sz w:val="18"/>
                <w:szCs w:val="18"/>
              </w:rPr>
              <w:t>1,869.9</w:t>
            </w:r>
          </w:p>
        </w:tc>
        <w:tc>
          <w:tcPr>
            <w:tcW w:w="992" w:type="dxa"/>
            <w:shd w:val="clear" w:color="auto" w:fill="auto"/>
            <w:vAlign w:val="bottom"/>
            <w:hideMark/>
          </w:tcPr>
          <w:p w:rsidR="000977F9" w:rsidRPr="00B57DAB" w:rsidRDefault="000977F9" w:rsidP="00B21082">
            <w:pPr>
              <w:jc w:val="right"/>
              <w:rPr>
                <w:rFonts w:ascii="GHEA Grapalat" w:hAnsi="GHEA Grapalat"/>
                <w:sz w:val="18"/>
                <w:szCs w:val="18"/>
              </w:rPr>
            </w:pPr>
            <w:r w:rsidRPr="00B57DAB">
              <w:rPr>
                <w:rFonts w:ascii="GHEA Grapalat" w:hAnsi="GHEA Grapalat"/>
                <w:sz w:val="18"/>
                <w:szCs w:val="18"/>
              </w:rPr>
              <w:t>1,568.5</w:t>
            </w:r>
          </w:p>
        </w:tc>
        <w:tc>
          <w:tcPr>
            <w:tcW w:w="1276" w:type="dxa"/>
            <w:vAlign w:val="bottom"/>
          </w:tcPr>
          <w:p w:rsidR="000977F9" w:rsidRPr="00B57DAB" w:rsidRDefault="000977F9" w:rsidP="00B21082">
            <w:pPr>
              <w:jc w:val="right"/>
              <w:rPr>
                <w:rFonts w:ascii="GHEA Grapalat" w:hAnsi="GHEA Grapalat"/>
                <w:sz w:val="18"/>
                <w:szCs w:val="18"/>
              </w:rPr>
            </w:pPr>
            <w:r w:rsidRPr="00B57DAB">
              <w:rPr>
                <w:rFonts w:ascii="GHEA Grapalat" w:hAnsi="GHEA Grapalat"/>
                <w:sz w:val="18"/>
                <w:szCs w:val="18"/>
              </w:rPr>
              <w:t>83.9</w:t>
            </w:r>
          </w:p>
        </w:tc>
        <w:tc>
          <w:tcPr>
            <w:tcW w:w="1275" w:type="dxa"/>
            <w:vAlign w:val="bottom"/>
          </w:tcPr>
          <w:p w:rsidR="000977F9" w:rsidRPr="00B57DAB" w:rsidRDefault="000977F9" w:rsidP="00EB7CD6">
            <w:pPr>
              <w:jc w:val="right"/>
              <w:rPr>
                <w:rFonts w:ascii="GHEA Grapalat" w:hAnsi="GHEA Grapalat"/>
                <w:sz w:val="18"/>
                <w:szCs w:val="18"/>
              </w:rPr>
            </w:pPr>
            <w:r w:rsidRPr="00B57DAB">
              <w:rPr>
                <w:rFonts w:ascii="GHEA Grapalat" w:hAnsi="GHEA Grapalat"/>
                <w:sz w:val="18"/>
                <w:szCs w:val="18"/>
              </w:rPr>
              <w:t>378.3</w:t>
            </w:r>
          </w:p>
        </w:tc>
        <w:tc>
          <w:tcPr>
            <w:tcW w:w="1174" w:type="dxa"/>
            <w:vAlign w:val="bottom"/>
          </w:tcPr>
          <w:p w:rsidR="000977F9" w:rsidRPr="00B57DAB" w:rsidRDefault="000977F9" w:rsidP="00B21082">
            <w:pPr>
              <w:jc w:val="right"/>
              <w:rPr>
                <w:rFonts w:ascii="GHEA Grapalat" w:hAnsi="GHEA Grapalat"/>
                <w:sz w:val="18"/>
                <w:szCs w:val="18"/>
              </w:rPr>
            </w:pPr>
            <w:r w:rsidRPr="00B57DAB">
              <w:rPr>
                <w:rFonts w:ascii="GHEA Grapalat" w:hAnsi="GHEA Grapalat"/>
                <w:sz w:val="18"/>
                <w:szCs w:val="18"/>
              </w:rPr>
              <w:t>1,153.9</w:t>
            </w:r>
          </w:p>
        </w:tc>
      </w:tr>
      <w:tr w:rsidR="000977F9" w:rsidRPr="00B57DAB" w:rsidTr="00B21082">
        <w:trPr>
          <w:trHeight w:val="1096"/>
          <w:jc w:val="center"/>
        </w:trPr>
        <w:tc>
          <w:tcPr>
            <w:tcW w:w="3584" w:type="dxa"/>
            <w:shd w:val="clear" w:color="auto" w:fill="auto"/>
            <w:vAlign w:val="bottom"/>
            <w:hideMark/>
          </w:tcPr>
          <w:p w:rsidR="000977F9" w:rsidRPr="00B57DAB" w:rsidRDefault="000977F9" w:rsidP="00B21082">
            <w:pPr>
              <w:rPr>
                <w:rFonts w:ascii="GHEA Grapalat" w:hAnsi="GHEA Grapalat"/>
                <w:sz w:val="20"/>
                <w:szCs w:val="20"/>
              </w:rPr>
            </w:pPr>
            <w:r w:rsidRPr="00B57DAB">
              <w:rPr>
                <w:rFonts w:ascii="GHEA Grapalat" w:hAnsi="GHEA Grapalat"/>
                <w:sz w:val="20"/>
                <w:szCs w:val="20"/>
              </w:rPr>
              <w:lastRenderedPageBreak/>
              <w:t>Ճգնաժամերի հակազդման և արտակարգ իրավիճակների հետևանքների նվազեցման և վերացման ծրագիր</w:t>
            </w:r>
          </w:p>
        </w:tc>
        <w:tc>
          <w:tcPr>
            <w:tcW w:w="992" w:type="dxa"/>
            <w:vAlign w:val="bottom"/>
          </w:tcPr>
          <w:p w:rsidR="000977F9" w:rsidRPr="00B57DAB" w:rsidRDefault="000977F9" w:rsidP="00B21082">
            <w:pPr>
              <w:jc w:val="right"/>
              <w:rPr>
                <w:rFonts w:ascii="GHEA Grapalat" w:hAnsi="GHEA Grapalat"/>
                <w:sz w:val="18"/>
                <w:szCs w:val="18"/>
              </w:rPr>
            </w:pPr>
            <w:r w:rsidRPr="00B57DAB">
              <w:rPr>
                <w:rFonts w:ascii="GHEA Grapalat" w:hAnsi="GHEA Grapalat"/>
                <w:sz w:val="18"/>
                <w:szCs w:val="18"/>
              </w:rPr>
              <w:t>2,397.0</w:t>
            </w:r>
          </w:p>
        </w:tc>
        <w:tc>
          <w:tcPr>
            <w:tcW w:w="993" w:type="dxa"/>
            <w:vAlign w:val="bottom"/>
          </w:tcPr>
          <w:p w:rsidR="000977F9" w:rsidRPr="00B57DAB" w:rsidRDefault="000977F9" w:rsidP="00B21082">
            <w:pPr>
              <w:jc w:val="right"/>
              <w:rPr>
                <w:rFonts w:ascii="GHEA Grapalat" w:hAnsi="GHEA Grapalat"/>
                <w:sz w:val="18"/>
                <w:szCs w:val="18"/>
              </w:rPr>
            </w:pPr>
            <w:r w:rsidRPr="00B57DAB">
              <w:rPr>
                <w:rFonts w:ascii="GHEA Grapalat" w:hAnsi="GHEA Grapalat"/>
                <w:sz w:val="18"/>
                <w:szCs w:val="18"/>
              </w:rPr>
              <w:t>1,927.9</w:t>
            </w:r>
          </w:p>
        </w:tc>
        <w:tc>
          <w:tcPr>
            <w:tcW w:w="992" w:type="dxa"/>
            <w:shd w:val="clear" w:color="auto" w:fill="auto"/>
            <w:vAlign w:val="bottom"/>
            <w:hideMark/>
          </w:tcPr>
          <w:p w:rsidR="000977F9" w:rsidRPr="00B57DAB" w:rsidRDefault="000977F9" w:rsidP="00B21082">
            <w:pPr>
              <w:jc w:val="right"/>
              <w:rPr>
                <w:rFonts w:ascii="GHEA Grapalat" w:hAnsi="GHEA Grapalat"/>
                <w:sz w:val="18"/>
                <w:szCs w:val="18"/>
              </w:rPr>
            </w:pPr>
            <w:r w:rsidRPr="00B57DAB">
              <w:rPr>
                <w:rFonts w:ascii="GHEA Grapalat" w:hAnsi="GHEA Grapalat"/>
                <w:sz w:val="18"/>
                <w:szCs w:val="18"/>
              </w:rPr>
              <w:t>1,635.5</w:t>
            </w:r>
          </w:p>
        </w:tc>
        <w:tc>
          <w:tcPr>
            <w:tcW w:w="1276" w:type="dxa"/>
            <w:vAlign w:val="bottom"/>
          </w:tcPr>
          <w:p w:rsidR="000977F9" w:rsidRPr="00B57DAB" w:rsidRDefault="000977F9" w:rsidP="00B21082">
            <w:pPr>
              <w:jc w:val="right"/>
              <w:rPr>
                <w:rFonts w:ascii="GHEA Grapalat" w:hAnsi="GHEA Grapalat"/>
                <w:sz w:val="18"/>
                <w:szCs w:val="18"/>
              </w:rPr>
            </w:pPr>
            <w:r w:rsidRPr="00B57DAB">
              <w:rPr>
                <w:rFonts w:ascii="GHEA Grapalat" w:hAnsi="GHEA Grapalat"/>
                <w:sz w:val="18"/>
                <w:szCs w:val="18"/>
              </w:rPr>
              <w:t>84.8</w:t>
            </w:r>
          </w:p>
        </w:tc>
        <w:tc>
          <w:tcPr>
            <w:tcW w:w="1275" w:type="dxa"/>
            <w:vAlign w:val="bottom"/>
          </w:tcPr>
          <w:p w:rsidR="000977F9" w:rsidRPr="00B57DAB" w:rsidRDefault="000977F9" w:rsidP="00EB7CD6">
            <w:pPr>
              <w:jc w:val="right"/>
              <w:rPr>
                <w:rFonts w:ascii="GHEA Grapalat" w:hAnsi="GHEA Grapalat"/>
                <w:sz w:val="18"/>
                <w:szCs w:val="18"/>
              </w:rPr>
            </w:pPr>
            <w:r w:rsidRPr="00B57DAB">
              <w:rPr>
                <w:rFonts w:ascii="GHEA Grapalat" w:hAnsi="GHEA Grapalat"/>
                <w:sz w:val="18"/>
                <w:szCs w:val="18"/>
              </w:rPr>
              <w:t>68.2</w:t>
            </w:r>
          </w:p>
        </w:tc>
        <w:tc>
          <w:tcPr>
            <w:tcW w:w="1174" w:type="dxa"/>
            <w:vAlign w:val="bottom"/>
          </w:tcPr>
          <w:p w:rsidR="000977F9" w:rsidRPr="00B57DAB" w:rsidRDefault="000977F9" w:rsidP="00B21082">
            <w:pPr>
              <w:jc w:val="right"/>
              <w:rPr>
                <w:rFonts w:ascii="GHEA Grapalat" w:hAnsi="GHEA Grapalat"/>
                <w:sz w:val="18"/>
                <w:szCs w:val="18"/>
              </w:rPr>
            </w:pPr>
            <w:r w:rsidRPr="00B57DAB">
              <w:rPr>
                <w:rFonts w:ascii="GHEA Grapalat" w:hAnsi="GHEA Grapalat"/>
                <w:sz w:val="18"/>
                <w:szCs w:val="18"/>
              </w:rPr>
              <w:t>(761.5)</w:t>
            </w:r>
          </w:p>
        </w:tc>
      </w:tr>
      <w:tr w:rsidR="000977F9" w:rsidRPr="00B57DAB" w:rsidTr="00B21082">
        <w:trPr>
          <w:trHeight w:val="290"/>
          <w:jc w:val="center"/>
        </w:trPr>
        <w:tc>
          <w:tcPr>
            <w:tcW w:w="3584" w:type="dxa"/>
            <w:shd w:val="clear" w:color="auto" w:fill="auto"/>
            <w:vAlign w:val="bottom"/>
          </w:tcPr>
          <w:p w:rsidR="000977F9" w:rsidRPr="00B57DAB" w:rsidRDefault="000977F9" w:rsidP="00B21082">
            <w:pPr>
              <w:rPr>
                <w:rFonts w:ascii="GHEA Grapalat" w:hAnsi="GHEA Grapalat"/>
                <w:sz w:val="20"/>
                <w:szCs w:val="20"/>
              </w:rPr>
            </w:pPr>
            <w:r w:rsidRPr="00B57DAB">
              <w:rPr>
                <w:rFonts w:ascii="GHEA Grapalat" w:hAnsi="GHEA Grapalat"/>
                <w:sz w:val="20"/>
                <w:szCs w:val="20"/>
              </w:rPr>
              <w:t>Այլ ծրագրեր</w:t>
            </w:r>
          </w:p>
        </w:tc>
        <w:tc>
          <w:tcPr>
            <w:tcW w:w="992" w:type="dxa"/>
            <w:vAlign w:val="bottom"/>
          </w:tcPr>
          <w:p w:rsidR="000977F9" w:rsidRPr="00B57DAB" w:rsidRDefault="000977F9" w:rsidP="00B21082">
            <w:pPr>
              <w:jc w:val="right"/>
              <w:rPr>
                <w:rFonts w:ascii="GHEA Grapalat" w:hAnsi="GHEA Grapalat"/>
                <w:sz w:val="18"/>
                <w:szCs w:val="18"/>
              </w:rPr>
            </w:pPr>
            <w:r w:rsidRPr="00B57DAB">
              <w:rPr>
                <w:rFonts w:ascii="GHEA Grapalat" w:hAnsi="GHEA Grapalat"/>
                <w:sz w:val="18"/>
                <w:szCs w:val="18"/>
              </w:rPr>
              <w:t>1,052.3</w:t>
            </w:r>
          </w:p>
        </w:tc>
        <w:tc>
          <w:tcPr>
            <w:tcW w:w="993" w:type="dxa"/>
            <w:vAlign w:val="bottom"/>
          </w:tcPr>
          <w:p w:rsidR="000977F9" w:rsidRPr="00B57DAB" w:rsidRDefault="000977F9" w:rsidP="00B21082">
            <w:pPr>
              <w:jc w:val="right"/>
              <w:rPr>
                <w:rFonts w:ascii="GHEA Grapalat" w:hAnsi="GHEA Grapalat"/>
                <w:sz w:val="18"/>
                <w:szCs w:val="18"/>
              </w:rPr>
            </w:pPr>
            <w:r w:rsidRPr="00B57DAB">
              <w:rPr>
                <w:rFonts w:ascii="GHEA Grapalat" w:hAnsi="GHEA Grapalat"/>
                <w:sz w:val="18"/>
                <w:szCs w:val="18"/>
              </w:rPr>
              <w:t>3,496.1</w:t>
            </w:r>
          </w:p>
        </w:tc>
        <w:tc>
          <w:tcPr>
            <w:tcW w:w="992" w:type="dxa"/>
            <w:shd w:val="clear" w:color="auto" w:fill="auto"/>
            <w:vAlign w:val="bottom"/>
          </w:tcPr>
          <w:p w:rsidR="000977F9" w:rsidRPr="00B57DAB" w:rsidRDefault="000977F9" w:rsidP="00B21082">
            <w:pPr>
              <w:jc w:val="right"/>
              <w:rPr>
                <w:rFonts w:ascii="GHEA Grapalat" w:hAnsi="GHEA Grapalat"/>
                <w:sz w:val="18"/>
                <w:szCs w:val="18"/>
              </w:rPr>
            </w:pPr>
            <w:r w:rsidRPr="00B57DAB">
              <w:rPr>
                <w:rFonts w:ascii="GHEA Grapalat" w:hAnsi="GHEA Grapalat"/>
                <w:sz w:val="18"/>
                <w:szCs w:val="18"/>
              </w:rPr>
              <w:t>1,596.8</w:t>
            </w:r>
          </w:p>
        </w:tc>
        <w:tc>
          <w:tcPr>
            <w:tcW w:w="1276" w:type="dxa"/>
            <w:vAlign w:val="bottom"/>
          </w:tcPr>
          <w:p w:rsidR="000977F9" w:rsidRPr="00B57DAB" w:rsidRDefault="000977F9" w:rsidP="00B21082">
            <w:pPr>
              <w:jc w:val="right"/>
              <w:rPr>
                <w:rFonts w:ascii="GHEA Grapalat" w:hAnsi="GHEA Grapalat"/>
                <w:sz w:val="18"/>
                <w:szCs w:val="18"/>
              </w:rPr>
            </w:pPr>
            <w:r w:rsidRPr="00B57DAB">
              <w:rPr>
                <w:rFonts w:ascii="GHEA Grapalat" w:hAnsi="GHEA Grapalat"/>
                <w:sz w:val="18"/>
                <w:szCs w:val="18"/>
              </w:rPr>
              <w:t>45.7</w:t>
            </w:r>
          </w:p>
        </w:tc>
        <w:tc>
          <w:tcPr>
            <w:tcW w:w="1275" w:type="dxa"/>
            <w:vAlign w:val="bottom"/>
          </w:tcPr>
          <w:p w:rsidR="000977F9" w:rsidRPr="00B57DAB" w:rsidRDefault="000977F9" w:rsidP="00EB7CD6">
            <w:pPr>
              <w:jc w:val="right"/>
              <w:rPr>
                <w:rFonts w:ascii="GHEA Grapalat" w:hAnsi="GHEA Grapalat"/>
                <w:sz w:val="18"/>
                <w:szCs w:val="18"/>
              </w:rPr>
            </w:pPr>
            <w:r w:rsidRPr="00B57DAB">
              <w:rPr>
                <w:rFonts w:ascii="GHEA Grapalat" w:hAnsi="GHEA Grapalat"/>
                <w:sz w:val="18"/>
                <w:szCs w:val="18"/>
              </w:rPr>
              <w:t>151.7</w:t>
            </w:r>
          </w:p>
        </w:tc>
        <w:tc>
          <w:tcPr>
            <w:tcW w:w="1174" w:type="dxa"/>
            <w:vAlign w:val="bottom"/>
          </w:tcPr>
          <w:p w:rsidR="000977F9" w:rsidRPr="00B57DAB" w:rsidRDefault="000977F9" w:rsidP="00B21082">
            <w:pPr>
              <w:jc w:val="right"/>
              <w:rPr>
                <w:rFonts w:ascii="GHEA Grapalat" w:hAnsi="GHEA Grapalat"/>
                <w:sz w:val="18"/>
                <w:szCs w:val="18"/>
              </w:rPr>
            </w:pPr>
            <w:r w:rsidRPr="00B57DAB">
              <w:rPr>
                <w:rFonts w:ascii="GHEA Grapalat" w:hAnsi="GHEA Grapalat"/>
                <w:sz w:val="18"/>
                <w:szCs w:val="18"/>
              </w:rPr>
              <w:t>544.4</w:t>
            </w:r>
          </w:p>
        </w:tc>
      </w:tr>
    </w:tbl>
    <w:p w:rsidR="00772ED1" w:rsidRPr="00B57DAB" w:rsidRDefault="00772ED1" w:rsidP="00772ED1">
      <w:pPr>
        <w:autoSpaceDE w:val="0"/>
        <w:autoSpaceDN w:val="0"/>
        <w:adjustRightInd w:val="0"/>
        <w:spacing w:line="360" w:lineRule="auto"/>
        <w:ind w:firstLine="567"/>
        <w:jc w:val="both"/>
        <w:rPr>
          <w:rFonts w:ascii="GHEA Grapalat" w:hAnsi="GHEA Grapalat" w:cs="GHEA Grapalat"/>
          <w:sz w:val="22"/>
          <w:szCs w:val="22"/>
        </w:rPr>
      </w:pPr>
    </w:p>
    <w:p w:rsidR="00772ED1" w:rsidRPr="00B57DAB" w:rsidRDefault="00772ED1" w:rsidP="00772ED1">
      <w:pPr>
        <w:autoSpaceDE w:val="0"/>
        <w:autoSpaceDN w:val="0"/>
        <w:adjustRightInd w:val="0"/>
        <w:spacing w:line="360" w:lineRule="auto"/>
        <w:ind w:firstLine="567"/>
        <w:jc w:val="both"/>
        <w:rPr>
          <w:rFonts w:ascii="GHEA Grapalat" w:hAnsi="GHEA Grapalat"/>
          <w:sz w:val="22"/>
          <w:szCs w:val="22"/>
        </w:rPr>
      </w:pPr>
      <w:r w:rsidRPr="00B57DAB">
        <w:rPr>
          <w:rFonts w:ascii="GHEA Grapalat" w:hAnsi="GHEA Grapalat" w:cs="GHEA Grapalat"/>
          <w:sz w:val="22"/>
          <w:szCs w:val="22"/>
        </w:rPr>
        <w:t xml:space="preserve">Հաշվետու ժամանակահատվածում </w:t>
      </w:r>
      <w:r w:rsidRPr="00B57DAB">
        <w:rPr>
          <w:rFonts w:ascii="GHEA Grapalat" w:hAnsi="GHEA Grapalat" w:cs="GHEA Grapalat"/>
          <w:i/>
          <w:sz w:val="22"/>
          <w:szCs w:val="22"/>
        </w:rPr>
        <w:t>Գյուղատնտեսության խթանման</w:t>
      </w:r>
      <w:r w:rsidRPr="00B57DAB">
        <w:rPr>
          <w:rFonts w:ascii="GHEA Grapalat" w:hAnsi="GHEA Grapalat" w:cs="GHEA Grapalat"/>
          <w:sz w:val="22"/>
          <w:szCs w:val="22"/>
        </w:rPr>
        <w:t xml:space="preserve"> </w:t>
      </w:r>
      <w:r w:rsidRPr="00B57DAB">
        <w:rPr>
          <w:rFonts w:ascii="GHEA Grapalat" w:hAnsi="GHEA Grapalat"/>
          <w:sz w:val="22"/>
          <w:szCs w:val="22"/>
        </w:rPr>
        <w:t>ծրագրի շրջանակներում օգտագործվել է 3.9 մլրդ դրամ կամ նախատեսվածի 95.5%-ը: Շեղումը հիմնականում պայմանավորված է գյուղատնտեսական վարկերի տոկոսադրույքների սուբսիդավորման ծախսերի կատարողականով, որը կազմել է 94.5% կամ շուրջ 2.8 մլրդ դրամ: Վերջինս պայմանավորված է վարկի տոկոսադրույքի համար սահմանված արտոնյալ ժամկետով (վարկառուն հնարավորություն ունի օգտվելու տարեկան մինչև 6 ամիս արտոնյալ ժամկետից): 2022 թվականի առաջին եռամսյակում միջոցառման շահառուների թիվը նախատեսված 60754-ի փոխարեն կազմել է 61551, որից 59704-ը նախորդ տարիներից սուբսիդավորվող տնտեսավարող սուբյեկտներն են: Ցուցանիշի գերազանցումը պայմանավորված է ծրագրի նկատմամբ</w:t>
      </w:r>
      <w:r w:rsidR="00F817F8" w:rsidRPr="00B57DAB">
        <w:rPr>
          <w:rFonts w:ascii="GHEA Grapalat" w:hAnsi="GHEA Grapalat"/>
          <w:sz w:val="22"/>
          <w:szCs w:val="22"/>
        </w:rPr>
        <w:t xml:space="preserve"> բարձր</w:t>
      </w:r>
      <w:r w:rsidRPr="00B57DAB">
        <w:rPr>
          <w:rFonts w:ascii="GHEA Grapalat" w:hAnsi="GHEA Grapalat"/>
          <w:sz w:val="22"/>
          <w:szCs w:val="22"/>
        </w:rPr>
        <w:t xml:space="preserve"> պահանջարկով:</w:t>
      </w:r>
    </w:p>
    <w:p w:rsidR="00772ED1" w:rsidRPr="00B57DAB" w:rsidRDefault="00772ED1" w:rsidP="00772ED1">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sz w:val="22"/>
          <w:szCs w:val="22"/>
        </w:rPr>
        <w:t xml:space="preserve">Գյուղատնտեսության խթանման ծրագրի շրջանակներում իրականացվել են չորս միջոցառումներ, որոնցից երկուսի գծով արձանագրվել է 100% կատարողական: Մասնավորապես՝ գյուղատնտեսական հումքի մթերումների (գնումների) նպատակով ագրովերամշակման ոլորտին տրամադրվող վարկերի տոկոսադրույքների սուբսիդավորման միջոցառման շրջանակներում օգտագործվել է շուրջ 1.1 մլրդ դրամ: 2022 թվականի առաջին եռամսյակում միջոցառման շահառուների թիվը նախատեսված 129-ի փոխարեն կազմել է 128, որից 124-ը նախորդ տարիներից սուբսիդավորվող տնտեսավարող սուբյեկտներն են: </w:t>
      </w:r>
      <w:r w:rsidRPr="00B57DAB">
        <w:rPr>
          <w:rFonts w:ascii="GHEA Grapalat" w:hAnsi="GHEA Grapalat" w:cs="GHEA Grapalat"/>
          <w:sz w:val="22"/>
          <w:szCs w:val="22"/>
        </w:rPr>
        <w:t xml:space="preserve">50 մլն դրամ ուղղվել է </w:t>
      </w:r>
      <w:r w:rsidRPr="00B57DAB">
        <w:rPr>
          <w:rFonts w:ascii="GHEA Grapalat" w:hAnsi="GHEA Grapalat" w:cs="Sylfaen"/>
          <w:sz w:val="22"/>
          <w:szCs w:val="22"/>
        </w:rPr>
        <w:t>Հայաստանի</w:t>
      </w:r>
      <w:r w:rsidRPr="00B57DAB">
        <w:rPr>
          <w:rFonts w:ascii="GHEA Grapalat" w:hAnsi="GHEA Grapalat" w:cs="GHEA Grapalat"/>
          <w:sz w:val="22"/>
          <w:szCs w:val="22"/>
        </w:rPr>
        <w:t xml:space="preserve"> Հանրապետության խաղողագործության և գինեգործության ոլորտներում վարվող պետական քաղաքականության ու զարգացման ծրագրերի իրականացման նպատակով պետական աջակցությանը: Միջոցառման շրջանակներում ամբողջությամբ իրականացվել են նախատեսված արդյունքային ցուցանիշները, իսկ մեկ արդյունքային չափորոշիչի գծով արձանագրվել է գերակատարում, ինչը պայմանավորված է նրանով, որ ա</w:t>
      </w:r>
      <w:r w:rsidR="00F817F8" w:rsidRPr="00B57DAB">
        <w:rPr>
          <w:rFonts w:ascii="GHEA Grapalat" w:hAnsi="GHEA Grapalat" w:cs="GHEA Grapalat"/>
          <w:sz w:val="22"/>
          <w:szCs w:val="22"/>
        </w:rPr>
        <w:t>շխատանքներ են իրականացվել նաև</w:t>
      </w:r>
      <w:r w:rsidRPr="00B57DAB">
        <w:rPr>
          <w:rFonts w:ascii="GHEA Grapalat" w:hAnsi="GHEA Grapalat" w:cs="GHEA Grapalat"/>
          <w:sz w:val="22"/>
          <w:szCs w:val="22"/>
        </w:rPr>
        <w:t xml:space="preserve"> միջազգային գործընկերների աջակցությամբ:</w:t>
      </w:r>
    </w:p>
    <w:p w:rsidR="00772ED1" w:rsidRPr="00B57DAB" w:rsidRDefault="00772ED1" w:rsidP="00772ED1">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GHEA Grapalat"/>
          <w:sz w:val="22"/>
          <w:szCs w:val="22"/>
        </w:rPr>
        <w:t xml:space="preserve">Նախորդ տարվա առաջին եռամսյակի համեմատ Գյուղատնտեսության խթանման ծրագրի ծախսերն աճել են </w:t>
      </w:r>
      <w:r w:rsidRPr="00B57DAB">
        <w:rPr>
          <w:rFonts w:ascii="GHEA Grapalat" w:hAnsi="GHEA Grapalat"/>
          <w:sz w:val="22"/>
          <w:szCs w:val="22"/>
        </w:rPr>
        <w:t>2.2 անգամ կամ ավելի քան 2.1 մլրդ դրամով, որը հիմնականում պայմանավորված է գյուղատնտեսական վարկերի տոկոսադրույքների սուբսիդավորման ծախսերի 2.3 անգամ (1.6 մլրդ դրամ) աճով:</w:t>
      </w:r>
    </w:p>
    <w:p w:rsidR="00F817F8" w:rsidRPr="00B57DAB" w:rsidRDefault="00772ED1" w:rsidP="00772ED1">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Times Armenian"/>
          <w:sz w:val="22"/>
          <w:szCs w:val="22"/>
        </w:rPr>
        <w:t>2022</w:t>
      </w:r>
      <w:r w:rsidRPr="00B57DAB">
        <w:rPr>
          <w:rFonts w:ascii="GHEA Grapalat" w:hAnsi="GHEA Grapalat" w:cs="GHEA Grapalat"/>
          <w:sz w:val="22"/>
          <w:szCs w:val="22"/>
        </w:rPr>
        <w:t xml:space="preserve"> թվականի </w:t>
      </w:r>
      <w:r w:rsidRPr="00B57DAB">
        <w:rPr>
          <w:rFonts w:ascii="GHEA Grapalat" w:hAnsi="GHEA Grapalat"/>
          <w:sz w:val="22"/>
          <w:szCs w:val="22"/>
        </w:rPr>
        <w:t>առաջին եռամսյակում</w:t>
      </w:r>
      <w:r w:rsidRPr="00B57DAB">
        <w:rPr>
          <w:rFonts w:ascii="GHEA Grapalat" w:hAnsi="GHEA Grapalat" w:cs="GHEA Grapalat"/>
          <w:i/>
          <w:sz w:val="22"/>
          <w:szCs w:val="22"/>
        </w:rPr>
        <w:t xml:space="preserve"> Գյուղատնտեսության արդիականացման</w:t>
      </w:r>
      <w:r w:rsidRPr="00B57DAB">
        <w:rPr>
          <w:rFonts w:ascii="GHEA Grapalat" w:hAnsi="GHEA Grapalat" w:cs="GHEA Grapalat"/>
          <w:sz w:val="22"/>
          <w:szCs w:val="22"/>
        </w:rPr>
        <w:t xml:space="preserve"> ծրագրի շրջանակներում օգտագործվել է շուրջ 1.6</w:t>
      </w:r>
      <w:r w:rsidRPr="00B57DAB">
        <w:rPr>
          <w:rFonts w:ascii="Courier New" w:hAnsi="Courier New" w:cs="Courier New"/>
          <w:sz w:val="22"/>
          <w:szCs w:val="22"/>
        </w:rPr>
        <w:t> </w:t>
      </w:r>
      <w:r w:rsidRPr="00B57DAB">
        <w:rPr>
          <w:rFonts w:ascii="GHEA Grapalat" w:hAnsi="GHEA Grapalat" w:cs="GHEA Grapalat"/>
          <w:sz w:val="22"/>
          <w:szCs w:val="22"/>
        </w:rPr>
        <w:t xml:space="preserve">մլրդ դրամ՝ ապահովելով 83.9% կատարողական: </w:t>
      </w:r>
      <w:r w:rsidRPr="00B57DAB">
        <w:rPr>
          <w:rFonts w:ascii="GHEA Grapalat" w:hAnsi="GHEA Grapalat" w:cs="GHEA Grapalat"/>
          <w:sz w:val="22"/>
          <w:szCs w:val="22"/>
        </w:rPr>
        <w:lastRenderedPageBreak/>
        <w:t xml:space="preserve">Ծրագրի շրջանակներում իրականացվել են 11 միջոցառումներ, </w:t>
      </w:r>
      <w:r w:rsidRPr="00B57DAB">
        <w:rPr>
          <w:rFonts w:ascii="GHEA Grapalat" w:hAnsi="GHEA Grapalat" w:cs="Sylfaen"/>
          <w:sz w:val="22"/>
          <w:szCs w:val="22"/>
        </w:rPr>
        <w:t>որոնցից հինգի գծով արձանագրվել է 100% կատարողական</w:t>
      </w:r>
      <w:r w:rsidR="007477CA" w:rsidRPr="00B57DAB">
        <w:rPr>
          <w:rFonts w:ascii="GHEA Grapalat" w:hAnsi="GHEA Grapalat" w:cs="Sylfaen"/>
          <w:sz w:val="22"/>
          <w:szCs w:val="22"/>
        </w:rPr>
        <w:t>՝ կազմելով 792.8 մլն դրամ</w:t>
      </w:r>
      <w:r w:rsidRPr="00B57DAB">
        <w:rPr>
          <w:rFonts w:ascii="GHEA Grapalat" w:hAnsi="GHEA Grapalat" w:cs="GHEA Grapalat"/>
          <w:sz w:val="22"/>
          <w:szCs w:val="22"/>
        </w:rPr>
        <w:t xml:space="preserve">: </w:t>
      </w:r>
    </w:p>
    <w:p w:rsidR="003C26C1" w:rsidRPr="00B57DAB" w:rsidRDefault="003C26C1" w:rsidP="003C26C1">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Sylfaen"/>
          <w:sz w:val="22"/>
          <w:szCs w:val="22"/>
        </w:rPr>
        <w:t xml:space="preserve">Հայաստանի Հանրապետությունում խաղողի, ժամանակակից տեխնոլոգիաներով մշակվող ինտենսիվ պտղատու այգիների և հատապտղանոցների հիմնման </w:t>
      </w:r>
      <w:r w:rsidRPr="00B57DAB">
        <w:rPr>
          <w:rFonts w:ascii="GHEA Grapalat" w:hAnsi="GHEA Grapalat" w:cs="GHEA Grapalat"/>
          <w:sz w:val="22"/>
          <w:szCs w:val="22"/>
        </w:rPr>
        <w:t xml:space="preserve">համար պետական աջակցության </w:t>
      </w:r>
      <w:r w:rsidR="00772ED1" w:rsidRPr="00B57DAB">
        <w:rPr>
          <w:rFonts w:ascii="GHEA Grapalat" w:hAnsi="GHEA Grapalat" w:cs="GHEA Grapalat"/>
          <w:sz w:val="22"/>
          <w:szCs w:val="22"/>
        </w:rPr>
        <w:t>շրջանակներում մարզերում հիմնվել են 63.4 հա նոր ինտենսիվ պտղատու այգիներ:</w:t>
      </w:r>
      <w:r w:rsidRPr="00B57DAB">
        <w:rPr>
          <w:rFonts w:ascii="GHEA Grapalat" w:hAnsi="GHEA Grapalat" w:cs="GHEA Grapalat"/>
          <w:sz w:val="22"/>
          <w:szCs w:val="22"/>
        </w:rPr>
        <w:t xml:space="preserve"> Միջոցառման ծախսերը կատարվել են 75.4%-ով՝ կազմելով 348.5 մլն դրամ: Շեղումը պայմանավորված է փոխհատուցման համար պայմանագրերի ուշ կնքման հանգամանքով: </w:t>
      </w:r>
    </w:p>
    <w:p w:rsidR="00772ED1" w:rsidRPr="00B57DAB" w:rsidRDefault="00772ED1" w:rsidP="00772ED1">
      <w:pPr>
        <w:tabs>
          <w:tab w:val="left" w:pos="8931"/>
        </w:tabs>
        <w:spacing w:line="360" w:lineRule="auto"/>
        <w:ind w:firstLine="561"/>
        <w:jc w:val="both"/>
        <w:rPr>
          <w:rFonts w:ascii="GHEA Grapalat" w:hAnsi="GHEA Grapalat" w:cs="GHEA Grapalat"/>
          <w:sz w:val="22"/>
          <w:szCs w:val="22"/>
        </w:rPr>
      </w:pPr>
      <w:r w:rsidRPr="00B57DAB">
        <w:rPr>
          <w:rFonts w:ascii="GHEA Grapalat" w:hAnsi="GHEA Grapalat" w:cs="GHEA Grapalat"/>
          <w:sz w:val="22"/>
          <w:szCs w:val="22"/>
        </w:rPr>
        <w:t>Փոքր և միջին ջերմոցային տնտեսությունների ներդրման պետական աջակցության</w:t>
      </w:r>
      <w:r w:rsidR="000A62A3" w:rsidRPr="00B57DAB">
        <w:rPr>
          <w:rFonts w:ascii="GHEA Grapalat" w:hAnsi="GHEA Grapalat" w:cs="GHEA Grapalat"/>
          <w:sz w:val="22"/>
          <w:szCs w:val="22"/>
        </w:rPr>
        <w:t xml:space="preserve"> միջոցառման շրջանակներում կառուցվել են 2 ջերմոցներ 0.3 հա ընդհանուր տարածքով՝ նախատեսված 8-ի և 1 հա-ի փոխարեն:</w:t>
      </w:r>
      <w:r w:rsidR="006A4207" w:rsidRPr="00B57DAB">
        <w:rPr>
          <w:rFonts w:ascii="GHEA Grapalat" w:hAnsi="GHEA Grapalat" w:cs="GHEA Grapalat"/>
          <w:sz w:val="22"/>
          <w:szCs w:val="22"/>
        </w:rPr>
        <w:t xml:space="preserve"> </w:t>
      </w:r>
      <w:r w:rsidR="000A62A3" w:rsidRPr="00B57DAB">
        <w:rPr>
          <w:rFonts w:ascii="GHEA Grapalat" w:hAnsi="GHEA Grapalat" w:cs="GHEA Grapalat"/>
          <w:sz w:val="22"/>
          <w:szCs w:val="22"/>
        </w:rPr>
        <w:t>Ծ</w:t>
      </w:r>
      <w:r w:rsidRPr="00B57DAB">
        <w:rPr>
          <w:rFonts w:ascii="GHEA Grapalat" w:hAnsi="GHEA Grapalat" w:cs="GHEA Grapalat"/>
          <w:sz w:val="22"/>
          <w:szCs w:val="22"/>
        </w:rPr>
        <w:t xml:space="preserve">ախսերը կազմել են 15.1 մլն դրամ կամ ծրագրված ցուցանիշի 15.1%-ը: Շեղումը պայմանավորված է նրանով, որ 6 ջերմատնային տնտեսությունների կառուցման աշխատանքները հիմնականում ավարտվել են, սակայն ներկայացված փաստաթղթերում առկա թերությունների հետևանքով դրանք վերադարձվել են շտկումների: </w:t>
      </w:r>
    </w:p>
    <w:p w:rsidR="00772ED1" w:rsidRPr="00B57DAB" w:rsidRDefault="00772ED1" w:rsidP="00772ED1">
      <w:pPr>
        <w:autoSpaceDE w:val="0"/>
        <w:autoSpaceDN w:val="0"/>
        <w:adjustRightInd w:val="0"/>
        <w:spacing w:line="360" w:lineRule="auto"/>
        <w:ind w:firstLine="567"/>
        <w:jc w:val="both"/>
        <w:rPr>
          <w:rFonts w:ascii="GHEA Grapalat" w:hAnsi="GHEA Grapalat" w:cs="Sylfaen"/>
          <w:sz w:val="22"/>
          <w:szCs w:val="22"/>
          <w:lang w:val="ru-RU"/>
        </w:rPr>
      </w:pPr>
      <w:r w:rsidRPr="00B57DAB">
        <w:rPr>
          <w:rFonts w:ascii="GHEA Grapalat" w:hAnsi="GHEA Grapalat" w:cs="GHEA Grapalat"/>
          <w:sz w:val="22"/>
          <w:szCs w:val="22"/>
        </w:rPr>
        <w:t xml:space="preserve">Փոքր և միջին «Խելացի» անասնաշենքերի կառուցման կամ վերակառուցման և դրանց տեխնոլոգիական ապահովմանը </w:t>
      </w:r>
      <w:r w:rsidRPr="00B57DAB">
        <w:rPr>
          <w:rFonts w:ascii="GHEA Grapalat" w:hAnsi="GHEA Grapalat" w:cs="Tahoma"/>
          <w:sz w:val="22"/>
          <w:szCs w:val="22"/>
        </w:rPr>
        <w:t>պետական աջակցության մ</w:t>
      </w:r>
      <w:r w:rsidRPr="00B57DAB">
        <w:rPr>
          <w:rFonts w:ascii="GHEA Grapalat" w:hAnsi="GHEA Grapalat" w:cs="GHEA Grapalat"/>
          <w:sz w:val="22"/>
          <w:szCs w:val="22"/>
        </w:rPr>
        <w:t>իջոցառման</w:t>
      </w:r>
      <w:r w:rsidRPr="00B57DAB">
        <w:rPr>
          <w:rFonts w:ascii="GHEA Grapalat" w:hAnsi="GHEA Grapalat" w:cs="Sylfaen"/>
          <w:sz w:val="22"/>
          <w:szCs w:val="22"/>
        </w:rPr>
        <w:t xml:space="preserve"> </w:t>
      </w:r>
      <w:r w:rsidR="000A62A3" w:rsidRPr="00B57DAB">
        <w:rPr>
          <w:rFonts w:ascii="GHEA Grapalat" w:hAnsi="GHEA Grapalat" w:cs="Sylfaen"/>
          <w:sz w:val="22"/>
          <w:szCs w:val="22"/>
        </w:rPr>
        <w:t>շրջանակներում</w:t>
      </w:r>
      <w:r w:rsidR="000A62A3" w:rsidRPr="00B57DAB">
        <w:rPr>
          <w:rFonts w:ascii="GHEA Grapalat" w:hAnsi="GHEA Grapalat" w:cs="Sylfaen"/>
          <w:sz w:val="22"/>
          <w:szCs w:val="22"/>
          <w:lang w:val="ru-RU"/>
        </w:rPr>
        <w:t xml:space="preserve"> </w:t>
      </w:r>
      <w:r w:rsidR="000A62A3" w:rsidRPr="00B57DAB">
        <w:rPr>
          <w:rFonts w:ascii="GHEA Grapalat" w:hAnsi="GHEA Grapalat" w:cs="Sylfaen"/>
          <w:sz w:val="22"/>
          <w:szCs w:val="22"/>
        </w:rPr>
        <w:t xml:space="preserve">պետական աջակցություն են ստացել </w:t>
      </w:r>
      <w:r w:rsidR="000A62A3" w:rsidRPr="00B57DAB">
        <w:rPr>
          <w:rFonts w:ascii="GHEA Grapalat" w:hAnsi="GHEA Grapalat" w:cs="Sylfaen"/>
          <w:sz w:val="22"/>
          <w:szCs w:val="22"/>
          <w:lang w:val="ru-RU"/>
        </w:rPr>
        <w:t xml:space="preserve">նախորդ տարիներին կառուցված կամ վերակառուցված </w:t>
      </w:r>
      <w:r w:rsidR="000A62A3" w:rsidRPr="00B57DAB">
        <w:rPr>
          <w:rFonts w:ascii="GHEA Grapalat" w:hAnsi="GHEA Grapalat" w:cs="Sylfaen"/>
          <w:sz w:val="22"/>
          <w:szCs w:val="22"/>
        </w:rPr>
        <w:t>4</w:t>
      </w:r>
      <w:r w:rsidR="000A62A3" w:rsidRPr="00B57DAB">
        <w:rPr>
          <w:rFonts w:ascii="GHEA Grapalat" w:hAnsi="GHEA Grapalat" w:cs="Sylfaen"/>
          <w:sz w:val="22"/>
          <w:szCs w:val="22"/>
          <w:lang w:val="ru-RU"/>
        </w:rPr>
        <w:t xml:space="preserve"> անասնաշենքեր</w:t>
      </w:r>
      <w:r w:rsidR="000A62A3" w:rsidRPr="00B57DAB">
        <w:rPr>
          <w:rFonts w:ascii="GHEA Grapalat" w:hAnsi="GHEA Grapalat" w:cs="Sylfaen"/>
          <w:sz w:val="22"/>
          <w:szCs w:val="22"/>
        </w:rPr>
        <w:t xml:space="preserve">՝ </w:t>
      </w:r>
      <w:r w:rsidR="000A62A3" w:rsidRPr="00B57DAB">
        <w:rPr>
          <w:rFonts w:ascii="GHEA Grapalat" w:hAnsi="GHEA Grapalat" w:cs="Sylfaen"/>
          <w:sz w:val="22"/>
          <w:szCs w:val="22"/>
          <w:lang w:val="ru-RU"/>
        </w:rPr>
        <w:t xml:space="preserve">նախատեսված </w:t>
      </w:r>
      <w:r w:rsidR="000A62A3" w:rsidRPr="00B57DAB">
        <w:rPr>
          <w:rFonts w:ascii="GHEA Grapalat" w:hAnsi="GHEA Grapalat" w:cs="Sylfaen"/>
          <w:sz w:val="22"/>
          <w:szCs w:val="22"/>
        </w:rPr>
        <w:t>25</w:t>
      </w:r>
      <w:r w:rsidR="000A62A3" w:rsidRPr="00B57DAB">
        <w:rPr>
          <w:rFonts w:ascii="GHEA Grapalat" w:hAnsi="GHEA Grapalat" w:cs="Sylfaen"/>
          <w:sz w:val="22"/>
          <w:szCs w:val="22"/>
          <w:lang w:val="ru-RU"/>
        </w:rPr>
        <w:t>-ի դիմաց:</w:t>
      </w:r>
      <w:r w:rsidR="000A62A3" w:rsidRPr="00B57DAB">
        <w:rPr>
          <w:rFonts w:ascii="GHEA Grapalat" w:hAnsi="GHEA Grapalat" w:cs="Sylfaen"/>
          <w:sz w:val="22"/>
          <w:szCs w:val="22"/>
        </w:rPr>
        <w:t xml:space="preserve"> Ծախսերը կատարվել են </w:t>
      </w:r>
      <w:r w:rsidR="000A62A3" w:rsidRPr="00B57DAB">
        <w:rPr>
          <w:rFonts w:ascii="GHEA Grapalat" w:hAnsi="GHEA Grapalat" w:cs="GHEA Grapalat"/>
          <w:sz w:val="22"/>
          <w:szCs w:val="22"/>
        </w:rPr>
        <w:t>50.5%-ով՝</w:t>
      </w:r>
      <w:r w:rsidRPr="00B57DAB">
        <w:rPr>
          <w:rFonts w:ascii="GHEA Grapalat" w:hAnsi="GHEA Grapalat" w:cs="GHEA Grapalat"/>
          <w:sz w:val="22"/>
          <w:szCs w:val="22"/>
        </w:rPr>
        <w:t xml:space="preserve"> կազմելով շուրջ 47.8 մլն դրամ: Շեղումը պայմանավորված է </w:t>
      </w:r>
      <w:r w:rsidRPr="00B57DAB">
        <w:rPr>
          <w:rFonts w:ascii="GHEA Grapalat" w:hAnsi="GHEA Grapalat" w:cs="Sylfaen"/>
          <w:sz w:val="22"/>
          <w:szCs w:val="22"/>
        </w:rPr>
        <w:t>շինարարական ապրանքների թանկացումների հետևանքով կառուցման աշխ</w:t>
      </w:r>
      <w:r w:rsidR="002712A7" w:rsidRPr="00B57DAB">
        <w:rPr>
          <w:rFonts w:ascii="GHEA Grapalat" w:hAnsi="GHEA Grapalat" w:cs="Sylfaen"/>
          <w:sz w:val="22"/>
          <w:szCs w:val="22"/>
        </w:rPr>
        <w:t>ատանքների ժամանակավոր դադարեցմամբ</w:t>
      </w:r>
      <w:r w:rsidRPr="00B57DAB">
        <w:rPr>
          <w:rFonts w:ascii="GHEA Grapalat" w:hAnsi="GHEA Grapalat" w:cs="Sylfaen"/>
          <w:sz w:val="22"/>
          <w:szCs w:val="22"/>
        </w:rPr>
        <w:t xml:space="preserve"> կամ ձգձգմա</w:t>
      </w:r>
      <w:r w:rsidR="002712A7" w:rsidRPr="00B57DAB">
        <w:rPr>
          <w:rFonts w:ascii="GHEA Grapalat" w:hAnsi="GHEA Grapalat" w:cs="Sylfaen"/>
          <w:sz w:val="22"/>
          <w:szCs w:val="22"/>
        </w:rPr>
        <w:t>մբ</w:t>
      </w:r>
      <w:r w:rsidRPr="00B57DAB">
        <w:rPr>
          <w:rFonts w:ascii="GHEA Grapalat" w:hAnsi="GHEA Grapalat" w:cs="Sylfaen"/>
          <w:sz w:val="22"/>
          <w:szCs w:val="22"/>
        </w:rPr>
        <w:t>: Բացի այդ, համայնքների խոշորացման գործընթացով պայմանավորված` ձգձգվել է մի քանի անասնաշենքերի շինարարական ավարտական ակտերի ձեռքբերումը</w:t>
      </w:r>
      <w:r w:rsidR="000A62A3" w:rsidRPr="00B57DAB">
        <w:rPr>
          <w:rFonts w:ascii="GHEA Grapalat" w:hAnsi="GHEA Grapalat" w:cs="Sylfaen"/>
          <w:sz w:val="22"/>
          <w:szCs w:val="22"/>
        </w:rPr>
        <w:t>:</w:t>
      </w:r>
    </w:p>
    <w:p w:rsidR="00772ED1" w:rsidRPr="00B57DAB" w:rsidRDefault="00772ED1" w:rsidP="00772ED1">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lang w:val="ru-RU"/>
        </w:rPr>
        <w:t xml:space="preserve">Հաշվետու ժամանակահատվածում </w:t>
      </w:r>
      <w:r w:rsidR="008514E9" w:rsidRPr="00B57DAB">
        <w:rPr>
          <w:rFonts w:ascii="GHEA Grapalat" w:hAnsi="GHEA Grapalat" w:cs="Sylfaen"/>
          <w:sz w:val="22"/>
          <w:szCs w:val="22"/>
          <w:lang w:val="ru-RU"/>
        </w:rPr>
        <w:t>Հայաստանի Հանրապետության ագրոպարենային</w:t>
      </w:r>
      <w:r w:rsidR="008514E9" w:rsidRPr="00B57DAB">
        <w:rPr>
          <w:rFonts w:ascii="GHEA Grapalat" w:hAnsi="GHEA Grapalat" w:cs="Sylfaen"/>
          <w:sz w:val="22"/>
          <w:szCs w:val="22"/>
        </w:rPr>
        <w:t xml:space="preserve"> ոլորտի սարքավորումների ֆինանսական վարձակալության՝ լիզինգի պետական աջակցության </w:t>
      </w:r>
      <w:r w:rsidR="008514E9" w:rsidRPr="00B57DAB">
        <w:rPr>
          <w:rFonts w:ascii="GHEA Grapalat" w:hAnsi="GHEA Grapalat"/>
          <w:sz w:val="22"/>
          <w:szCs w:val="22"/>
        </w:rPr>
        <w:t>միջոցառման շահառուների թիվը նախատեսված 251-ի փոխարեն կազմել է 453, որից 430-ը նախորդ տարիներից սուբսիդավորվող տնտեսավարող սուբյեկտներն են: Ծրագրված ցուցանիշի գերազանցումը</w:t>
      </w:r>
      <w:r w:rsidR="008514E9" w:rsidRPr="00B57DAB">
        <w:rPr>
          <w:rFonts w:ascii="GHEA Grapalat" w:hAnsi="GHEA Grapalat" w:cs="Sylfaen"/>
          <w:sz w:val="22"/>
          <w:szCs w:val="22"/>
        </w:rPr>
        <w:t xml:space="preserve"> պայմանավորված է կորոնավիրուսի պայմաններում մինչև 2021 թվականի դեկտեմբերի 31-ը վարկավորման զրոյական տոկոսադրույքի սահմանման արդյունքում ծրագրի նկատմամբ մեծ պահանջարկով: Միջոցառմանն ուղղվել է</w:t>
      </w:r>
      <w:r w:rsidRPr="00B57DAB">
        <w:rPr>
          <w:rFonts w:ascii="GHEA Grapalat" w:hAnsi="GHEA Grapalat" w:cs="Sylfaen"/>
          <w:sz w:val="22"/>
          <w:szCs w:val="22"/>
          <w:lang w:val="ru-RU"/>
        </w:rPr>
        <w:t xml:space="preserve"> 351.6 մլն դրամ</w:t>
      </w:r>
      <w:r w:rsidRPr="00B57DAB">
        <w:rPr>
          <w:rFonts w:ascii="GHEA Grapalat" w:hAnsi="GHEA Grapalat" w:cs="Sylfaen"/>
          <w:sz w:val="22"/>
          <w:szCs w:val="22"/>
        </w:rPr>
        <w:t>՝ ապահովելով 96.2% կատարողական: Շեղումը պայմանավորված է նրանով, որ առկա միջոցների հաշվին հնարավոր չէր բավարարել խոշոր գումարով</w:t>
      </w:r>
      <w:r w:rsidR="009F6A03" w:rsidRPr="00B57DAB">
        <w:rPr>
          <w:rFonts w:ascii="GHEA Grapalat" w:hAnsi="GHEA Grapalat" w:cs="Sylfaen"/>
          <w:sz w:val="22"/>
          <w:szCs w:val="22"/>
        </w:rPr>
        <w:t xml:space="preserve"> (213 մլն դրամ)</w:t>
      </w:r>
      <w:r w:rsidRPr="00B57DAB">
        <w:rPr>
          <w:rFonts w:ascii="GHEA Grapalat" w:hAnsi="GHEA Grapalat" w:cs="Sylfaen"/>
          <w:sz w:val="22"/>
          <w:szCs w:val="22"/>
        </w:rPr>
        <w:t xml:space="preserve"> ներկայացված</w:t>
      </w:r>
      <w:r w:rsidR="008514E9" w:rsidRPr="00B57DAB">
        <w:rPr>
          <w:rFonts w:ascii="GHEA Grapalat" w:hAnsi="GHEA Grapalat" w:cs="Sylfaen"/>
          <w:sz w:val="22"/>
          <w:szCs w:val="22"/>
        </w:rPr>
        <w:t xml:space="preserve"> ֆինանսավորման հայտ</w:t>
      </w:r>
      <w:r w:rsidRPr="00B57DAB">
        <w:rPr>
          <w:rFonts w:ascii="GHEA Grapalat" w:hAnsi="GHEA Grapalat" w:cs="Sylfaen"/>
          <w:sz w:val="22"/>
          <w:szCs w:val="22"/>
        </w:rPr>
        <w:t xml:space="preserve">ը: </w:t>
      </w:r>
    </w:p>
    <w:p w:rsidR="00772ED1" w:rsidRPr="00B57DAB" w:rsidRDefault="00772ED1" w:rsidP="00772ED1">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lang w:val="ru-RU"/>
        </w:rPr>
        <w:t xml:space="preserve">Հայաստանի Հանրապետությունում խաղողի, ժամանակակից տեխնոլոգիաներով մշակվող ինտենսիվ պտղատու այգիների և հատապտղանոցների հիմնման համար վարկային տոկոսադրույքների սուբսիդավորման </w:t>
      </w:r>
      <w:r w:rsidR="008514E9" w:rsidRPr="00B57DAB">
        <w:rPr>
          <w:rFonts w:ascii="GHEA Grapalat" w:hAnsi="GHEA Grapalat" w:cs="Sylfaen"/>
          <w:sz w:val="22"/>
          <w:szCs w:val="22"/>
        </w:rPr>
        <w:t>միջոցառման շրջանակներում</w:t>
      </w:r>
      <w:r w:rsidR="008514E9" w:rsidRPr="00B57DAB">
        <w:rPr>
          <w:rFonts w:ascii="GHEA Grapalat" w:hAnsi="GHEA Grapalat" w:cs="Sylfaen"/>
          <w:sz w:val="22"/>
          <w:szCs w:val="22"/>
          <w:lang w:val="ru-RU"/>
        </w:rPr>
        <w:t xml:space="preserve"> նախատեսված </w:t>
      </w:r>
      <w:r w:rsidR="008514E9" w:rsidRPr="00B57DAB">
        <w:rPr>
          <w:rFonts w:ascii="GHEA Grapalat" w:hAnsi="GHEA Grapalat" w:cs="Sylfaen"/>
          <w:sz w:val="22"/>
          <w:szCs w:val="22"/>
        </w:rPr>
        <w:t>986.7</w:t>
      </w:r>
      <w:r w:rsidR="008514E9" w:rsidRPr="00B57DAB">
        <w:rPr>
          <w:rFonts w:ascii="GHEA Grapalat" w:hAnsi="GHEA Grapalat" w:cs="Sylfaen"/>
          <w:sz w:val="22"/>
          <w:szCs w:val="22"/>
          <w:lang w:val="ru-RU"/>
        </w:rPr>
        <w:t xml:space="preserve"> հա-ի </w:t>
      </w:r>
      <w:r w:rsidR="008514E9" w:rsidRPr="00B57DAB">
        <w:rPr>
          <w:rFonts w:ascii="GHEA Grapalat" w:hAnsi="GHEA Grapalat" w:cs="Sylfaen"/>
          <w:sz w:val="22"/>
          <w:szCs w:val="22"/>
          <w:lang w:val="ru-RU"/>
        </w:rPr>
        <w:lastRenderedPageBreak/>
        <w:t xml:space="preserve">դիմաց փաստացի կատարվել է </w:t>
      </w:r>
      <w:r w:rsidR="008514E9" w:rsidRPr="00B57DAB">
        <w:rPr>
          <w:rFonts w:ascii="GHEA Grapalat" w:hAnsi="GHEA Grapalat" w:cs="Sylfaen"/>
          <w:sz w:val="22"/>
          <w:szCs w:val="22"/>
        </w:rPr>
        <w:t xml:space="preserve">1549.4 </w:t>
      </w:r>
      <w:r w:rsidR="008514E9" w:rsidRPr="00B57DAB">
        <w:rPr>
          <w:rFonts w:ascii="GHEA Grapalat" w:hAnsi="GHEA Grapalat" w:cs="Sylfaen"/>
          <w:sz w:val="22"/>
          <w:szCs w:val="22"/>
          <w:lang w:val="ru-RU"/>
        </w:rPr>
        <w:t>հա</w:t>
      </w:r>
      <w:r w:rsidR="008514E9" w:rsidRPr="00B57DAB">
        <w:rPr>
          <w:rFonts w:ascii="GHEA Grapalat" w:hAnsi="GHEA Grapalat" w:cs="Sylfaen"/>
          <w:sz w:val="22"/>
          <w:szCs w:val="22"/>
        </w:rPr>
        <w:t xml:space="preserve"> նախորդ տարիներին հիմնված</w:t>
      </w:r>
      <w:r w:rsidR="008514E9" w:rsidRPr="00B57DAB">
        <w:rPr>
          <w:rFonts w:ascii="GHEA Grapalat" w:hAnsi="GHEA Grapalat" w:cs="Sylfaen"/>
          <w:sz w:val="22"/>
          <w:szCs w:val="22"/>
          <w:lang w:val="ru-RU"/>
        </w:rPr>
        <w:t xml:space="preserve"> ինտենսիվ պտղատու </w:t>
      </w:r>
      <w:r w:rsidR="008514E9" w:rsidRPr="00B57DAB">
        <w:rPr>
          <w:rFonts w:ascii="GHEA Grapalat" w:hAnsi="GHEA Grapalat" w:cs="Sylfaen"/>
          <w:sz w:val="22"/>
          <w:szCs w:val="22"/>
        </w:rPr>
        <w:t xml:space="preserve">այգիների </w:t>
      </w:r>
      <w:r w:rsidR="008514E9" w:rsidRPr="00B57DAB">
        <w:rPr>
          <w:rFonts w:ascii="GHEA Grapalat" w:hAnsi="GHEA Grapalat" w:cs="Sylfaen"/>
          <w:sz w:val="22"/>
          <w:szCs w:val="22"/>
          <w:lang w:val="ru-RU"/>
        </w:rPr>
        <w:t>համար նպատակային վարկերի տոկոսադրույքների սուբսիդավոր</w:t>
      </w:r>
      <w:r w:rsidR="008514E9" w:rsidRPr="00B57DAB">
        <w:rPr>
          <w:rFonts w:ascii="GHEA Grapalat" w:hAnsi="GHEA Grapalat" w:cs="Sylfaen"/>
          <w:sz w:val="22"/>
          <w:szCs w:val="22"/>
        </w:rPr>
        <w:t>ու</w:t>
      </w:r>
      <w:r w:rsidR="008514E9" w:rsidRPr="00B57DAB">
        <w:rPr>
          <w:rFonts w:ascii="GHEA Grapalat" w:hAnsi="GHEA Grapalat" w:cs="Sylfaen"/>
          <w:sz w:val="22"/>
          <w:szCs w:val="22"/>
          <w:lang w:val="ru-RU"/>
        </w:rPr>
        <w:t>մ</w:t>
      </w:r>
      <w:r w:rsidR="008514E9" w:rsidRPr="00B57DAB">
        <w:rPr>
          <w:rFonts w:ascii="GHEA Grapalat" w:hAnsi="GHEA Grapalat" w:cs="Sylfaen"/>
          <w:sz w:val="22"/>
          <w:szCs w:val="22"/>
        </w:rPr>
        <w:t xml:space="preserve">: </w:t>
      </w:r>
      <w:r w:rsidR="008514E9" w:rsidRPr="00B57DAB">
        <w:rPr>
          <w:rFonts w:ascii="GHEA Grapalat" w:hAnsi="GHEA Grapalat"/>
          <w:sz w:val="22"/>
          <w:szCs w:val="22"/>
        </w:rPr>
        <w:t>Ծրագրված ցուցանիշի գերազանցումը</w:t>
      </w:r>
      <w:r w:rsidR="008514E9" w:rsidRPr="00B57DAB">
        <w:rPr>
          <w:rFonts w:ascii="GHEA Grapalat" w:hAnsi="GHEA Grapalat" w:cs="Sylfaen"/>
          <w:sz w:val="22"/>
          <w:szCs w:val="22"/>
        </w:rPr>
        <w:t xml:space="preserve"> պայմանավորված է կորոնավիրուսի պայմաններում մինչև 2021 թվականի դեկտեմբերի 31-ը վարկավորման զրոյական տոկոսադրույքի սահմանման արդյունքում ծրագրի նկատմամբ մեծ պահանջարկով:</w:t>
      </w:r>
      <w:r w:rsidR="00704DE4" w:rsidRPr="00B57DAB">
        <w:rPr>
          <w:rFonts w:ascii="GHEA Grapalat" w:hAnsi="GHEA Grapalat" w:cs="Sylfaen"/>
          <w:sz w:val="22"/>
          <w:szCs w:val="22"/>
        </w:rPr>
        <w:t xml:space="preserve"> Միջոցառման </w:t>
      </w:r>
      <w:r w:rsidRPr="00B57DAB">
        <w:rPr>
          <w:rFonts w:ascii="GHEA Grapalat" w:hAnsi="GHEA Grapalat" w:cs="Sylfaen"/>
          <w:sz w:val="22"/>
          <w:szCs w:val="22"/>
          <w:lang w:val="ru-RU"/>
        </w:rPr>
        <w:t>ծախսեր</w:t>
      </w:r>
      <w:r w:rsidR="00704DE4" w:rsidRPr="00B57DAB">
        <w:rPr>
          <w:rFonts w:ascii="GHEA Grapalat" w:hAnsi="GHEA Grapalat" w:cs="Sylfaen"/>
          <w:sz w:val="22"/>
          <w:szCs w:val="22"/>
        </w:rPr>
        <w:t>ն իրականացվել են նախատեսված</w:t>
      </w:r>
      <w:r w:rsidRPr="00B57DAB">
        <w:rPr>
          <w:rFonts w:ascii="GHEA Grapalat" w:hAnsi="GHEA Grapalat" w:cs="Sylfaen"/>
          <w:sz w:val="22"/>
          <w:szCs w:val="22"/>
        </w:rPr>
        <w:t xml:space="preserve"> ծավալով՝</w:t>
      </w:r>
      <w:r w:rsidRPr="00B57DAB">
        <w:rPr>
          <w:rFonts w:ascii="GHEA Grapalat" w:hAnsi="GHEA Grapalat" w:cs="Sylfaen"/>
          <w:sz w:val="22"/>
          <w:szCs w:val="22"/>
          <w:lang w:val="ru-RU"/>
        </w:rPr>
        <w:t xml:space="preserve"> կազմել</w:t>
      </w:r>
      <w:r w:rsidRPr="00B57DAB">
        <w:rPr>
          <w:rFonts w:ascii="GHEA Grapalat" w:hAnsi="GHEA Grapalat" w:cs="Sylfaen"/>
          <w:sz w:val="22"/>
          <w:szCs w:val="22"/>
        </w:rPr>
        <w:t xml:space="preserve">ով 300 </w:t>
      </w:r>
      <w:r w:rsidRPr="00B57DAB">
        <w:rPr>
          <w:rFonts w:ascii="GHEA Grapalat" w:hAnsi="GHEA Grapalat" w:cs="Sylfaen"/>
          <w:sz w:val="22"/>
          <w:szCs w:val="22"/>
          <w:lang w:val="ru-RU"/>
        </w:rPr>
        <w:t>մլն դրամ:</w:t>
      </w:r>
    </w:p>
    <w:p w:rsidR="00772ED1" w:rsidRPr="00B57DAB" w:rsidRDefault="00772ED1" w:rsidP="00772ED1">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 xml:space="preserve">Հայաստանի Հանրապետությունում ինտենսիվ այգեգործության զարգացման նպատակով սուբսիդավորման </w:t>
      </w:r>
      <w:r w:rsidR="00704DE4" w:rsidRPr="00B57DAB">
        <w:rPr>
          <w:rFonts w:ascii="GHEA Grapalat" w:hAnsi="GHEA Grapalat" w:cs="Sylfaen"/>
          <w:sz w:val="22"/>
          <w:szCs w:val="22"/>
        </w:rPr>
        <w:t xml:space="preserve">շրջանակներում </w:t>
      </w:r>
      <w:r w:rsidR="00704DE4" w:rsidRPr="00B57DAB">
        <w:rPr>
          <w:rFonts w:ascii="GHEA Grapalat" w:hAnsi="GHEA Grapalat" w:cs="Sylfaen"/>
          <w:sz w:val="22"/>
          <w:szCs w:val="22"/>
          <w:lang w:val="ru-RU"/>
        </w:rPr>
        <w:t xml:space="preserve">նախատեսված </w:t>
      </w:r>
      <w:r w:rsidR="00704DE4" w:rsidRPr="00B57DAB">
        <w:rPr>
          <w:rFonts w:ascii="GHEA Grapalat" w:hAnsi="GHEA Grapalat" w:cs="Sylfaen"/>
          <w:sz w:val="22"/>
          <w:szCs w:val="22"/>
        </w:rPr>
        <w:t xml:space="preserve">90 </w:t>
      </w:r>
      <w:r w:rsidR="00704DE4" w:rsidRPr="00B57DAB">
        <w:rPr>
          <w:rFonts w:ascii="GHEA Grapalat" w:hAnsi="GHEA Grapalat" w:cs="Sylfaen"/>
          <w:sz w:val="22"/>
          <w:szCs w:val="22"/>
          <w:lang w:val="ru-RU"/>
        </w:rPr>
        <w:t>հա-ի դիմաց փաստացի կատարվել է 7</w:t>
      </w:r>
      <w:r w:rsidR="00704DE4" w:rsidRPr="00B57DAB">
        <w:rPr>
          <w:rFonts w:ascii="GHEA Grapalat" w:hAnsi="GHEA Grapalat" w:cs="Sylfaen"/>
          <w:sz w:val="22"/>
          <w:szCs w:val="22"/>
        </w:rPr>
        <w:t>90</w:t>
      </w:r>
      <w:r w:rsidR="00704DE4" w:rsidRPr="00B57DAB">
        <w:rPr>
          <w:rFonts w:ascii="GHEA Grapalat" w:hAnsi="GHEA Grapalat" w:cs="Sylfaen"/>
          <w:sz w:val="22"/>
          <w:szCs w:val="22"/>
          <w:lang w:val="ru-RU"/>
        </w:rPr>
        <w:t>.</w:t>
      </w:r>
      <w:r w:rsidR="00704DE4" w:rsidRPr="00B57DAB">
        <w:rPr>
          <w:rFonts w:ascii="GHEA Grapalat" w:hAnsi="GHEA Grapalat" w:cs="Sylfaen"/>
          <w:sz w:val="22"/>
          <w:szCs w:val="22"/>
        </w:rPr>
        <w:t>17</w:t>
      </w:r>
      <w:r w:rsidR="00704DE4" w:rsidRPr="00B57DAB">
        <w:rPr>
          <w:rFonts w:ascii="GHEA Grapalat" w:hAnsi="GHEA Grapalat" w:cs="Sylfaen"/>
          <w:sz w:val="22"/>
          <w:szCs w:val="22"/>
          <w:lang w:val="ru-RU"/>
        </w:rPr>
        <w:t xml:space="preserve"> հա նոր ինտենսիվ պտղատու այգիների</w:t>
      </w:r>
      <w:r w:rsidR="00704DE4" w:rsidRPr="00B57DAB">
        <w:rPr>
          <w:rFonts w:ascii="GHEA Grapalat" w:hAnsi="GHEA Grapalat" w:cs="Sylfaen"/>
          <w:sz w:val="22"/>
          <w:szCs w:val="22"/>
        </w:rPr>
        <w:t xml:space="preserve"> </w:t>
      </w:r>
      <w:r w:rsidR="00704DE4" w:rsidRPr="00B57DAB">
        <w:rPr>
          <w:rFonts w:ascii="GHEA Grapalat" w:hAnsi="GHEA Grapalat" w:cs="Sylfaen"/>
          <w:sz w:val="22"/>
          <w:szCs w:val="22"/>
          <w:lang w:val="ru-RU"/>
        </w:rPr>
        <w:t>համար նպատակային վարկերի տոկոսադրույքների սուբսիդավորում:</w:t>
      </w:r>
      <w:r w:rsidR="00704DE4" w:rsidRPr="00B57DAB">
        <w:rPr>
          <w:rFonts w:ascii="GHEA Grapalat" w:hAnsi="GHEA Grapalat"/>
          <w:sz w:val="22"/>
          <w:szCs w:val="22"/>
        </w:rPr>
        <w:t xml:space="preserve"> Ծրագրված ցուցանիշի գերազանցումը </w:t>
      </w:r>
      <w:r w:rsidR="00704DE4" w:rsidRPr="00B57DAB">
        <w:rPr>
          <w:rFonts w:ascii="GHEA Grapalat" w:hAnsi="GHEA Grapalat" w:cs="Sylfaen"/>
          <w:sz w:val="22"/>
          <w:szCs w:val="22"/>
        </w:rPr>
        <w:t xml:space="preserve">պայմանավորված է միջոցառման պայմանների բարելավման արդյունքում ծրագրի նկատմամբ մեծ հետաքրքրությամբ: Միջոցառման </w:t>
      </w:r>
      <w:r w:rsidRPr="00B57DAB">
        <w:rPr>
          <w:rFonts w:ascii="GHEA Grapalat" w:hAnsi="GHEA Grapalat" w:cs="Sylfaen"/>
          <w:sz w:val="22"/>
          <w:szCs w:val="22"/>
        </w:rPr>
        <w:t>ծախսերը կազմել են 300 մլն դրամ</w:t>
      </w:r>
      <w:r w:rsidR="00704DE4" w:rsidRPr="00B57DAB">
        <w:rPr>
          <w:rFonts w:ascii="GHEA Grapalat" w:hAnsi="GHEA Grapalat" w:cs="Sylfaen"/>
          <w:sz w:val="22"/>
          <w:szCs w:val="22"/>
        </w:rPr>
        <w:t>՝</w:t>
      </w:r>
      <w:r w:rsidRPr="00B57DAB">
        <w:rPr>
          <w:rFonts w:ascii="GHEA Grapalat" w:hAnsi="GHEA Grapalat" w:cs="Sylfaen"/>
          <w:sz w:val="22"/>
          <w:szCs w:val="22"/>
        </w:rPr>
        <w:t xml:space="preserve"> ապահովել</w:t>
      </w:r>
      <w:r w:rsidR="00704DE4" w:rsidRPr="00B57DAB">
        <w:rPr>
          <w:rFonts w:ascii="GHEA Grapalat" w:hAnsi="GHEA Grapalat" w:cs="Sylfaen"/>
          <w:sz w:val="22"/>
          <w:szCs w:val="22"/>
        </w:rPr>
        <w:t>ով</w:t>
      </w:r>
      <w:r w:rsidRPr="00B57DAB">
        <w:rPr>
          <w:rFonts w:ascii="GHEA Grapalat" w:hAnsi="GHEA Grapalat" w:cs="Sylfaen"/>
          <w:sz w:val="22"/>
          <w:szCs w:val="22"/>
        </w:rPr>
        <w:t xml:space="preserve"> 100</w:t>
      </w:r>
      <w:r w:rsidRPr="00B57DAB">
        <w:rPr>
          <w:rFonts w:ascii="GHEA Grapalat" w:hAnsi="GHEA Grapalat" w:cs="GHEA Grapalat"/>
          <w:sz w:val="22"/>
          <w:szCs w:val="22"/>
        </w:rPr>
        <w:t>% կատարողական:</w:t>
      </w:r>
    </w:p>
    <w:p w:rsidR="00772ED1" w:rsidRPr="00B57DAB" w:rsidRDefault="00772ED1" w:rsidP="00772ED1">
      <w:pPr>
        <w:autoSpaceDE w:val="0"/>
        <w:autoSpaceDN w:val="0"/>
        <w:adjustRightInd w:val="0"/>
        <w:spacing w:line="360" w:lineRule="auto"/>
        <w:ind w:firstLine="567"/>
        <w:jc w:val="both"/>
        <w:rPr>
          <w:rFonts w:ascii="GHEA Grapalat" w:hAnsi="GHEA Grapalat" w:cs="Sylfaen"/>
          <w:sz w:val="22"/>
          <w:szCs w:val="22"/>
          <w:lang w:val="ru-RU"/>
        </w:rPr>
      </w:pPr>
      <w:r w:rsidRPr="00B57DAB">
        <w:rPr>
          <w:rFonts w:ascii="GHEA Grapalat" w:hAnsi="GHEA Grapalat" w:cs="Sylfaen"/>
          <w:sz w:val="22"/>
          <w:szCs w:val="22"/>
        </w:rPr>
        <w:t>Նախորդ տարվա առաջին եռամսյակի համեմատ Գյուղատնտեսության արդիականացման ծրագրի ծախսերն աճել են 3.8 անգամ կամ շուրջ 1.2 մլրդ դրամով, որը հիմնականում պայմանավորված է Հայաստանի Հանրապետությունում խաղողի, ժամանակակից</w:t>
      </w:r>
      <w:r w:rsidRPr="00B57DAB">
        <w:rPr>
          <w:rFonts w:ascii="GHEA Grapalat" w:hAnsi="GHEA Grapalat" w:cs="Sylfaen"/>
          <w:sz w:val="22"/>
          <w:szCs w:val="22"/>
          <w:lang w:val="ru-RU"/>
        </w:rPr>
        <w:t xml:space="preserve"> տեխնոլոգիաներով մշակվող ինտենսիվ պտղատու այգիների և հատապտղանոցների հիմնման համար պետական աջակցության և վարկային տոկոսադրույքների սուբսիդավորման, Հայաստանի Հանրապետության ագրոպարենային ոլորտի սարքավորումների ֆինանսական վարձակալության` լիզինգի պետական աջակցության ծրագրի գծով ծախսերի աճով,</w:t>
      </w:r>
      <w:r w:rsidR="00B67D81" w:rsidRPr="00B57DAB">
        <w:rPr>
          <w:rFonts w:ascii="GHEA Grapalat" w:hAnsi="GHEA Grapalat" w:cs="Sylfaen"/>
          <w:sz w:val="22"/>
          <w:szCs w:val="22"/>
        </w:rPr>
        <w:t xml:space="preserve"> </w:t>
      </w:r>
      <w:r w:rsidR="00B67D81" w:rsidRPr="00B57DAB">
        <w:rPr>
          <w:rFonts w:ascii="GHEA Grapalat" w:hAnsi="GHEA Grapalat" w:cs="Sylfaen"/>
          <w:sz w:val="22"/>
          <w:szCs w:val="22"/>
          <w:lang w:val="ru-RU"/>
        </w:rPr>
        <w:t>ինչպես նաև</w:t>
      </w:r>
      <w:r w:rsidRPr="00B57DAB">
        <w:rPr>
          <w:rFonts w:ascii="GHEA Grapalat" w:hAnsi="GHEA Grapalat" w:cs="Sylfaen"/>
          <w:sz w:val="22"/>
          <w:szCs w:val="22"/>
          <w:lang w:val="ru-RU"/>
        </w:rPr>
        <w:t xml:space="preserve"> Հայաստանի Հանրապետությունում ինտենսիվ այգեգործության զարգացման նպատակով սուբսիդավորման</w:t>
      </w:r>
      <w:r w:rsidRPr="00B57DAB">
        <w:rPr>
          <w:rFonts w:ascii="GHEA Grapalat" w:hAnsi="GHEA Grapalat" w:cs="Sylfaen"/>
          <w:sz w:val="22"/>
          <w:szCs w:val="22"/>
        </w:rPr>
        <w:t xml:space="preserve"> համար </w:t>
      </w:r>
      <w:r w:rsidRPr="00B57DAB">
        <w:rPr>
          <w:rFonts w:ascii="GHEA Grapalat" w:hAnsi="GHEA Grapalat" w:cs="Sylfaen"/>
          <w:sz w:val="22"/>
          <w:szCs w:val="22"/>
          <w:lang w:val="ru-RU"/>
        </w:rPr>
        <w:t xml:space="preserve">հաշվետու ժամանակահատվածում </w:t>
      </w:r>
      <w:r w:rsidRPr="00B57DAB">
        <w:rPr>
          <w:rFonts w:ascii="GHEA Grapalat" w:hAnsi="GHEA Grapalat" w:cs="Sylfaen"/>
          <w:sz w:val="22"/>
          <w:szCs w:val="22"/>
        </w:rPr>
        <w:t>միջոցն</w:t>
      </w:r>
      <w:r w:rsidRPr="00B57DAB">
        <w:rPr>
          <w:rFonts w:ascii="GHEA Grapalat" w:hAnsi="GHEA Grapalat" w:cs="Sylfaen"/>
          <w:sz w:val="22"/>
          <w:szCs w:val="22"/>
          <w:lang w:val="ru-RU"/>
        </w:rPr>
        <w:t>եր</w:t>
      </w:r>
      <w:r w:rsidR="00B67D81" w:rsidRPr="00B57DAB">
        <w:rPr>
          <w:rFonts w:ascii="GHEA Grapalat" w:hAnsi="GHEA Grapalat" w:cs="Sylfaen"/>
          <w:sz w:val="22"/>
          <w:szCs w:val="22"/>
        </w:rPr>
        <w:t>ի հատկացմամբ</w:t>
      </w:r>
      <w:r w:rsidRPr="00B57DAB">
        <w:rPr>
          <w:rFonts w:ascii="GHEA Grapalat" w:hAnsi="GHEA Grapalat" w:cs="Sylfaen"/>
          <w:sz w:val="22"/>
          <w:szCs w:val="22"/>
          <w:lang w:val="ru-RU"/>
        </w:rPr>
        <w:t>, որոնք 2021 թվականի առաջին եռամսյակում չէին նախատեսվել:</w:t>
      </w:r>
    </w:p>
    <w:p w:rsidR="00070B99" w:rsidRPr="00B57DAB" w:rsidRDefault="00772ED1" w:rsidP="00772ED1">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 xml:space="preserve">2022 թվականի </w:t>
      </w:r>
      <w:r w:rsidRPr="00B57DAB">
        <w:rPr>
          <w:rFonts w:ascii="GHEA Grapalat" w:hAnsi="GHEA Grapalat" w:cs="Sylfaen"/>
          <w:sz w:val="22"/>
          <w:szCs w:val="22"/>
        </w:rPr>
        <w:t>առաջին եռամսյակ</w:t>
      </w:r>
      <w:r w:rsidRPr="00B57DAB">
        <w:rPr>
          <w:rFonts w:ascii="GHEA Grapalat" w:hAnsi="GHEA Grapalat" w:cs="GHEA Grapalat"/>
          <w:sz w:val="22"/>
          <w:szCs w:val="22"/>
        </w:rPr>
        <w:t xml:space="preserve">ում </w:t>
      </w:r>
      <w:r w:rsidRPr="00B57DAB">
        <w:rPr>
          <w:rFonts w:ascii="GHEA Grapalat" w:hAnsi="GHEA Grapalat" w:cs="GHEA Grapalat"/>
          <w:i/>
          <w:sz w:val="22"/>
          <w:szCs w:val="22"/>
        </w:rPr>
        <w:t>Ճգնաժամերի հակազդման և արտակարգ իրավիճակների հետևանքների նվազեցման և վերացման</w:t>
      </w:r>
      <w:r w:rsidRPr="00B57DAB">
        <w:rPr>
          <w:rFonts w:ascii="GHEA Grapalat" w:hAnsi="GHEA Grapalat" w:cs="GHEA Grapalat"/>
          <w:sz w:val="22"/>
          <w:szCs w:val="22"/>
        </w:rPr>
        <w:t xml:space="preserve"> ծրագրի շրջանակներում օգտագործվել է 1.6 մլրդ դրամ՝ ապահովելով 84.8</w:t>
      </w:r>
      <w:r w:rsidRPr="00B57DAB">
        <w:rPr>
          <w:rFonts w:ascii="GHEA Grapalat" w:hAnsi="GHEA Grapalat" w:cs="Sylfaen"/>
          <w:sz w:val="22"/>
          <w:szCs w:val="22"/>
        </w:rPr>
        <w:t xml:space="preserve">% կատարողական: Շեղումը հիմնականում պայմանավորված է Կորոնավիրուսի (COVID-19) տնտեսական հետևանքների չեզոքացման 24-րդ </w:t>
      </w:r>
      <w:r w:rsidRPr="00B57DAB">
        <w:rPr>
          <w:rFonts w:ascii="GHEA Grapalat" w:hAnsi="GHEA Grapalat" w:cs="GHEA Grapalat"/>
          <w:sz w:val="22"/>
          <w:szCs w:val="22"/>
        </w:rPr>
        <w:t xml:space="preserve">միջոցառման շրջանակներում աջակցության տրամադրման և Հայաստանի Հանրապետությունում </w:t>
      </w:r>
      <w:r w:rsidRPr="00B57DAB">
        <w:rPr>
          <w:rFonts w:ascii="GHEA Grapalat" w:hAnsi="GHEA Grapalat" w:cs="Sylfaen"/>
          <w:sz w:val="22"/>
          <w:szCs w:val="22"/>
        </w:rPr>
        <w:t xml:space="preserve">աշնանացան ցորենի արտադրության խթանման նպատակով սուբսիդավորման </w:t>
      </w:r>
      <w:r w:rsidRPr="00B57DAB">
        <w:rPr>
          <w:rFonts w:ascii="GHEA Grapalat" w:hAnsi="GHEA Grapalat" w:cs="GHEA Grapalat"/>
          <w:sz w:val="22"/>
          <w:szCs w:val="22"/>
        </w:rPr>
        <w:t>միջոցառումների կատարողականով:</w:t>
      </w:r>
      <w:r w:rsidRPr="00B57DAB">
        <w:rPr>
          <w:rFonts w:ascii="GHEA Grapalat" w:hAnsi="GHEA Grapalat" w:cs="Sylfaen"/>
          <w:sz w:val="22"/>
          <w:szCs w:val="22"/>
        </w:rPr>
        <w:t xml:space="preserve"> Առաջին </w:t>
      </w:r>
      <w:r w:rsidRPr="00B57DAB">
        <w:rPr>
          <w:rFonts w:ascii="GHEA Grapalat" w:hAnsi="GHEA Grapalat" w:cs="GHEA Grapalat"/>
          <w:sz w:val="22"/>
          <w:szCs w:val="22"/>
        </w:rPr>
        <w:t xml:space="preserve">միջոցառման </w:t>
      </w:r>
      <w:r w:rsidR="00070B99" w:rsidRPr="00B57DAB">
        <w:rPr>
          <w:rFonts w:ascii="GHEA Grapalat" w:hAnsi="GHEA Grapalat" w:cs="GHEA Grapalat"/>
          <w:sz w:val="22"/>
          <w:szCs w:val="22"/>
        </w:rPr>
        <w:t xml:space="preserve">շրջանակներում միջոցները նախատեսվել են կոնյակի սպիրտ և շշալցված կոնյակ իրացնող (հարյուր հազար լիտրից ավելի) տնտեսավարող սուբյեկտներին պետական տուրքի գծով կատարված վճարների փոխհատուցման նպատակով: </w:t>
      </w:r>
      <w:r w:rsidR="00070B99" w:rsidRPr="00B57DAB">
        <w:rPr>
          <w:rFonts w:ascii="GHEA Grapalat" w:hAnsi="GHEA Grapalat" w:cs="Sylfaen"/>
          <w:sz w:val="22"/>
          <w:szCs w:val="22"/>
        </w:rPr>
        <w:t>Միջոցառման շրջանակներում</w:t>
      </w:r>
      <w:r w:rsidR="004C57EB" w:rsidRPr="00B57DAB">
        <w:rPr>
          <w:rFonts w:ascii="GHEA Grapalat" w:hAnsi="GHEA Grapalat" w:cs="Sylfaen"/>
          <w:sz w:val="22"/>
          <w:szCs w:val="22"/>
        </w:rPr>
        <w:t xml:space="preserve"> աջակցություն է տրամադրվել</w:t>
      </w:r>
      <w:r w:rsidR="00070B99" w:rsidRPr="00B57DAB">
        <w:rPr>
          <w:rFonts w:ascii="GHEA Grapalat" w:hAnsi="GHEA Grapalat" w:cs="Sylfaen"/>
          <w:sz w:val="22"/>
          <w:szCs w:val="22"/>
        </w:rPr>
        <w:t xml:space="preserve"> </w:t>
      </w:r>
      <w:r w:rsidR="00070B99" w:rsidRPr="00B57DAB">
        <w:rPr>
          <w:rFonts w:ascii="GHEA Grapalat" w:hAnsi="GHEA Grapalat" w:cs="Arial"/>
          <w:sz w:val="22"/>
          <w:szCs w:val="22"/>
        </w:rPr>
        <w:t>մեծածավալ իրացում ունեցող 5 տնտեսավարողներ</w:t>
      </w:r>
      <w:r w:rsidR="00070B99" w:rsidRPr="00B57DAB">
        <w:rPr>
          <w:rFonts w:ascii="GHEA Grapalat" w:hAnsi="GHEA Grapalat" w:cs="Sylfaen"/>
          <w:sz w:val="22"/>
          <w:szCs w:val="22"/>
        </w:rPr>
        <w:t>ի</w:t>
      </w:r>
      <w:r w:rsidR="004C57EB" w:rsidRPr="00B57DAB">
        <w:rPr>
          <w:rFonts w:ascii="GHEA Grapalat" w:hAnsi="GHEA Grapalat" w:cs="Sylfaen"/>
          <w:sz w:val="22"/>
          <w:szCs w:val="22"/>
        </w:rPr>
        <w:t>՝ նրանց</w:t>
      </w:r>
      <w:r w:rsidR="00070B99" w:rsidRPr="00B57DAB">
        <w:rPr>
          <w:rFonts w:ascii="GHEA Grapalat" w:hAnsi="GHEA Grapalat" w:cs="Sylfaen"/>
          <w:sz w:val="22"/>
          <w:szCs w:val="22"/>
        </w:rPr>
        <w:t xml:space="preserve"> կողմից </w:t>
      </w:r>
      <w:r w:rsidR="004C57EB" w:rsidRPr="00B57DAB">
        <w:rPr>
          <w:rFonts w:ascii="GHEA Grapalat" w:hAnsi="GHEA Grapalat" w:cs="Sylfaen"/>
          <w:sz w:val="22"/>
          <w:szCs w:val="22"/>
        </w:rPr>
        <w:t xml:space="preserve">իրացված 2451 հազար լիտր կոնյակի սպիրտի համար՝ </w:t>
      </w:r>
      <w:r w:rsidR="00070B99" w:rsidRPr="00B57DAB">
        <w:rPr>
          <w:rFonts w:ascii="GHEA Grapalat" w:hAnsi="GHEA Grapalat" w:cs="Sylfaen"/>
          <w:sz w:val="22"/>
          <w:szCs w:val="22"/>
        </w:rPr>
        <w:lastRenderedPageBreak/>
        <w:t xml:space="preserve">նախատեսված 3694 հազար լիտրի </w:t>
      </w:r>
      <w:r w:rsidR="004C57EB" w:rsidRPr="00B57DAB">
        <w:rPr>
          <w:rFonts w:ascii="GHEA Grapalat" w:hAnsi="GHEA Grapalat" w:cs="Sylfaen"/>
          <w:sz w:val="22"/>
          <w:szCs w:val="22"/>
        </w:rPr>
        <w:t>փոխարեն</w:t>
      </w:r>
      <w:r w:rsidR="00070B99" w:rsidRPr="00B57DAB">
        <w:rPr>
          <w:rFonts w:ascii="GHEA Grapalat" w:hAnsi="GHEA Grapalat" w:cs="Sylfaen"/>
          <w:sz w:val="22"/>
          <w:szCs w:val="22"/>
        </w:rPr>
        <w:t>:</w:t>
      </w:r>
      <w:r w:rsidR="004C57EB" w:rsidRPr="00B57DAB">
        <w:rPr>
          <w:rFonts w:ascii="GHEA Grapalat" w:hAnsi="GHEA Grapalat" w:cs="Sylfaen"/>
          <w:sz w:val="22"/>
          <w:szCs w:val="22"/>
        </w:rPr>
        <w:t xml:space="preserve"> </w:t>
      </w:r>
      <w:r w:rsidR="004C57EB" w:rsidRPr="00B57DAB">
        <w:rPr>
          <w:rFonts w:ascii="GHEA Grapalat" w:hAnsi="GHEA Grapalat" w:cs="GHEA Grapalat"/>
          <w:sz w:val="22"/>
          <w:szCs w:val="22"/>
        </w:rPr>
        <w:t>Ծախսերը կազմել են 229.8 մլն դրամ կամ ծրագրային ցուցանիշի 62.2</w:t>
      </w:r>
      <w:r w:rsidR="004C57EB" w:rsidRPr="00B57DAB">
        <w:rPr>
          <w:rFonts w:ascii="GHEA Grapalat" w:hAnsi="GHEA Grapalat" w:cs="Sylfaen"/>
          <w:sz w:val="22"/>
          <w:szCs w:val="22"/>
        </w:rPr>
        <w:t>%-ը:</w:t>
      </w:r>
      <w:r w:rsidR="00070B99" w:rsidRPr="00B57DAB">
        <w:rPr>
          <w:rFonts w:ascii="GHEA Grapalat" w:hAnsi="GHEA Grapalat" w:cs="GHEA Grapalat"/>
          <w:sz w:val="22"/>
          <w:szCs w:val="22"/>
        </w:rPr>
        <w:t xml:space="preserve"> </w:t>
      </w:r>
      <w:r w:rsidR="004C57EB" w:rsidRPr="00B57DAB">
        <w:rPr>
          <w:rFonts w:ascii="GHEA Grapalat" w:hAnsi="GHEA Grapalat" w:cs="GHEA Grapalat"/>
          <w:sz w:val="22"/>
          <w:szCs w:val="22"/>
        </w:rPr>
        <w:t>Ց</w:t>
      </w:r>
      <w:r w:rsidR="00070B99" w:rsidRPr="00B57DAB">
        <w:rPr>
          <w:rFonts w:ascii="GHEA Grapalat" w:hAnsi="GHEA Grapalat" w:cs="GHEA Grapalat"/>
          <w:sz w:val="22"/>
          <w:szCs w:val="22"/>
        </w:rPr>
        <w:t>ածր ցուցանիշ</w:t>
      </w:r>
      <w:r w:rsidR="004C57EB" w:rsidRPr="00B57DAB">
        <w:rPr>
          <w:rFonts w:ascii="GHEA Grapalat" w:hAnsi="GHEA Grapalat" w:cs="GHEA Grapalat"/>
          <w:sz w:val="22"/>
          <w:szCs w:val="22"/>
        </w:rPr>
        <w:t>ներ</w:t>
      </w:r>
      <w:r w:rsidR="00070B99" w:rsidRPr="00B57DAB">
        <w:rPr>
          <w:rFonts w:ascii="GHEA Grapalat" w:hAnsi="GHEA Grapalat" w:cs="GHEA Grapalat"/>
          <w:sz w:val="22"/>
          <w:szCs w:val="22"/>
        </w:rPr>
        <w:t xml:space="preserve">ը պայմանավորված </w:t>
      </w:r>
      <w:r w:rsidR="004C57EB" w:rsidRPr="00B57DAB">
        <w:rPr>
          <w:rFonts w:ascii="GHEA Grapalat" w:hAnsi="GHEA Grapalat" w:cs="GHEA Grapalat"/>
          <w:sz w:val="22"/>
          <w:szCs w:val="22"/>
        </w:rPr>
        <w:t>են</w:t>
      </w:r>
      <w:r w:rsidR="00070B99" w:rsidRPr="00B57DAB">
        <w:rPr>
          <w:rFonts w:ascii="GHEA Grapalat" w:hAnsi="GHEA Grapalat" w:cs="GHEA Grapalat"/>
          <w:sz w:val="22"/>
          <w:szCs w:val="22"/>
        </w:rPr>
        <w:t xml:space="preserve"> Վերին Լարսի անցակետի տևական </w:t>
      </w:r>
      <w:r w:rsidR="00070B99" w:rsidRPr="00B57DAB">
        <w:rPr>
          <w:rFonts w:ascii="GHEA Grapalat" w:hAnsi="GHEA Grapalat" w:cs="Sylfaen"/>
          <w:sz w:val="22"/>
          <w:szCs w:val="22"/>
        </w:rPr>
        <w:t>ժամանակով փակ լինելու</w:t>
      </w:r>
      <w:r w:rsidR="004C57EB" w:rsidRPr="00B57DAB">
        <w:rPr>
          <w:rFonts w:ascii="GHEA Grapalat" w:hAnsi="GHEA Grapalat" w:cs="Sylfaen"/>
          <w:sz w:val="22"/>
          <w:szCs w:val="22"/>
        </w:rPr>
        <w:t xml:space="preserve"> հանգամանքով, որի</w:t>
      </w:r>
      <w:r w:rsidR="00070B99" w:rsidRPr="00B57DAB">
        <w:rPr>
          <w:rFonts w:ascii="GHEA Grapalat" w:hAnsi="GHEA Grapalat" w:cs="Sylfaen"/>
          <w:sz w:val="22"/>
          <w:szCs w:val="22"/>
        </w:rPr>
        <w:t xml:space="preserve"> հետևանքով իրացվել է նախատեսվածից </w:t>
      </w:r>
      <w:r w:rsidR="004C57EB" w:rsidRPr="00B57DAB">
        <w:rPr>
          <w:rFonts w:ascii="GHEA Grapalat" w:hAnsi="GHEA Grapalat" w:cs="Sylfaen"/>
          <w:sz w:val="22"/>
          <w:szCs w:val="22"/>
        </w:rPr>
        <w:t>քիչ քանակությամբ կոնյակի սպիրտ:</w:t>
      </w:r>
    </w:p>
    <w:p w:rsidR="00772ED1" w:rsidRPr="00B57DAB" w:rsidRDefault="00772ED1" w:rsidP="00772ED1">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GHEA Grapalat"/>
          <w:sz w:val="22"/>
          <w:szCs w:val="22"/>
        </w:rPr>
        <w:t xml:space="preserve">Հայաստանի Հանրապետությունում </w:t>
      </w:r>
      <w:r w:rsidRPr="00B57DAB">
        <w:rPr>
          <w:rFonts w:ascii="GHEA Grapalat" w:hAnsi="GHEA Grapalat" w:cs="Sylfaen"/>
          <w:sz w:val="22"/>
          <w:szCs w:val="22"/>
        </w:rPr>
        <w:t xml:space="preserve">աշնանացան ցորենի արտադրության </w:t>
      </w:r>
      <w:r w:rsidR="00F105BC" w:rsidRPr="00B57DAB">
        <w:rPr>
          <w:rFonts w:ascii="GHEA Grapalat" w:hAnsi="GHEA Grapalat" w:cs="Sylfaen"/>
          <w:sz w:val="22"/>
          <w:szCs w:val="22"/>
        </w:rPr>
        <w:t>խթանման նպատակով սուբսիդավորման մ</w:t>
      </w:r>
      <w:r w:rsidR="00F105BC" w:rsidRPr="00B57DAB">
        <w:rPr>
          <w:rFonts w:ascii="GHEA Grapalat" w:hAnsi="GHEA Grapalat" w:cs="GHEA Grapalat"/>
          <w:sz w:val="22"/>
          <w:szCs w:val="22"/>
        </w:rPr>
        <w:t>իջոցառման</w:t>
      </w:r>
      <w:r w:rsidR="00F105BC" w:rsidRPr="00B57DAB">
        <w:rPr>
          <w:rFonts w:ascii="GHEA Grapalat" w:hAnsi="GHEA Grapalat" w:cs="Sylfaen"/>
          <w:sz w:val="22"/>
          <w:szCs w:val="22"/>
        </w:rPr>
        <w:t xml:space="preserve"> շրջանակներում իրականացվում է կորոնավիրուսի տնտեսական հետևանքների մեղմման նպատակով աշնանացան ցորենի սերմերի գնի մասնակի </w:t>
      </w:r>
      <w:r w:rsidR="00F105BC" w:rsidRPr="00B57DAB">
        <w:rPr>
          <w:rFonts w:ascii="GHEA Grapalat" w:hAnsi="GHEA Grapalat" w:cs="GHEA Grapalat"/>
          <w:sz w:val="22"/>
          <w:szCs w:val="22"/>
        </w:rPr>
        <w:t>սուբսիդավորում: Հաշվետու ժամանակահատվածում</w:t>
      </w:r>
      <w:r w:rsidR="00D01C77" w:rsidRPr="00B57DAB">
        <w:rPr>
          <w:rFonts w:ascii="GHEA Grapalat" w:hAnsi="GHEA Grapalat" w:cs="GHEA Grapalat"/>
          <w:sz w:val="22"/>
          <w:szCs w:val="22"/>
        </w:rPr>
        <w:t xml:space="preserve"> սուբսիդիաներ են տրամադրվել</w:t>
      </w:r>
      <w:r w:rsidR="00BE1242" w:rsidRPr="00B57DAB">
        <w:rPr>
          <w:rFonts w:ascii="GHEA Grapalat" w:hAnsi="GHEA Grapalat" w:cs="GHEA Grapalat"/>
          <w:sz w:val="22"/>
          <w:szCs w:val="22"/>
        </w:rPr>
        <w:t xml:space="preserve"> նախորդ տարի</w:t>
      </w:r>
      <w:r w:rsidR="00F105BC" w:rsidRPr="00B57DAB">
        <w:rPr>
          <w:rFonts w:ascii="GHEA Grapalat" w:hAnsi="GHEA Grapalat" w:cs="GHEA Grapalat"/>
          <w:sz w:val="22"/>
          <w:szCs w:val="22"/>
        </w:rPr>
        <w:t xml:space="preserve"> </w:t>
      </w:r>
      <w:r w:rsidR="00D01C77" w:rsidRPr="00B57DAB">
        <w:rPr>
          <w:rFonts w:ascii="GHEA Grapalat" w:hAnsi="GHEA Grapalat" w:cs="GHEA Grapalat"/>
          <w:sz w:val="22"/>
          <w:szCs w:val="22"/>
        </w:rPr>
        <w:t xml:space="preserve">ձեռք բերված </w:t>
      </w:r>
      <w:r w:rsidR="00F105BC" w:rsidRPr="00B57DAB">
        <w:rPr>
          <w:rFonts w:ascii="GHEA Grapalat" w:hAnsi="GHEA Grapalat" w:cs="GHEA Grapalat"/>
          <w:sz w:val="22"/>
          <w:szCs w:val="22"/>
        </w:rPr>
        <w:t>1462.13 տոննա աշնանացան ցորենի սերմնանյութ</w:t>
      </w:r>
      <w:r w:rsidR="00D01C77" w:rsidRPr="00B57DAB">
        <w:rPr>
          <w:rFonts w:ascii="GHEA Grapalat" w:hAnsi="GHEA Grapalat" w:cs="GHEA Grapalat"/>
          <w:sz w:val="22"/>
          <w:szCs w:val="22"/>
        </w:rPr>
        <w:t>ի համար՝ նախատեսված 2760 տոննայի դիմաց</w:t>
      </w:r>
      <w:r w:rsidR="00F105BC" w:rsidRPr="00B57DAB">
        <w:rPr>
          <w:rFonts w:ascii="GHEA Grapalat" w:hAnsi="GHEA Grapalat" w:cs="GHEA Grapalat"/>
          <w:sz w:val="22"/>
          <w:szCs w:val="22"/>
        </w:rPr>
        <w:t>:</w:t>
      </w:r>
      <w:r w:rsidR="003E5CA7" w:rsidRPr="00B57DAB">
        <w:rPr>
          <w:rFonts w:ascii="GHEA Grapalat" w:hAnsi="GHEA Grapalat" w:cs="GHEA Grapalat"/>
          <w:sz w:val="22"/>
          <w:szCs w:val="22"/>
        </w:rPr>
        <w:t xml:space="preserve"> Միջոցառման </w:t>
      </w:r>
      <w:r w:rsidRPr="00B57DAB">
        <w:rPr>
          <w:rFonts w:ascii="GHEA Grapalat" w:hAnsi="GHEA Grapalat" w:cs="GHEA Grapalat"/>
          <w:sz w:val="22"/>
          <w:szCs w:val="22"/>
        </w:rPr>
        <w:t>ծախսերը կազմել են շուրջ 96.7 մլն դրամ կամ նախատեսվածի 45.3</w:t>
      </w:r>
      <w:r w:rsidRPr="00B57DAB">
        <w:rPr>
          <w:rFonts w:ascii="GHEA Grapalat" w:hAnsi="GHEA Grapalat" w:cs="Sylfaen"/>
          <w:sz w:val="22"/>
          <w:szCs w:val="22"/>
        </w:rPr>
        <w:t xml:space="preserve">%-ը: </w:t>
      </w:r>
      <w:r w:rsidR="003E5CA7" w:rsidRPr="00B57DAB">
        <w:rPr>
          <w:rFonts w:ascii="GHEA Grapalat" w:hAnsi="GHEA Grapalat" w:cs="Sylfaen"/>
          <w:sz w:val="22"/>
          <w:szCs w:val="22"/>
        </w:rPr>
        <w:t>Ցածր կատարողականը</w:t>
      </w:r>
      <w:r w:rsidRPr="00B57DAB">
        <w:rPr>
          <w:rFonts w:ascii="GHEA Grapalat" w:hAnsi="GHEA Grapalat" w:cs="Sylfaen"/>
          <w:sz w:val="22"/>
          <w:szCs w:val="22"/>
        </w:rPr>
        <w:t xml:space="preserve"> պայմանավորված է նրանով, որ ՀՀ կ</w:t>
      </w:r>
      <w:r w:rsidR="003E5CA7" w:rsidRPr="00B57DAB">
        <w:rPr>
          <w:rFonts w:ascii="GHEA Grapalat" w:hAnsi="GHEA Grapalat" w:cs="Sylfaen"/>
          <w:sz w:val="22"/>
          <w:szCs w:val="22"/>
        </w:rPr>
        <w:t>առավարության թիվ 351-Ն որոշմամբ, որն ուժի մեջ է մտել մարտի 25-ին, միջոցառմանը</w:t>
      </w:r>
      <w:r w:rsidRPr="00B57DAB">
        <w:rPr>
          <w:rFonts w:ascii="GHEA Grapalat" w:hAnsi="GHEA Grapalat" w:cs="Sylfaen"/>
          <w:sz w:val="22"/>
          <w:szCs w:val="22"/>
        </w:rPr>
        <w:t xml:space="preserve"> հատկացվել են շուրջ 213.3 մլն դրամ միջոցներ, սակայն ժամանակի սղության հետևանքով վճարումները կատարվել են մասնակի</w:t>
      </w:r>
      <w:r w:rsidR="003E5CA7" w:rsidRPr="00B57DAB">
        <w:rPr>
          <w:rFonts w:ascii="GHEA Grapalat" w:hAnsi="GHEA Grapalat" w:cs="Sylfaen"/>
          <w:sz w:val="22"/>
          <w:szCs w:val="22"/>
        </w:rPr>
        <w:t>որեն</w:t>
      </w:r>
      <w:r w:rsidRPr="00B57DAB">
        <w:rPr>
          <w:rFonts w:ascii="GHEA Grapalat" w:hAnsi="GHEA Grapalat" w:cs="Sylfaen"/>
          <w:sz w:val="22"/>
          <w:szCs w:val="22"/>
        </w:rPr>
        <w:t>:</w:t>
      </w:r>
      <w:r w:rsidRPr="00B57DAB">
        <w:rPr>
          <w:rFonts w:ascii="GHEA Grapalat" w:hAnsi="GHEA Grapalat" w:cs="GHEA Grapalat"/>
          <w:sz w:val="22"/>
          <w:szCs w:val="22"/>
        </w:rPr>
        <w:t xml:space="preserve"> </w:t>
      </w:r>
    </w:p>
    <w:p w:rsidR="00772ED1" w:rsidRPr="00B57DAB" w:rsidRDefault="00772ED1" w:rsidP="00772ED1">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Sylfaen"/>
          <w:sz w:val="22"/>
          <w:szCs w:val="22"/>
          <w:lang w:val="ru-RU"/>
        </w:rPr>
        <w:t xml:space="preserve">Հաշվետու ժամանակահատվածում </w:t>
      </w:r>
      <w:r w:rsidR="003E5CA7" w:rsidRPr="00B57DAB">
        <w:rPr>
          <w:rFonts w:ascii="GHEA Grapalat" w:hAnsi="GHEA Grapalat" w:cs="GHEA Grapalat"/>
          <w:sz w:val="22"/>
          <w:szCs w:val="22"/>
        </w:rPr>
        <w:t xml:space="preserve">Կորոնավիրուսի (COVID-19) տնտեսական հետևանքների չեզոքացման հետևանքով տրամադրված վարկերի տոկոսադրույքների սուբսիդավորման Միջոցառման շրջանակներում հաշվետու ժամանակահատվածում աջակցություն է ստացել 1053 տնտեսավարող՝ կանխատեսված 1052-ի փոխարեն: Ծախսերը կազմել են </w:t>
      </w:r>
      <w:r w:rsidRPr="00B57DAB">
        <w:rPr>
          <w:rFonts w:ascii="GHEA Grapalat" w:hAnsi="GHEA Grapalat" w:cs="Sylfaen"/>
          <w:sz w:val="22"/>
          <w:szCs w:val="22"/>
        </w:rPr>
        <w:t>1.3 մլրդ</w:t>
      </w:r>
      <w:r w:rsidR="003E5CA7" w:rsidRPr="00B57DAB">
        <w:rPr>
          <w:rFonts w:ascii="GHEA Grapalat" w:hAnsi="GHEA Grapalat" w:cs="Sylfaen"/>
          <w:sz w:val="22"/>
          <w:szCs w:val="22"/>
          <w:lang w:val="ru-RU"/>
        </w:rPr>
        <w:t xml:space="preserve"> դրամ</w:t>
      </w:r>
      <w:r w:rsidRPr="00B57DAB">
        <w:rPr>
          <w:rFonts w:ascii="GHEA Grapalat" w:hAnsi="GHEA Grapalat" w:cs="GHEA Grapalat"/>
          <w:sz w:val="22"/>
          <w:szCs w:val="22"/>
        </w:rPr>
        <w:t xml:space="preserve">՝ </w:t>
      </w:r>
      <w:r w:rsidRPr="00B57DAB">
        <w:rPr>
          <w:rFonts w:ascii="GHEA Grapalat" w:hAnsi="GHEA Grapalat" w:cs="Sylfaen"/>
          <w:sz w:val="22"/>
          <w:szCs w:val="22"/>
        </w:rPr>
        <w:t>ապահովելով 97.9% կատարողական:</w:t>
      </w:r>
      <w:r w:rsidRPr="00B57DAB">
        <w:rPr>
          <w:rFonts w:ascii="GHEA Grapalat" w:hAnsi="GHEA Grapalat" w:cs="GHEA Grapalat"/>
          <w:sz w:val="22"/>
          <w:szCs w:val="22"/>
        </w:rPr>
        <w:t xml:space="preserve"> Շեղումը պայմանավորված է հունվար ամսին միջոցառման պ</w:t>
      </w:r>
      <w:r w:rsidR="003E5CA7" w:rsidRPr="00B57DAB">
        <w:rPr>
          <w:rFonts w:ascii="GHEA Grapalat" w:hAnsi="GHEA Grapalat" w:cs="GHEA Grapalat"/>
          <w:sz w:val="22"/>
          <w:szCs w:val="22"/>
        </w:rPr>
        <w:t>այմանների փոփոխություններով, որոնց</w:t>
      </w:r>
      <w:r w:rsidRPr="00B57DAB">
        <w:rPr>
          <w:rFonts w:ascii="GHEA Grapalat" w:hAnsi="GHEA Grapalat" w:cs="GHEA Grapalat"/>
          <w:sz w:val="22"/>
          <w:szCs w:val="22"/>
        </w:rPr>
        <w:t xml:space="preserve"> արդյունքում միջոցա</w:t>
      </w:r>
      <w:r w:rsidR="00320915" w:rsidRPr="00B57DAB">
        <w:rPr>
          <w:rFonts w:ascii="GHEA Grapalat" w:hAnsi="GHEA Grapalat" w:cs="GHEA Grapalat"/>
          <w:sz w:val="22"/>
          <w:szCs w:val="22"/>
        </w:rPr>
        <w:t>ռմանը միացել են նախատեսվածից պակաս</w:t>
      </w:r>
      <w:r w:rsidRPr="00B57DAB">
        <w:rPr>
          <w:rFonts w:ascii="GHEA Grapalat" w:hAnsi="GHEA Grapalat" w:cs="GHEA Grapalat"/>
          <w:sz w:val="22"/>
          <w:szCs w:val="22"/>
        </w:rPr>
        <w:t xml:space="preserve"> թվով ֆինանսական կառույցներ, իսկ վարկերի տրամադրման գործընթացը սկսվել է մարտ ամսից: </w:t>
      </w:r>
    </w:p>
    <w:p w:rsidR="00772ED1" w:rsidRPr="00B57DAB" w:rsidRDefault="00772ED1" w:rsidP="00772ED1">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Նախորդ տարվա առաջին եռամսյակի համ</w:t>
      </w:r>
      <w:r w:rsidR="00AA0B61" w:rsidRPr="00B57DAB">
        <w:rPr>
          <w:rFonts w:ascii="GHEA Grapalat" w:hAnsi="GHEA Grapalat" w:cs="GHEA Grapalat"/>
          <w:sz w:val="22"/>
          <w:szCs w:val="22"/>
        </w:rPr>
        <w:t>եմատ Ճգնաժամերի հակազդման և արտակարգ իրավիճակների հետևանքների նվազեցման և վերացման</w:t>
      </w:r>
      <w:r w:rsidRPr="00B57DAB">
        <w:rPr>
          <w:rFonts w:ascii="GHEA Grapalat" w:hAnsi="GHEA Grapalat" w:cs="GHEA Grapalat"/>
          <w:sz w:val="22"/>
          <w:szCs w:val="22"/>
        </w:rPr>
        <w:t xml:space="preserve"> ծրագրի ծախսերը նվազել են 31.8</w:t>
      </w:r>
      <w:r w:rsidRPr="00B57DAB">
        <w:rPr>
          <w:rFonts w:ascii="GHEA Grapalat" w:hAnsi="GHEA Grapalat" w:cs="Sylfaen"/>
          <w:sz w:val="22"/>
          <w:szCs w:val="22"/>
        </w:rPr>
        <w:t>%</w:t>
      </w:r>
      <w:r w:rsidRPr="00B57DAB">
        <w:rPr>
          <w:rFonts w:ascii="GHEA Grapalat" w:hAnsi="GHEA Grapalat" w:cs="Sylfaen"/>
          <w:sz w:val="22"/>
          <w:szCs w:val="22"/>
        </w:rPr>
        <w:noBreakHyphen/>
        <w:t xml:space="preserve">ով </w:t>
      </w:r>
      <w:r w:rsidRPr="00B57DAB">
        <w:rPr>
          <w:rFonts w:ascii="GHEA Grapalat" w:hAnsi="GHEA Grapalat" w:cs="GHEA Grapalat"/>
          <w:sz w:val="22"/>
          <w:szCs w:val="22"/>
        </w:rPr>
        <w:t xml:space="preserve">կամ 761.5 մլն դրամով, որը հիմնականում պայմանավորված է 2021 թվականի առաջին եռամսյակում Կորոնավիրուսի (COVID-19) տնտեսական հետևանքների չեզոքացման 23-րդ միջոցառման շրջանակներում </w:t>
      </w:r>
      <w:r w:rsidR="00AA0B61" w:rsidRPr="00B57DAB">
        <w:rPr>
          <w:rFonts w:ascii="GHEA Grapalat" w:hAnsi="GHEA Grapalat" w:cs="GHEA Grapalat"/>
          <w:sz w:val="22"/>
          <w:szCs w:val="22"/>
        </w:rPr>
        <w:t>աջակցության տրամադրման</w:t>
      </w:r>
      <w:r w:rsidRPr="00B57DAB">
        <w:rPr>
          <w:rFonts w:ascii="GHEA Grapalat" w:hAnsi="GHEA Grapalat" w:cs="GHEA Grapalat"/>
          <w:sz w:val="22"/>
          <w:szCs w:val="22"/>
        </w:rPr>
        <w:t xml:space="preserve"> </w:t>
      </w:r>
      <w:r w:rsidR="00AA0B61" w:rsidRPr="00B57DAB">
        <w:rPr>
          <w:rFonts w:ascii="GHEA Grapalat" w:hAnsi="GHEA Grapalat" w:cs="GHEA Grapalat"/>
          <w:sz w:val="22"/>
          <w:szCs w:val="22"/>
        </w:rPr>
        <w:t>և Կորոնավիրուսով (COVID-19) պայմանավորված մեկուսացված անձանց կեցության ապահովման</w:t>
      </w:r>
      <w:r w:rsidRPr="00B57DAB">
        <w:rPr>
          <w:rFonts w:ascii="GHEA Grapalat" w:hAnsi="GHEA Grapalat" w:cs="GHEA Grapalat"/>
          <w:sz w:val="22"/>
          <w:szCs w:val="22"/>
        </w:rPr>
        <w:t xml:space="preserve"> ծախսերով: </w:t>
      </w:r>
    </w:p>
    <w:p w:rsidR="00772ED1" w:rsidRPr="00B57DAB" w:rsidRDefault="00772ED1" w:rsidP="00772ED1">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 xml:space="preserve">ՀՀ էկոնոմիկայի նախարարության կողմից իրականացված այլ ծրագրերից </w:t>
      </w:r>
      <w:r w:rsidRPr="00B57DAB">
        <w:rPr>
          <w:rFonts w:ascii="GHEA Grapalat" w:hAnsi="GHEA Grapalat" w:cs="GHEA Grapalat"/>
          <w:i/>
          <w:sz w:val="22"/>
          <w:szCs w:val="22"/>
        </w:rPr>
        <w:t>Էկոնոմիկայի ոլորտում պետական քաղաքականության մշակման, ծրագրերի համակարգման և մոնիտորինգի</w:t>
      </w:r>
      <w:r w:rsidRPr="00B57DAB">
        <w:rPr>
          <w:rFonts w:ascii="GHEA Grapalat" w:hAnsi="GHEA Grapalat" w:cs="GHEA Grapalat"/>
          <w:sz w:val="22"/>
          <w:szCs w:val="22"/>
        </w:rPr>
        <w:t xml:space="preserve"> ծրագրին ուղղվել</w:t>
      </w:r>
      <w:r w:rsidRPr="00B57DAB">
        <w:rPr>
          <w:rFonts w:ascii="GHEA Grapalat" w:hAnsi="GHEA Grapalat" w:cs="Sylfaen"/>
          <w:sz w:val="22"/>
          <w:szCs w:val="22"/>
        </w:rPr>
        <w:t xml:space="preserve"> է շուրջ 386.1 մլն դրամ՝ </w:t>
      </w:r>
      <w:r w:rsidRPr="00B57DAB">
        <w:rPr>
          <w:rFonts w:ascii="GHEA Grapalat" w:hAnsi="GHEA Grapalat" w:cs="GHEA Grapalat"/>
          <w:sz w:val="22"/>
          <w:szCs w:val="22"/>
        </w:rPr>
        <w:t xml:space="preserve">կազմելով ծրագրված ցուցանիշի </w:t>
      </w:r>
      <w:r w:rsidRPr="00B57DAB">
        <w:rPr>
          <w:rFonts w:ascii="GHEA Grapalat" w:hAnsi="GHEA Grapalat" w:cs="Sylfaen"/>
          <w:sz w:val="22"/>
          <w:szCs w:val="22"/>
        </w:rPr>
        <w:t>80.7%</w:t>
      </w:r>
      <w:r w:rsidRPr="00B57DAB">
        <w:rPr>
          <w:rFonts w:ascii="GHEA Grapalat" w:hAnsi="GHEA Grapalat" w:cs="GHEA Grapalat"/>
          <w:sz w:val="22"/>
          <w:szCs w:val="22"/>
        </w:rPr>
        <w:t xml:space="preserve">-ը: Շեղումը հիմնականում պայմանավորված է էկոնոմիկայի ոլորտում պետական քաղաքականության մշակման, ծրագրերի համակարգման և մոնիտորինգի միջոցառման կատարողականով: Նշված միջոցառման շրջանակներում օգտագործվել է նախատեսված միջոցների 82.5%-ը՝ շուրջ 341.6 մլն դրամ, որը </w:t>
      </w:r>
      <w:r w:rsidRPr="00B57DAB">
        <w:rPr>
          <w:rFonts w:ascii="GHEA Grapalat" w:hAnsi="GHEA Grapalat" w:cs="GHEA Grapalat"/>
          <w:sz w:val="22"/>
          <w:szCs w:val="22"/>
        </w:rPr>
        <w:lastRenderedPageBreak/>
        <w:t>հիմնականում պայմանավորված է կառուցվածքային փոփոխությունների արդյունքում թափուր հաստիքների առկայության հետևանքով աշխատանքի վարձատրության ծախսերի տնտեսումներով:</w:t>
      </w:r>
    </w:p>
    <w:p w:rsidR="00772ED1" w:rsidRPr="00B57DAB" w:rsidRDefault="00772ED1" w:rsidP="00772ED1">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Էկոնոմիկայի ոլորտում պետական քաղաքականության մշակման, ծրագրերի համակարգման և մոնիտորինգի</w:t>
      </w:r>
      <w:r w:rsidRPr="00B57DAB">
        <w:rPr>
          <w:rFonts w:ascii="GHEA Grapalat" w:hAnsi="GHEA Grapalat" w:cs="Sylfaen"/>
          <w:sz w:val="22"/>
          <w:szCs w:val="22"/>
        </w:rPr>
        <w:t xml:space="preserve"> ծրագրի շրջանակներում հատկացված միջոցներն ուղղվել են թվով յոթ միջոցառումների իրականացմանը: </w:t>
      </w:r>
      <w:r w:rsidRPr="00B57DAB">
        <w:rPr>
          <w:rFonts w:ascii="GHEA Grapalat" w:hAnsi="GHEA Grapalat" w:cs="GHEA Grapalat"/>
          <w:sz w:val="22"/>
          <w:szCs w:val="22"/>
        </w:rPr>
        <w:t>Հատկացված միջոցներից շուրջ 24.6 մլն դրամն օգտագործվել է Առևտրի համաշխարհային կազմակերպությունում (ԱՀԿ) և oտարերկրյա պետություններում ՀՀ առևտրային ներկայացուցիչների նպատակների և խնդիրների իրագործման միջոցառման համար</w:t>
      </w:r>
      <w:r w:rsidR="00012DBA" w:rsidRPr="00B57DAB">
        <w:rPr>
          <w:rFonts w:ascii="GHEA Grapalat" w:hAnsi="GHEA Grapalat" w:cs="GHEA Grapalat"/>
          <w:sz w:val="22"/>
          <w:szCs w:val="22"/>
        </w:rPr>
        <w:t>, որը կազմել է ծրագրված ցուցանիշի</w:t>
      </w:r>
      <w:r w:rsidRPr="00B57DAB">
        <w:rPr>
          <w:rFonts w:ascii="GHEA Grapalat" w:hAnsi="GHEA Grapalat" w:cs="GHEA Grapalat"/>
          <w:sz w:val="22"/>
          <w:szCs w:val="22"/>
        </w:rPr>
        <w:t xml:space="preserve"> 98.4%-ը: Շեղումը պայմանավորված է արտարժույթի կանխատեսված և փաստացի փոխարժեքների տարբերությամբ:</w:t>
      </w:r>
    </w:p>
    <w:p w:rsidR="00772ED1" w:rsidRPr="00B57DAB" w:rsidRDefault="00772ED1" w:rsidP="00772ED1">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 xml:space="preserve">Նախորդ տարվա նույն ժամանակահատվածի համեմատ Էկոնոմիկայի ոլորտում պետական քաղաքականության մշակման, ծրագրերի համակարգման և մոնիտորինգի ծրագրի գծով ծախսերն աճել են 2.2%-ով կամ 8.2 մլն դրամով, որը հիմնականում պայմանավորված է հաշվետու եռամսյակում </w:t>
      </w:r>
      <w:r w:rsidRPr="00B57DAB">
        <w:rPr>
          <w:rFonts w:ascii="GHEA Grapalat" w:hAnsi="GHEA Grapalat" w:cs="Sylfaen"/>
          <w:sz w:val="22"/>
          <w:szCs w:val="22"/>
        </w:rPr>
        <w:t xml:space="preserve">ԱՀԿ-ում </w:t>
      </w:r>
      <w:r w:rsidRPr="00B57DAB">
        <w:rPr>
          <w:rFonts w:ascii="GHEA Grapalat" w:hAnsi="GHEA Grapalat" w:cs="GHEA Grapalat"/>
          <w:sz w:val="22"/>
          <w:szCs w:val="22"/>
        </w:rPr>
        <w:t xml:space="preserve">և oտարերկրյա պետություններում ՀՀ առևտրային ներկայացուցիչների նպատակների և </w:t>
      </w:r>
      <w:r w:rsidRPr="00B57DAB">
        <w:rPr>
          <w:rFonts w:ascii="GHEA Grapalat" w:hAnsi="GHEA Grapalat"/>
          <w:sz w:val="22"/>
          <w:szCs w:val="22"/>
        </w:rPr>
        <w:t>խնդիրների</w:t>
      </w:r>
      <w:r w:rsidRPr="00B57DAB">
        <w:rPr>
          <w:rFonts w:ascii="GHEA Grapalat" w:hAnsi="GHEA Grapalat" w:cs="GHEA Grapalat"/>
          <w:sz w:val="22"/>
          <w:szCs w:val="22"/>
        </w:rPr>
        <w:t xml:space="preserve"> իրագործման միջոցառմանն ուղղված ծախսերով, որոնց գծով 2021 թվականի առաջին եռամսյակում </w:t>
      </w:r>
      <w:r w:rsidR="00012DBA" w:rsidRPr="00B57DAB">
        <w:rPr>
          <w:rFonts w:ascii="GHEA Grapalat" w:hAnsi="GHEA Grapalat" w:cs="GHEA Grapalat"/>
          <w:sz w:val="22"/>
          <w:szCs w:val="22"/>
        </w:rPr>
        <w:t xml:space="preserve">նախատեսված </w:t>
      </w:r>
      <w:r w:rsidRPr="00B57DAB">
        <w:rPr>
          <w:rFonts w:ascii="GHEA Grapalat" w:hAnsi="GHEA Grapalat" w:cs="GHEA Grapalat"/>
          <w:sz w:val="22"/>
          <w:szCs w:val="22"/>
        </w:rPr>
        <w:t>միջոցներ</w:t>
      </w:r>
      <w:r w:rsidR="00012DBA" w:rsidRPr="00B57DAB">
        <w:rPr>
          <w:rFonts w:ascii="GHEA Grapalat" w:hAnsi="GHEA Grapalat" w:cs="GHEA Grapalat"/>
          <w:sz w:val="22"/>
          <w:szCs w:val="22"/>
        </w:rPr>
        <w:t>ը</w:t>
      </w:r>
      <w:r w:rsidRPr="00B57DAB">
        <w:rPr>
          <w:rFonts w:ascii="GHEA Grapalat" w:hAnsi="GHEA Grapalat" w:cs="GHEA Grapalat"/>
          <w:sz w:val="22"/>
          <w:szCs w:val="22"/>
        </w:rPr>
        <w:t xml:space="preserve"> չէին </w:t>
      </w:r>
      <w:r w:rsidR="00012DBA" w:rsidRPr="00B57DAB">
        <w:rPr>
          <w:rFonts w:ascii="GHEA Grapalat" w:hAnsi="GHEA Grapalat" w:cs="GHEA Grapalat"/>
          <w:sz w:val="22"/>
          <w:szCs w:val="22"/>
        </w:rPr>
        <w:t>օգտագործ</w:t>
      </w:r>
      <w:r w:rsidRPr="00B57DAB">
        <w:rPr>
          <w:rFonts w:ascii="GHEA Grapalat" w:hAnsi="GHEA Grapalat" w:cs="GHEA Grapalat"/>
          <w:sz w:val="22"/>
          <w:szCs w:val="22"/>
        </w:rPr>
        <w:t>վել: Միաժամանակ, նախորդ տարվա առաջին եռամսյակի համեմատ էկոնոմիկայի ոլորտում պետական քաղաքականության մշակման, ծրագրերի համակարգման և մոնիտորինգի միջոցառման ծախսերը նվազել են 7.7%-ով կամ 28.5 մլն դրամով:</w:t>
      </w:r>
    </w:p>
    <w:p w:rsidR="00772ED1" w:rsidRPr="00B57DAB" w:rsidRDefault="00772ED1" w:rsidP="00772ED1">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i/>
          <w:sz w:val="22"/>
          <w:szCs w:val="22"/>
        </w:rPr>
        <w:t>Անասնաբուժական ծառայությունների</w:t>
      </w:r>
      <w:r w:rsidRPr="00B57DAB">
        <w:rPr>
          <w:rFonts w:ascii="GHEA Grapalat" w:hAnsi="GHEA Grapalat" w:cs="GHEA Grapalat"/>
          <w:sz w:val="22"/>
          <w:szCs w:val="22"/>
        </w:rPr>
        <w:t xml:space="preserve"> ծրագրի շրջանակներում օգտագործվել է շուրջ 376.6 մլն դրամ կամ նախատեսված միջոցների 44.2%</w:t>
      </w:r>
      <w:r w:rsidRPr="00B57DAB">
        <w:rPr>
          <w:rFonts w:ascii="GHEA Grapalat" w:hAnsi="GHEA Grapalat" w:cs="GHEA Grapalat"/>
          <w:sz w:val="22"/>
          <w:szCs w:val="22"/>
        </w:rPr>
        <w:noBreakHyphen/>
        <w:t xml:space="preserve">ը, որը հիմնականում պայմանավորված է Հայաստանի Հանրապետությունում խոշոր եղջերավոր կենդանիների համարակալման և հաշվառման համար նախատեսված 252.4 մլն դրամ միջոցները չօգտագործելու հանգամանքով: Վերջինս պայմանավորված է գնման երկարատև գործընթացով: Հայտարարված 3 մրցույթներից առաջին մրցույթի հաղթած մասնակիցը հրաժարվել է կնքել պայմանագիր, երկրորդ մրցույթը համարվել է չկայացած, իսկ երրորդ մրցույթի մասնակցի կողմից բողոքարկման հետևանքով գնման գործընթացը կասեցվել է: Անասնաբուժական ծառայությունների ծրագրի ցածր կատարողականը մասամբ պայմանավորված է </w:t>
      </w:r>
      <w:r w:rsidR="00012DBA" w:rsidRPr="00B57DAB">
        <w:rPr>
          <w:rFonts w:ascii="GHEA Grapalat" w:hAnsi="GHEA Grapalat" w:cs="GHEA Grapalat"/>
          <w:sz w:val="22"/>
          <w:szCs w:val="22"/>
        </w:rPr>
        <w:t xml:space="preserve">նաև </w:t>
      </w:r>
      <w:r w:rsidRPr="00B57DAB">
        <w:rPr>
          <w:rFonts w:ascii="GHEA Grapalat" w:hAnsi="GHEA Grapalat" w:cs="GHEA Grapalat"/>
          <w:sz w:val="22"/>
          <w:szCs w:val="22"/>
        </w:rPr>
        <w:t xml:space="preserve">գյուղատնտեսական կենդանիների պատվաստման ծախսերի 60.7% կատարողականով, որի շրջանակներում օգտագործվել է շուրջ 315.6 մլն դրամ: Միջոցառման շրջանակներում իրականացվել են 132326 ախտորոշման և 525129 կանխարգելիչ (պատվաստումներ) միջոցառումներ՝ նախատեսված համապատասխանաբար 184134-ի և 666767-ի դիմաց: </w:t>
      </w:r>
      <w:r w:rsidR="00A80DEF" w:rsidRPr="00B57DAB">
        <w:rPr>
          <w:rFonts w:ascii="GHEA Grapalat" w:hAnsi="GHEA Grapalat" w:cs="GHEA Grapalat"/>
          <w:sz w:val="22"/>
          <w:szCs w:val="22"/>
        </w:rPr>
        <w:t xml:space="preserve">Միջոցառման ցածր կատարողականը պայմանավորված է անբարենպաստ եղանակային պայմաններով, առանձին ախտորոշիչների համար մրցույթների չկայացման, </w:t>
      </w:r>
      <w:r w:rsidR="00A80DEF" w:rsidRPr="00B57DAB">
        <w:rPr>
          <w:rFonts w:ascii="GHEA Grapalat" w:hAnsi="GHEA Grapalat" w:cs="Sylfaen"/>
          <w:sz w:val="22"/>
          <w:szCs w:val="22"/>
        </w:rPr>
        <w:t xml:space="preserve">ինչպես նաև տարածաշրջանային </w:t>
      </w:r>
      <w:r w:rsidR="00A80DEF" w:rsidRPr="00B57DAB">
        <w:rPr>
          <w:rFonts w:ascii="GHEA Grapalat" w:hAnsi="GHEA Grapalat" w:cs="GHEA Grapalat"/>
          <w:sz w:val="22"/>
          <w:szCs w:val="22"/>
        </w:rPr>
        <w:t xml:space="preserve">լաբորատորիաների աշխատանքների՝ նախատեսված ժամկետից ուշ սկսելու </w:t>
      </w:r>
      <w:r w:rsidR="00A80DEF" w:rsidRPr="00B57DAB">
        <w:rPr>
          <w:rFonts w:ascii="GHEA Grapalat" w:hAnsi="GHEA Grapalat" w:cs="GHEA Grapalat"/>
          <w:sz w:val="22"/>
          <w:szCs w:val="22"/>
        </w:rPr>
        <w:lastRenderedPageBreak/>
        <w:t>հանգամանքով, ինչպես նաև որոշ համայնքերի խոշորացման գործընթացի արդյունքում առաջացած խոչընդոտներով:</w:t>
      </w:r>
    </w:p>
    <w:p w:rsidR="00772ED1" w:rsidRPr="00B57DAB" w:rsidRDefault="00772ED1" w:rsidP="00772ED1">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Նախորդ տարվա առաջին եռամսյակի համեմատ Անասնաբուժական ծառայությունների ծրագրի ծախսերն աճել են 4.7 անգամ կամ 296.8 մլն դրամով, որը հիմնականում պայմանավորված է գյուղատնտեսական կենդանիների պատվաստման ծախսերի 6.3 անգամ (265.8 մլն դրամ) աճով:</w:t>
      </w:r>
    </w:p>
    <w:p w:rsidR="00772ED1" w:rsidRPr="00B57DAB" w:rsidRDefault="00772ED1" w:rsidP="00772ED1">
      <w:pPr>
        <w:tabs>
          <w:tab w:val="left" w:pos="8931"/>
        </w:tabs>
        <w:spacing w:line="360" w:lineRule="auto"/>
        <w:ind w:firstLine="561"/>
        <w:jc w:val="both"/>
        <w:rPr>
          <w:rFonts w:ascii="GHEA Grapalat" w:hAnsi="GHEA Grapalat" w:cs="GHEA Grapalat"/>
          <w:sz w:val="22"/>
          <w:szCs w:val="22"/>
        </w:rPr>
      </w:pPr>
      <w:r w:rsidRPr="00B57DAB">
        <w:rPr>
          <w:rFonts w:ascii="GHEA Grapalat" w:hAnsi="GHEA Grapalat" w:cs="Sylfaen"/>
          <w:sz w:val="22"/>
          <w:szCs w:val="22"/>
        </w:rPr>
        <w:t>Հաշվետու ժամանակահատվածում</w:t>
      </w:r>
      <w:r w:rsidRPr="00B57DAB">
        <w:rPr>
          <w:rFonts w:ascii="GHEA Grapalat" w:hAnsi="GHEA Grapalat" w:cs="GHEA Grapalat"/>
          <w:sz w:val="22"/>
          <w:szCs w:val="22"/>
        </w:rPr>
        <w:t xml:space="preserve"> </w:t>
      </w:r>
      <w:r w:rsidRPr="00B57DAB">
        <w:rPr>
          <w:rFonts w:ascii="GHEA Grapalat" w:hAnsi="GHEA Grapalat" w:cs="GHEA Grapalat"/>
          <w:i/>
          <w:sz w:val="22"/>
          <w:szCs w:val="22"/>
        </w:rPr>
        <w:t xml:space="preserve">Գյուղական ենթակառուցվածքների վերականգնման և զարգացման </w:t>
      </w:r>
      <w:r w:rsidRPr="00B57DAB">
        <w:rPr>
          <w:rFonts w:ascii="GHEA Grapalat" w:hAnsi="GHEA Grapalat" w:cs="GHEA Grapalat"/>
          <w:sz w:val="22"/>
          <w:szCs w:val="22"/>
        </w:rPr>
        <w:t>ծրագրի շրջանակներում օգտագործվել է 356.7 մլն դրամ կամ նախատեսված միջոցների 30.8%</w:t>
      </w:r>
      <w:r w:rsidRPr="00B57DAB">
        <w:rPr>
          <w:rFonts w:ascii="GHEA Grapalat" w:hAnsi="GHEA Grapalat" w:cs="GHEA Grapalat"/>
          <w:sz w:val="22"/>
          <w:szCs w:val="22"/>
        </w:rPr>
        <w:noBreakHyphen/>
        <w:t xml:space="preserve">ը: </w:t>
      </w:r>
      <w:r w:rsidRPr="00B57DAB">
        <w:rPr>
          <w:rFonts w:ascii="GHEA Grapalat" w:hAnsi="GHEA Grapalat" w:cs="Sylfaen"/>
          <w:sz w:val="22"/>
          <w:szCs w:val="22"/>
        </w:rPr>
        <w:t xml:space="preserve">Ծրագիրն իրականացվում է միջազգային կազմակերպությունների և օտարերկրյա պետությունների աջակցությամբ: Ցածր կատարողականը հիմնականում պայմանավորված է </w:t>
      </w:r>
      <w:r w:rsidRPr="00B57DAB">
        <w:rPr>
          <w:rFonts w:ascii="GHEA Grapalat" w:hAnsi="GHEA Grapalat" w:cs="GHEA Grapalat"/>
          <w:sz w:val="22"/>
          <w:szCs w:val="22"/>
        </w:rPr>
        <w:t xml:space="preserve">Համաշխարհային բանկի աջակցությամբ իրականացվող Համայնքների գյուղատնտեսական ռեսուրսների կառավարման և մրցունակության երկրորդ ծրագրի կատարողականով, որը կազմել է 35% կամ 303.1 մլն դրամ: </w:t>
      </w:r>
      <w:r w:rsidR="00CD71B9" w:rsidRPr="00B57DAB">
        <w:rPr>
          <w:rFonts w:ascii="GHEA Grapalat" w:hAnsi="GHEA Grapalat" w:cs="GHEA Grapalat"/>
          <w:sz w:val="22"/>
          <w:szCs w:val="22"/>
        </w:rPr>
        <w:t>Նշված գումարից 234.1 մլն դրամն ուղղվել է ծ</w:t>
      </w:r>
      <w:r w:rsidRPr="00B57DAB">
        <w:rPr>
          <w:rFonts w:ascii="GHEA Grapalat" w:hAnsi="GHEA Grapalat" w:cs="GHEA Grapalat"/>
          <w:sz w:val="22"/>
          <w:szCs w:val="22"/>
        </w:rPr>
        <w:t>րագրի շրջանակներում գյուղական ենթակառուցվածքների վերականգնման և/կամ զարգացման</w:t>
      </w:r>
      <w:r w:rsidRPr="00B57DAB">
        <w:rPr>
          <w:rFonts w:ascii="GHEA Grapalat" w:hAnsi="GHEA Grapalat" w:cs="Sylfaen"/>
          <w:sz w:val="22"/>
          <w:szCs w:val="22"/>
        </w:rPr>
        <w:t xml:space="preserve"> նպատակով տրանսֆերտների տրամադրման</w:t>
      </w:r>
      <w:r w:rsidR="00CD71B9" w:rsidRPr="00B57DAB">
        <w:rPr>
          <w:rFonts w:ascii="GHEA Grapalat" w:hAnsi="GHEA Grapalat" w:cs="Sylfaen"/>
          <w:sz w:val="22"/>
          <w:szCs w:val="22"/>
        </w:rPr>
        <w:t>ը՝ կազմելով ծրագրված ցուցանիշի</w:t>
      </w:r>
      <w:r w:rsidRPr="00B57DAB">
        <w:rPr>
          <w:rFonts w:ascii="GHEA Grapalat" w:hAnsi="GHEA Grapalat" w:cs="Sylfaen"/>
          <w:sz w:val="22"/>
          <w:szCs w:val="22"/>
        </w:rPr>
        <w:t xml:space="preserve"> 39.6%-ը՝ պայմանավորված շինարարական աշխատանքների և գյուղատնտեսական տեխնիկայի ձեռքբերման մրցույթների անցկացման երկար ընթացակարգով և որոշ կոոպերատիվների կողմից ներդրումների ուշացմամբ: Միջոցառման շրջանակներում ձեռք </w:t>
      </w:r>
      <w:r w:rsidR="00CD71B9" w:rsidRPr="00B57DAB">
        <w:rPr>
          <w:rFonts w:ascii="GHEA Grapalat" w:hAnsi="GHEA Grapalat" w:cs="Sylfaen"/>
          <w:sz w:val="22"/>
          <w:szCs w:val="22"/>
        </w:rPr>
        <w:t>է</w:t>
      </w:r>
      <w:r w:rsidRPr="00B57DAB">
        <w:rPr>
          <w:rFonts w:ascii="GHEA Grapalat" w:hAnsi="GHEA Grapalat" w:cs="Sylfaen"/>
          <w:sz w:val="22"/>
          <w:szCs w:val="22"/>
        </w:rPr>
        <w:t xml:space="preserve"> բերվել</w:t>
      </w:r>
      <w:r w:rsidRPr="00B57DAB">
        <w:rPr>
          <w:rFonts w:ascii="GHEA Grapalat" w:hAnsi="GHEA Grapalat" w:cs="GHEA Grapalat"/>
          <w:sz w:val="22"/>
          <w:szCs w:val="22"/>
        </w:rPr>
        <w:t xml:space="preserve"> 22 հատ գյուղատնտեսական տեխնիկա: Ծրագրի համակարգման և ղեկավարման ծախսերը կատարվել են</w:t>
      </w:r>
      <w:r w:rsidR="00CD71B9" w:rsidRPr="00B57DAB">
        <w:rPr>
          <w:rFonts w:ascii="GHEA Grapalat" w:hAnsi="GHEA Grapalat" w:cs="GHEA Grapalat"/>
          <w:sz w:val="22"/>
          <w:szCs w:val="22"/>
        </w:rPr>
        <w:t xml:space="preserve"> 25.1%</w:t>
      </w:r>
      <w:r w:rsidR="00CD71B9" w:rsidRPr="00B57DAB">
        <w:rPr>
          <w:rFonts w:ascii="GHEA Grapalat" w:hAnsi="GHEA Grapalat" w:cs="GHEA Grapalat"/>
          <w:sz w:val="22"/>
          <w:szCs w:val="22"/>
        </w:rPr>
        <w:noBreakHyphen/>
        <w:t>ով՝ կազմելով 69 մլն դրամ, որը</w:t>
      </w:r>
      <w:r w:rsidRPr="00B57DAB">
        <w:rPr>
          <w:rFonts w:ascii="GHEA Grapalat" w:hAnsi="GHEA Grapalat" w:cs="GHEA Grapalat"/>
          <w:sz w:val="22"/>
          <w:szCs w:val="22"/>
        </w:rPr>
        <w:t xml:space="preserve"> պայմանավորված</w:t>
      </w:r>
      <w:r w:rsidR="00CD71B9" w:rsidRPr="00B57DAB">
        <w:rPr>
          <w:rFonts w:ascii="GHEA Grapalat" w:hAnsi="GHEA Grapalat" w:cs="GHEA Grapalat"/>
          <w:sz w:val="22"/>
          <w:szCs w:val="22"/>
        </w:rPr>
        <w:t xml:space="preserve"> է</w:t>
      </w:r>
      <w:r w:rsidRPr="00B57DAB">
        <w:rPr>
          <w:rFonts w:ascii="GHEA Grapalat" w:hAnsi="GHEA Grapalat" w:cs="GHEA Grapalat"/>
          <w:sz w:val="22"/>
          <w:szCs w:val="22"/>
        </w:rPr>
        <w:t xml:space="preserve"> համաձայնագրում կատարված փոփոխությամբ, </w:t>
      </w:r>
      <w:r w:rsidR="00CD71B9" w:rsidRPr="00B57DAB">
        <w:rPr>
          <w:rFonts w:ascii="GHEA Grapalat" w:hAnsi="GHEA Grapalat" w:cs="GHEA Grapalat"/>
          <w:sz w:val="22"/>
          <w:szCs w:val="22"/>
        </w:rPr>
        <w:t>որով</w:t>
      </w:r>
      <w:r w:rsidRPr="00B57DAB">
        <w:rPr>
          <w:rFonts w:ascii="GHEA Grapalat" w:hAnsi="GHEA Grapalat" w:cs="GHEA Grapalat"/>
          <w:sz w:val="22"/>
          <w:szCs w:val="22"/>
        </w:rPr>
        <w:t xml:space="preserve"> երկարաձգվել է ծրագրի վերջնաժամկետը` սահմանելով 2022 թվականի հոկտեմբերի 31-ը: Արդյունքում բիզնես ծրագրերի, կառավարչական, մասնագիտական ծառայությունների, տրանսպորտային նյութերի ծախսերը կատարվել են մասնակի</w:t>
      </w:r>
      <w:r w:rsidR="007701B9" w:rsidRPr="00B57DAB">
        <w:rPr>
          <w:rFonts w:ascii="GHEA Grapalat" w:hAnsi="GHEA Grapalat" w:cs="GHEA Grapalat"/>
          <w:sz w:val="22"/>
          <w:szCs w:val="22"/>
        </w:rPr>
        <w:t>որեն</w:t>
      </w:r>
      <w:r w:rsidRPr="00B57DAB">
        <w:rPr>
          <w:rFonts w:ascii="GHEA Grapalat" w:hAnsi="GHEA Grapalat" w:cs="GHEA Grapalat"/>
          <w:sz w:val="22"/>
          <w:szCs w:val="22"/>
        </w:rPr>
        <w:t>:</w:t>
      </w:r>
    </w:p>
    <w:p w:rsidR="00772ED1" w:rsidRPr="00B57DAB" w:rsidRDefault="00772ED1" w:rsidP="00772ED1">
      <w:pPr>
        <w:tabs>
          <w:tab w:val="left" w:pos="8931"/>
        </w:tabs>
        <w:spacing w:line="360" w:lineRule="auto"/>
        <w:ind w:firstLine="561"/>
        <w:jc w:val="both"/>
        <w:rPr>
          <w:rFonts w:ascii="GHEA Grapalat" w:hAnsi="GHEA Grapalat" w:cs="GHEA Grapalat"/>
          <w:sz w:val="22"/>
          <w:szCs w:val="22"/>
        </w:rPr>
      </w:pPr>
      <w:r w:rsidRPr="00B57DAB">
        <w:rPr>
          <w:rFonts w:ascii="GHEA Grapalat" w:hAnsi="GHEA Grapalat" w:cs="GHEA Grapalat"/>
          <w:sz w:val="22"/>
          <w:szCs w:val="22"/>
        </w:rPr>
        <w:t>Վերակառուցման և զարգացման միջազգային բանկի աջակցությամբ իրականացվող «Գյուղատնտեսության ոլորտում քաղաքականության մոնիթորինգի և գնահատման կարողությունների զարգացում» դրամաշնորհային ծրագրի շրջանակներում օգտագործվել է 45.9 մլն դրամ կամ նախատեսված միջոցների 26.3%</w:t>
      </w:r>
      <w:r w:rsidRPr="00B57DAB">
        <w:rPr>
          <w:rFonts w:ascii="GHEA Grapalat" w:hAnsi="GHEA Grapalat" w:cs="GHEA Grapalat"/>
          <w:sz w:val="22"/>
          <w:szCs w:val="22"/>
        </w:rPr>
        <w:noBreakHyphen/>
        <w:t xml:space="preserve">ը: Ծրագրի շրջանակներում գյուղատնտեսության քաղաքականության փաստահենք վերլուծության իրականացմանն ուղղված ծախսերի 31.3% կատարողականը պայմանավորված է </w:t>
      </w:r>
      <w:r w:rsidR="001B0D2B" w:rsidRPr="00B57DAB">
        <w:rPr>
          <w:rFonts w:ascii="GHEA Grapalat" w:hAnsi="GHEA Grapalat" w:cs="GHEA Grapalat"/>
          <w:sz w:val="22"/>
          <w:szCs w:val="22"/>
        </w:rPr>
        <w:t>դոնորի կողմից մրցութային փաթեթի</w:t>
      </w:r>
      <w:r w:rsidRPr="00B57DAB">
        <w:rPr>
          <w:rFonts w:ascii="GHEA Grapalat" w:hAnsi="GHEA Grapalat" w:cs="GHEA Grapalat"/>
          <w:sz w:val="22"/>
          <w:szCs w:val="22"/>
        </w:rPr>
        <w:t xml:space="preserve"> ուշ </w:t>
      </w:r>
      <w:r w:rsidR="001B0D2B" w:rsidRPr="00B57DAB">
        <w:rPr>
          <w:rFonts w:ascii="GHEA Grapalat" w:hAnsi="GHEA Grapalat" w:cs="GHEA Grapalat"/>
          <w:sz w:val="22"/>
          <w:szCs w:val="22"/>
        </w:rPr>
        <w:t>հաստատմամբ</w:t>
      </w:r>
      <w:r w:rsidRPr="00B57DAB">
        <w:rPr>
          <w:rFonts w:ascii="GHEA Grapalat" w:hAnsi="GHEA Grapalat" w:cs="GHEA Grapalat"/>
          <w:sz w:val="22"/>
          <w:szCs w:val="22"/>
        </w:rPr>
        <w:t>, ինչի հետևանքով ծառայությունների թվով 7 պայմանագրերը կնքվել են հաշվետու եռամսյակի վերջում: Միջոցառման շրջանակներում վերապատրաստվել են ՀՀ էկոնոմիկայի նախարարության 12 աշխատակիցներ: Ծրագրի</w:t>
      </w:r>
      <w:r w:rsidRPr="00B57DAB">
        <w:t xml:space="preserve"> </w:t>
      </w:r>
      <w:r w:rsidRPr="00B57DAB">
        <w:rPr>
          <w:rFonts w:ascii="GHEA Grapalat" w:hAnsi="GHEA Grapalat" w:cs="GHEA Grapalat"/>
          <w:sz w:val="22"/>
          <w:szCs w:val="22"/>
        </w:rPr>
        <w:t xml:space="preserve">աշխարհագրական թվայնացված համակարգի ներդրման համար նախատեսված 28 մլն դրամ միջոցները չեն օգտագործվել՝ պայմանավորված նրանով, որ </w:t>
      </w:r>
      <w:r w:rsidRPr="00B57DAB">
        <w:rPr>
          <w:rFonts w:ascii="GHEA Grapalat" w:hAnsi="GHEA Grapalat" w:cs="GHEA Grapalat"/>
          <w:sz w:val="22"/>
          <w:szCs w:val="22"/>
        </w:rPr>
        <w:lastRenderedPageBreak/>
        <w:t xml:space="preserve">հայտարարված մրցույթի նախահաշվային արժեքը գերազանցել է հատկացված ֆինանսական միջոցները, </w:t>
      </w:r>
      <w:r w:rsidR="001B0D2B" w:rsidRPr="00B57DAB">
        <w:rPr>
          <w:rFonts w:ascii="GHEA Grapalat" w:hAnsi="GHEA Grapalat" w:cs="GHEA Grapalat"/>
          <w:sz w:val="22"/>
          <w:szCs w:val="22"/>
        </w:rPr>
        <w:t>նախատեսվում է ներգրավել</w:t>
      </w:r>
      <w:r w:rsidRPr="00B57DAB">
        <w:rPr>
          <w:rFonts w:ascii="GHEA Grapalat" w:hAnsi="GHEA Grapalat" w:cs="GHEA Grapalat"/>
          <w:sz w:val="22"/>
          <w:szCs w:val="22"/>
        </w:rPr>
        <w:t xml:space="preserve"> լրացուցիչ ֆինանսական միջոցներ:</w:t>
      </w:r>
    </w:p>
    <w:p w:rsidR="00772ED1" w:rsidRPr="00B57DAB" w:rsidRDefault="00772ED1" w:rsidP="00772ED1">
      <w:pPr>
        <w:tabs>
          <w:tab w:val="left" w:pos="8931"/>
        </w:tabs>
        <w:spacing w:line="360" w:lineRule="auto"/>
        <w:ind w:firstLine="561"/>
        <w:jc w:val="both"/>
        <w:rPr>
          <w:rFonts w:ascii="GHEA Grapalat" w:hAnsi="GHEA Grapalat" w:cs="GHEA Grapalat"/>
          <w:sz w:val="22"/>
          <w:szCs w:val="22"/>
        </w:rPr>
      </w:pPr>
      <w:r w:rsidRPr="00B57DAB">
        <w:rPr>
          <w:rFonts w:ascii="GHEA Grapalat" w:hAnsi="GHEA Grapalat" w:cs="GHEA Grapalat"/>
          <w:sz w:val="22"/>
          <w:szCs w:val="22"/>
        </w:rPr>
        <w:t>Չեն օգտագործվել Զարգացման ֆրանսիական գործակալության աջակցությամբ ՀՀ Արարատի և Արմավիրի մարզերում ժամանակակից պահանջներին համապատասխան ոռոգման համակարգերի ներդրման և զարգացման դրամաշնորհային ծրագրի շրջանակներում նախատեսված 108.6 մլն դրամ միջոցները, որը պայմանավորված է մրցութային գործընթաց</w:t>
      </w:r>
      <w:r w:rsidR="001509F7" w:rsidRPr="00B57DAB">
        <w:rPr>
          <w:rFonts w:ascii="GHEA Grapalat" w:hAnsi="GHEA Grapalat" w:cs="GHEA Grapalat"/>
          <w:sz w:val="22"/>
          <w:szCs w:val="22"/>
        </w:rPr>
        <w:t>ի՝</w:t>
      </w:r>
      <w:r w:rsidRPr="00B57DAB">
        <w:rPr>
          <w:rFonts w:ascii="GHEA Grapalat" w:hAnsi="GHEA Grapalat" w:cs="GHEA Grapalat"/>
          <w:sz w:val="22"/>
          <w:szCs w:val="22"/>
        </w:rPr>
        <w:t xml:space="preserve"> նախատեսվածից երկար </w:t>
      </w:r>
      <w:r w:rsidR="001509F7" w:rsidRPr="00B57DAB">
        <w:rPr>
          <w:rFonts w:ascii="GHEA Grapalat" w:hAnsi="GHEA Grapalat" w:cs="GHEA Grapalat"/>
          <w:sz w:val="22"/>
          <w:szCs w:val="22"/>
        </w:rPr>
        <w:t>տևողությամբ</w:t>
      </w:r>
      <w:r w:rsidRPr="00B57DAB">
        <w:rPr>
          <w:rFonts w:ascii="GHEA Grapalat" w:hAnsi="GHEA Grapalat" w:cs="GHEA Grapalat"/>
          <w:sz w:val="22"/>
          <w:szCs w:val="22"/>
        </w:rPr>
        <w:t>:</w:t>
      </w:r>
    </w:p>
    <w:p w:rsidR="00772ED1" w:rsidRPr="00B57DAB" w:rsidRDefault="00772ED1" w:rsidP="00772ED1">
      <w:pPr>
        <w:tabs>
          <w:tab w:val="left" w:pos="8931"/>
        </w:tabs>
        <w:spacing w:line="360" w:lineRule="auto"/>
        <w:ind w:firstLine="561"/>
        <w:jc w:val="both"/>
        <w:rPr>
          <w:rFonts w:ascii="GHEA Grapalat" w:hAnsi="GHEA Grapalat" w:cs="GHEA Grapalat"/>
          <w:sz w:val="22"/>
          <w:szCs w:val="22"/>
        </w:rPr>
      </w:pPr>
      <w:r w:rsidRPr="00B57DAB">
        <w:rPr>
          <w:rFonts w:ascii="GHEA Grapalat" w:hAnsi="GHEA Grapalat" w:cs="GHEA Grapalat"/>
          <w:sz w:val="22"/>
          <w:szCs w:val="22"/>
        </w:rPr>
        <w:t>Նախորդ տարվա առաջին եռամսյակի համեմատ Գյուղական ենթակառուցվածքների վերականգնման և զարգացման ծրագրի ծախսերն աճել են 2.1 անգամ կամ 184 մլն դրամով՝ հիմնականում պայմանավորված Համաշխարհային բանկի աջակցությամբ իրականացվող Համայնքների գյուղատնտեսական ռեսուրսների կառավարման և մրցունակության երկրորդ ծրագրի շրջանակներում կատարված ծախսերի 2.3 անգամ (168.6 մլն դրամ) աճով:</w:t>
      </w:r>
    </w:p>
    <w:p w:rsidR="00772ED1" w:rsidRPr="00B57DAB" w:rsidRDefault="00772ED1" w:rsidP="00772ED1">
      <w:pPr>
        <w:tabs>
          <w:tab w:val="left" w:pos="8931"/>
        </w:tabs>
        <w:spacing w:line="360" w:lineRule="auto"/>
        <w:ind w:firstLine="561"/>
        <w:jc w:val="both"/>
        <w:rPr>
          <w:rFonts w:ascii="GHEA Grapalat" w:hAnsi="GHEA Grapalat"/>
          <w:sz w:val="22"/>
          <w:szCs w:val="22"/>
        </w:rPr>
      </w:pPr>
      <w:r w:rsidRPr="00B57DAB">
        <w:rPr>
          <w:rFonts w:ascii="GHEA Grapalat" w:hAnsi="GHEA Grapalat" w:cs="GHEA Grapalat"/>
          <w:sz w:val="22"/>
          <w:szCs w:val="22"/>
        </w:rPr>
        <w:t xml:space="preserve">2022 թվականի առաջին եռամսյակում </w:t>
      </w:r>
      <w:r w:rsidRPr="00B57DAB">
        <w:rPr>
          <w:rFonts w:ascii="GHEA Grapalat" w:hAnsi="GHEA Grapalat" w:cs="GHEA Grapalat"/>
          <w:i/>
          <w:sz w:val="22"/>
          <w:szCs w:val="22"/>
        </w:rPr>
        <w:t>Զբոսաշրջության զարգացման</w:t>
      </w:r>
      <w:r w:rsidRPr="00B57DAB">
        <w:rPr>
          <w:rFonts w:ascii="GHEA Grapalat" w:hAnsi="GHEA Grapalat" w:cs="GHEA Grapalat"/>
          <w:sz w:val="22"/>
          <w:szCs w:val="22"/>
        </w:rPr>
        <w:t xml:space="preserve"> ծրագրի ծախսերը կազմել են շուրջ 295.9 մլն դրամ՝ </w:t>
      </w:r>
      <w:r w:rsidRPr="00B57DAB">
        <w:rPr>
          <w:rFonts w:ascii="GHEA Grapalat" w:hAnsi="GHEA Grapalat" w:cs="Sylfaen"/>
          <w:sz w:val="22"/>
          <w:szCs w:val="22"/>
        </w:rPr>
        <w:t xml:space="preserve">ապահովելով 76.4% կատարողական: Շեղումը հիմնականում պայմանավորված է </w:t>
      </w:r>
      <w:r w:rsidRPr="00B57DAB">
        <w:rPr>
          <w:rFonts w:ascii="GHEA Grapalat" w:hAnsi="GHEA Grapalat" w:cs="GHEA Grapalat"/>
          <w:sz w:val="22"/>
          <w:szCs w:val="22"/>
        </w:rPr>
        <w:t xml:space="preserve">Համաշխարհային բանկի աջակցությամբ իրականացվող տեղական տնտեսության և ենթակառուցվածքների զարգացման ծրագրի կատարողականով, որը կազմել է 81.7% կամ շուրջ 257.8 մլն դրամ: Ծրագրի կառավարման մասով կատարողականը կազմել է 71.9% կամ 11.8 մլն դրամ, որը պայմանավորված է աշխատակազմի ոչ լրիվ համալրման հետևանքով միջոցների տնտեսմամբ, նախատեսվածից </w:t>
      </w:r>
      <w:r w:rsidR="001509F7" w:rsidRPr="00B57DAB">
        <w:rPr>
          <w:rFonts w:ascii="GHEA Grapalat" w:hAnsi="GHEA Grapalat" w:cs="GHEA Grapalat"/>
          <w:sz w:val="22"/>
          <w:szCs w:val="22"/>
        </w:rPr>
        <w:t>պակաս</w:t>
      </w:r>
      <w:r w:rsidRPr="00B57DAB">
        <w:rPr>
          <w:rFonts w:ascii="GHEA Grapalat" w:hAnsi="GHEA Grapalat" w:cs="GHEA Grapalat"/>
          <w:sz w:val="22"/>
          <w:szCs w:val="22"/>
        </w:rPr>
        <w:t xml:space="preserve"> քանակով գործուղումներով, ինչպե</w:t>
      </w:r>
      <w:r w:rsidR="001509F7" w:rsidRPr="00B57DAB">
        <w:rPr>
          <w:rFonts w:ascii="GHEA Grapalat" w:hAnsi="GHEA Grapalat" w:cs="GHEA Grapalat"/>
          <w:sz w:val="22"/>
          <w:szCs w:val="22"/>
        </w:rPr>
        <w:t>ս նաև գործառնական ծախսերի տնտեսմամբ</w:t>
      </w:r>
      <w:r w:rsidRPr="00B57DAB">
        <w:rPr>
          <w:rFonts w:ascii="GHEA Grapalat" w:hAnsi="GHEA Grapalat" w:cs="GHEA Grapalat"/>
          <w:sz w:val="22"/>
          <w:szCs w:val="22"/>
        </w:rPr>
        <w:t xml:space="preserve">: </w:t>
      </w:r>
      <w:r w:rsidRPr="00B57DAB">
        <w:rPr>
          <w:rFonts w:ascii="GHEA Grapalat" w:hAnsi="GHEA Grapalat"/>
          <w:sz w:val="22"/>
          <w:szCs w:val="22"/>
        </w:rPr>
        <w:t>Ծրագրի շրջանակներում ՀՀ տարբեր մարզերում զբոսաշրջության հետ կապված ենթակառուցվածքների բարելավմանն ուղղված միջոցառումների գծով ծախսերը կազմել են 246 մլն դրամ՝ ապահովելով 82.3% կատարողական: Վերջինս պայմանավորված է անբարենպաստ եղանակային պայմանների, շինանյութերի գների աճի</w:t>
      </w:r>
      <w:r w:rsidR="001509F7" w:rsidRPr="00B57DAB">
        <w:rPr>
          <w:rFonts w:ascii="GHEA Grapalat" w:hAnsi="GHEA Grapalat"/>
          <w:sz w:val="22"/>
          <w:szCs w:val="22"/>
        </w:rPr>
        <w:t xml:space="preserve"> և լոգիստիկ շղթաների խափանման </w:t>
      </w:r>
      <w:r w:rsidRPr="00B57DAB">
        <w:rPr>
          <w:rFonts w:ascii="GHEA Grapalat" w:hAnsi="GHEA Grapalat"/>
          <w:sz w:val="22"/>
          <w:szCs w:val="22"/>
        </w:rPr>
        <w:t xml:space="preserve">հետևանքով մի քանի ընթացիկ ծրագրերում շինարարական աշխատանքների ժամանակավոր դադարեցմամբ: </w:t>
      </w:r>
    </w:p>
    <w:p w:rsidR="00772ED1" w:rsidRPr="00B57DAB" w:rsidRDefault="00772ED1" w:rsidP="00772ED1">
      <w:pPr>
        <w:tabs>
          <w:tab w:val="left" w:pos="8931"/>
        </w:tabs>
        <w:spacing w:line="360" w:lineRule="auto"/>
        <w:ind w:firstLine="561"/>
        <w:jc w:val="both"/>
        <w:rPr>
          <w:rFonts w:ascii="GHEA Grapalat" w:hAnsi="GHEA Grapalat" w:cs="Sylfaen"/>
          <w:sz w:val="22"/>
          <w:szCs w:val="22"/>
        </w:rPr>
      </w:pPr>
      <w:r w:rsidRPr="00B57DAB">
        <w:rPr>
          <w:rFonts w:ascii="GHEA Grapalat" w:hAnsi="GHEA Grapalat"/>
          <w:sz w:val="22"/>
          <w:szCs w:val="22"/>
        </w:rPr>
        <w:t>Նախորդ տարվա առաջին եռամսյակի համեմատ Զբոսաշրջության զարգացման ծրագրի գծով ծախսերն աճել</w:t>
      </w:r>
      <w:r w:rsidRPr="00B57DAB">
        <w:rPr>
          <w:rFonts w:ascii="Courier New" w:hAnsi="Courier New" w:cs="Courier New"/>
          <w:sz w:val="22"/>
          <w:szCs w:val="22"/>
        </w:rPr>
        <w:t> </w:t>
      </w:r>
      <w:r w:rsidRPr="00B57DAB">
        <w:rPr>
          <w:rFonts w:ascii="GHEA Grapalat" w:hAnsi="GHEA Grapalat" w:cs="GHEA Grapalat"/>
          <w:sz w:val="22"/>
          <w:szCs w:val="22"/>
        </w:rPr>
        <w:t>են</w:t>
      </w:r>
      <w:r w:rsidRPr="00B57DAB">
        <w:rPr>
          <w:rFonts w:ascii="GHEA Grapalat" w:hAnsi="GHEA Grapalat" w:cs="Sylfaen"/>
          <w:sz w:val="22"/>
          <w:szCs w:val="22"/>
        </w:rPr>
        <w:t xml:space="preserve"> 8.8</w:t>
      </w:r>
      <w:r w:rsidRPr="00B57DAB">
        <w:rPr>
          <w:rFonts w:ascii="GHEA Grapalat" w:hAnsi="GHEA Grapalat" w:cs="GHEA Grapalat"/>
          <w:sz w:val="22"/>
          <w:szCs w:val="22"/>
        </w:rPr>
        <w:t>%-ով</w:t>
      </w:r>
      <w:r w:rsidRPr="00B57DAB">
        <w:rPr>
          <w:rFonts w:ascii="GHEA Grapalat" w:hAnsi="GHEA Grapalat" w:cs="Sylfaen"/>
          <w:sz w:val="22"/>
          <w:szCs w:val="22"/>
        </w:rPr>
        <w:t xml:space="preserve"> կամ 23.8 մլն դրամով, ինչը հիմնականում պայմանավորված է </w:t>
      </w:r>
      <w:r w:rsidRPr="00B57DAB">
        <w:rPr>
          <w:rFonts w:ascii="GHEA Grapalat" w:hAnsi="GHEA Grapalat" w:cs="GHEA Grapalat"/>
          <w:sz w:val="22"/>
          <w:szCs w:val="22"/>
        </w:rPr>
        <w:t>Համաշխարհային բանկի</w:t>
      </w:r>
      <w:r w:rsidRPr="00B57DAB">
        <w:rPr>
          <w:rFonts w:ascii="GHEA Grapalat" w:hAnsi="GHEA Grapalat"/>
          <w:sz w:val="22"/>
          <w:szCs w:val="22"/>
        </w:rPr>
        <w:t xml:space="preserve"> աջակցությամբ իրականացվող տեղական տնտեսության և ենթակառուցվածքների զարգացման ծրագրի</w:t>
      </w:r>
      <w:r w:rsidRPr="00B57DAB">
        <w:rPr>
          <w:rFonts w:ascii="GHEA Grapalat" w:hAnsi="GHEA Grapalat" w:cs="Sylfaen"/>
          <w:sz w:val="22"/>
          <w:szCs w:val="22"/>
        </w:rPr>
        <w:t xml:space="preserve"> </w:t>
      </w:r>
      <w:r w:rsidRPr="00B57DAB">
        <w:rPr>
          <w:rFonts w:ascii="GHEA Grapalat" w:hAnsi="GHEA Grapalat" w:cs="GHEA Grapalat"/>
          <w:sz w:val="22"/>
          <w:szCs w:val="22"/>
        </w:rPr>
        <w:t xml:space="preserve">ծախսերի </w:t>
      </w:r>
      <w:r w:rsidRPr="00B57DAB">
        <w:rPr>
          <w:rFonts w:ascii="GHEA Grapalat" w:hAnsi="GHEA Grapalat" w:cs="Sylfaen"/>
          <w:sz w:val="22"/>
          <w:szCs w:val="22"/>
        </w:rPr>
        <w:t>6.4</w:t>
      </w:r>
      <w:r w:rsidRPr="00B57DAB">
        <w:rPr>
          <w:rFonts w:ascii="GHEA Grapalat" w:hAnsi="GHEA Grapalat" w:cs="GHEA Grapalat"/>
          <w:sz w:val="22"/>
          <w:szCs w:val="22"/>
        </w:rPr>
        <w:t>%</w:t>
      </w:r>
      <w:r w:rsidRPr="00B57DAB">
        <w:rPr>
          <w:rFonts w:ascii="GHEA Grapalat" w:hAnsi="GHEA Grapalat" w:cs="Sylfaen"/>
          <w:sz w:val="22"/>
          <w:szCs w:val="22"/>
        </w:rPr>
        <w:t xml:space="preserve"> </w:t>
      </w:r>
      <w:r w:rsidRPr="00B57DAB">
        <w:rPr>
          <w:rFonts w:ascii="GHEA Grapalat" w:hAnsi="GHEA Grapalat" w:cs="GHEA Grapalat"/>
          <w:sz w:val="22"/>
          <w:szCs w:val="22"/>
        </w:rPr>
        <w:t>(</w:t>
      </w:r>
      <w:r w:rsidRPr="00B57DAB">
        <w:rPr>
          <w:rFonts w:ascii="GHEA Grapalat" w:hAnsi="GHEA Grapalat" w:cs="Sylfaen"/>
          <w:sz w:val="22"/>
          <w:szCs w:val="22"/>
        </w:rPr>
        <w:t>15.6 մլն դրամ)</w:t>
      </w:r>
      <w:r w:rsidRPr="00B57DAB">
        <w:rPr>
          <w:rFonts w:ascii="GHEA Grapalat" w:hAnsi="GHEA Grapalat" w:cs="GHEA Grapalat"/>
          <w:sz w:val="22"/>
          <w:szCs w:val="22"/>
        </w:rPr>
        <w:t xml:space="preserve"> աճով:</w:t>
      </w:r>
    </w:p>
    <w:p w:rsidR="00772ED1" w:rsidRPr="00B57DAB" w:rsidRDefault="00772ED1" w:rsidP="00772ED1">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 xml:space="preserve">Հաշվետու ժամանակահատվածում </w:t>
      </w:r>
      <w:r w:rsidRPr="00B57DAB">
        <w:rPr>
          <w:rFonts w:ascii="GHEA Grapalat" w:hAnsi="GHEA Grapalat" w:cs="GHEA Grapalat"/>
          <w:i/>
          <w:sz w:val="22"/>
          <w:szCs w:val="22"/>
        </w:rPr>
        <w:t>Ենթակառուցվածքների և գյուղական ֆինանսավորման</w:t>
      </w:r>
      <w:r w:rsidRPr="00B57DAB">
        <w:rPr>
          <w:rFonts w:ascii="GHEA Grapalat" w:hAnsi="GHEA Grapalat" w:cs="GHEA Grapalat"/>
          <w:sz w:val="22"/>
          <w:szCs w:val="22"/>
        </w:rPr>
        <w:t xml:space="preserve"> </w:t>
      </w:r>
      <w:r w:rsidRPr="00B57DAB">
        <w:rPr>
          <w:rFonts w:ascii="GHEA Grapalat" w:hAnsi="GHEA Grapalat" w:cs="GHEA Grapalat"/>
          <w:i/>
          <w:sz w:val="22"/>
          <w:szCs w:val="22"/>
        </w:rPr>
        <w:t>աջակցության</w:t>
      </w:r>
      <w:r w:rsidRPr="00B57DAB">
        <w:rPr>
          <w:rFonts w:ascii="GHEA Grapalat" w:hAnsi="GHEA Grapalat" w:cs="GHEA Grapalat"/>
          <w:sz w:val="22"/>
          <w:szCs w:val="22"/>
        </w:rPr>
        <w:t xml:space="preserve"> ծրագրի ծախսերը կատարվել են 39.6%-ով՝ կազմելով 145.1 մլն դրամ: Ծրագիրն իրականացվում է արտաքին աջակցությամբ: </w:t>
      </w:r>
      <w:r w:rsidRPr="00B57DAB">
        <w:rPr>
          <w:rFonts w:ascii="GHEA Grapalat" w:hAnsi="GHEA Grapalat" w:cs="Sylfaen"/>
          <w:sz w:val="22"/>
          <w:szCs w:val="22"/>
        </w:rPr>
        <w:t xml:space="preserve">Ցածր կատարողականը հիմնականում պայմանավորված է </w:t>
      </w:r>
      <w:r w:rsidRPr="00B57DAB">
        <w:rPr>
          <w:rFonts w:ascii="GHEA Grapalat" w:hAnsi="GHEA Grapalat" w:cs="GHEA Grapalat"/>
          <w:sz w:val="22"/>
          <w:szCs w:val="22"/>
        </w:rPr>
        <w:t xml:space="preserve">Գլոբալ էկոլոգիական հիմնադրամի աջակցությամբ իրականացվող </w:t>
      </w:r>
      <w:r w:rsidRPr="00B57DAB">
        <w:rPr>
          <w:rFonts w:ascii="GHEA Grapalat" w:hAnsi="GHEA Grapalat" w:cs="GHEA Grapalat"/>
          <w:sz w:val="22"/>
          <w:szCs w:val="22"/>
        </w:rPr>
        <w:lastRenderedPageBreak/>
        <w:t>Հայաստանում արտադրողականության աճին ուղղված հողերի կայուն կառավարման դրամաշնորհային ծրագրի</w:t>
      </w:r>
      <w:r w:rsidRPr="00B57DAB">
        <w:rPr>
          <w:rFonts w:ascii="GHEA Grapalat" w:hAnsi="GHEA Grapalat" w:cs="Sylfaen"/>
          <w:sz w:val="22"/>
          <w:szCs w:val="22"/>
        </w:rPr>
        <w:t xml:space="preserve"> կատարողականով, որը կազմել է 42.7% կամ 108.5</w:t>
      </w:r>
      <w:r w:rsidR="006A4207" w:rsidRPr="00B57DAB">
        <w:rPr>
          <w:rFonts w:ascii="GHEA Grapalat" w:hAnsi="GHEA Grapalat" w:cs="Sylfaen"/>
          <w:sz w:val="22"/>
          <w:szCs w:val="22"/>
        </w:rPr>
        <w:t xml:space="preserve"> </w:t>
      </w:r>
      <w:r w:rsidRPr="00B57DAB">
        <w:rPr>
          <w:rFonts w:ascii="GHEA Grapalat" w:hAnsi="GHEA Grapalat" w:cs="Sylfaen"/>
          <w:sz w:val="22"/>
          <w:szCs w:val="22"/>
        </w:rPr>
        <w:t>մլն դրամ:</w:t>
      </w:r>
      <w:r w:rsidRPr="00B57DAB">
        <w:rPr>
          <w:rFonts w:ascii="GHEA Grapalat" w:hAnsi="GHEA Grapalat" w:cs="GHEA Grapalat"/>
          <w:sz w:val="22"/>
          <w:szCs w:val="22"/>
        </w:rPr>
        <w:t xml:space="preserve"> Նշված գումարն </w:t>
      </w:r>
      <w:r w:rsidRPr="00B57DAB">
        <w:rPr>
          <w:rFonts w:ascii="GHEA Grapalat" w:hAnsi="GHEA Grapalat" w:cs="Sylfaen"/>
          <w:sz w:val="22"/>
          <w:szCs w:val="22"/>
        </w:rPr>
        <w:t xml:space="preserve">օգտագործվել է </w:t>
      </w:r>
      <w:r w:rsidRPr="00B57DAB">
        <w:rPr>
          <w:rFonts w:ascii="GHEA Grapalat" w:hAnsi="GHEA Grapalat" w:cs="GHEA Grapalat"/>
          <w:sz w:val="22"/>
          <w:szCs w:val="22"/>
        </w:rPr>
        <w:t>ծրագրի շրջանակներում ֆինանսական փաթեթների տրամադրման համար</w:t>
      </w:r>
      <w:r w:rsidRPr="00B57DAB">
        <w:rPr>
          <w:rFonts w:ascii="GHEA Grapalat" w:hAnsi="GHEA Grapalat" w:cs="Sylfaen"/>
          <w:sz w:val="22"/>
          <w:szCs w:val="22"/>
        </w:rPr>
        <w:t xml:space="preserve">՝ ապահովելով 56.7% կատարողական: </w:t>
      </w:r>
      <w:r w:rsidR="000F3292" w:rsidRPr="00B57DAB">
        <w:rPr>
          <w:rFonts w:ascii="GHEA Grapalat" w:hAnsi="GHEA Grapalat" w:cs="Sylfaen"/>
          <w:sz w:val="22"/>
          <w:szCs w:val="22"/>
        </w:rPr>
        <w:t>Միջոցառման շրջանակներում ապրանքային տեսքով ֆինանսական փաթեթներ են տրամադրվել 55 փոքր գյուղացիական տնտեսավարողների՝ նախատեսված 20-ի փոխարեն, որը պայմանավորված է տրամադրված ֆինանսական փաթեթների ցածր արժեքով: Ծախսերի ցածր կատարողականը</w:t>
      </w:r>
      <w:r w:rsidRPr="00B57DAB">
        <w:rPr>
          <w:rFonts w:ascii="GHEA Grapalat" w:hAnsi="GHEA Grapalat" w:cs="Sylfaen"/>
          <w:sz w:val="22"/>
          <w:szCs w:val="22"/>
        </w:rPr>
        <w:t xml:space="preserve"> պայմանավորված է նրանով, որ մրցութային գործընթացի հետաձգման հետևանքով մատակարարների հետ պայմանագրերը կնքվել են փետրվար ամսին: Արդյունքում ապրանքների մատակարարումը մեկնարկել է մարտ ամսին և գտնվում է ընթացքի մեջ: Տվյալ դրամաշնորհային ծրագրի շրջանակներում կայուն գյուղատնտեսական համակարգերում և տեխնոլոգիաներում ներդրումների համար նախատեսված 62.6 մլն դրամ միջոցները չեն օգտագործվել: Միջոցառման շրջանակներում դեգրադացված հողերի վերականգնման աշխատանքների իրականացման</w:t>
      </w:r>
      <w:r w:rsidRPr="00B57DAB">
        <w:rPr>
          <w:rFonts w:ascii="GHEA Grapalat" w:hAnsi="GHEA Grapalat" w:cs="GHEA Grapalat"/>
          <w:sz w:val="22"/>
          <w:szCs w:val="22"/>
        </w:rPr>
        <w:t xml:space="preserve"> մրցութային փաթեթը դոնորի կողմից հաստատվել է մարտ ամսին, հայտարարվել է մրցույթ, որը կամփոփվի երկրորդ եռամսյակում</w:t>
      </w:r>
      <w:r w:rsidR="00B35F6E" w:rsidRPr="00B57DAB">
        <w:rPr>
          <w:rFonts w:ascii="GHEA Grapalat" w:hAnsi="GHEA Grapalat" w:cs="GHEA Grapalat"/>
          <w:sz w:val="22"/>
          <w:szCs w:val="22"/>
        </w:rPr>
        <w:t>,</w:t>
      </w:r>
      <w:r w:rsidRPr="00B57DAB">
        <w:rPr>
          <w:rFonts w:ascii="GHEA Grapalat" w:hAnsi="GHEA Grapalat" w:cs="GHEA Grapalat"/>
          <w:sz w:val="22"/>
          <w:szCs w:val="22"/>
        </w:rPr>
        <w:t xml:space="preserve"> և կմեկնարկեն աշխատանքները:</w:t>
      </w:r>
    </w:p>
    <w:p w:rsidR="003F2149" w:rsidRPr="00B57DAB" w:rsidRDefault="00772ED1" w:rsidP="00772ED1">
      <w:pPr>
        <w:spacing w:line="360" w:lineRule="auto"/>
        <w:ind w:firstLine="561"/>
        <w:jc w:val="both"/>
        <w:rPr>
          <w:rFonts w:ascii="GHEA Grapalat" w:hAnsi="GHEA Grapalat" w:cs="GHEA Grapalat"/>
          <w:sz w:val="22"/>
          <w:szCs w:val="22"/>
          <w:lang w:val="hy-AM"/>
        </w:rPr>
      </w:pPr>
      <w:r w:rsidRPr="00B57DAB">
        <w:rPr>
          <w:rFonts w:ascii="GHEA Grapalat" w:hAnsi="GHEA Grapalat" w:cs="Sylfaen"/>
          <w:sz w:val="22"/>
          <w:szCs w:val="22"/>
        </w:rPr>
        <w:t xml:space="preserve">Նախորդ տարվա առաջին եռամսյակի համեմատ Ենթակառուցվածքների և գյուղական ֆինանսավորման աջակցության ծրագրի ծախսերն աճել են 37.1%-ով կամ շուրջ 39.3 մլն դրամով՝ հիմնականում պայմանավորված </w:t>
      </w:r>
      <w:r w:rsidRPr="00B57DAB">
        <w:rPr>
          <w:rFonts w:ascii="GHEA Grapalat" w:hAnsi="GHEA Grapalat" w:cs="GHEA Grapalat"/>
          <w:sz w:val="22"/>
          <w:szCs w:val="22"/>
        </w:rPr>
        <w:t>Գլոբալ էկոլոգիական հիմնադրամի աջակցությամբ իրականացվող Հայաստանում արտադրողականության աճին ուղղված հողերի կայուն կառավարման դրամաշնորհային ծրագրի շրջանակներում ֆինանսական փաթեթների տրամադրման ծախսերի 76% (46.9 մլն դրամ) աճով:</w:t>
      </w:r>
    </w:p>
    <w:p w:rsidR="003F2149" w:rsidRPr="00B57DAB" w:rsidRDefault="003F2149" w:rsidP="003F2149">
      <w:pPr>
        <w:spacing w:line="360" w:lineRule="auto"/>
        <w:ind w:firstLine="561"/>
        <w:jc w:val="both"/>
        <w:rPr>
          <w:rFonts w:ascii="GHEA Grapalat" w:hAnsi="GHEA Grapalat"/>
          <w:sz w:val="22"/>
          <w:szCs w:val="22"/>
          <w:lang w:val="af-ZA"/>
        </w:rPr>
      </w:pPr>
    </w:p>
    <w:p w:rsidR="00454E98" w:rsidRPr="00B57DAB" w:rsidRDefault="003F2149" w:rsidP="00454E98">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i/>
          <w:sz w:val="22"/>
          <w:szCs w:val="22"/>
          <w:u w:val="single"/>
          <w:lang w:val="hy-AM"/>
        </w:rPr>
        <w:t>ՀՀ արտաքին գործերի նախարարության</w:t>
      </w:r>
      <w:r w:rsidRPr="00B57DAB">
        <w:rPr>
          <w:rFonts w:ascii="GHEA Grapalat" w:hAnsi="GHEA Grapalat" w:cs="GHEA Grapalat"/>
          <w:sz w:val="22"/>
          <w:szCs w:val="22"/>
          <w:lang w:val="hy-AM"/>
        </w:rPr>
        <w:t xml:space="preserve"> </w:t>
      </w:r>
      <w:r w:rsidR="00454E98" w:rsidRPr="00B57DAB">
        <w:rPr>
          <w:rFonts w:ascii="GHEA Grapalat" w:hAnsi="GHEA Grapalat" w:cs="GHEA Grapalat"/>
          <w:sz w:val="22"/>
          <w:szCs w:val="22"/>
        </w:rPr>
        <w:t>պատասխանատվությամբ 202</w:t>
      </w:r>
      <w:r w:rsidR="00454E98" w:rsidRPr="00B57DAB">
        <w:rPr>
          <w:rFonts w:ascii="GHEA Grapalat" w:hAnsi="GHEA Grapalat" w:cs="GHEA Grapalat"/>
          <w:sz w:val="22"/>
          <w:szCs w:val="22"/>
          <w:lang w:val="af-ZA"/>
        </w:rPr>
        <w:t>2</w:t>
      </w:r>
      <w:r w:rsidR="00454E98" w:rsidRPr="00B57DAB">
        <w:rPr>
          <w:rFonts w:ascii="GHEA Grapalat" w:hAnsi="GHEA Grapalat" w:cs="GHEA Grapalat"/>
          <w:sz w:val="22"/>
          <w:szCs w:val="22"/>
        </w:rPr>
        <w:t xml:space="preserve"> թվականի առաջին եռամսյակի ընթացքում կատարվել է պետական բյուջեի </w:t>
      </w:r>
      <w:r w:rsidR="00454E98" w:rsidRPr="00B57DAB">
        <w:rPr>
          <w:rFonts w:ascii="GHEA Grapalat" w:hAnsi="GHEA Grapalat" w:cs="GHEA Grapalat"/>
          <w:sz w:val="22"/>
          <w:szCs w:val="22"/>
          <w:lang w:val="af-ZA"/>
        </w:rPr>
        <w:t>5</w:t>
      </w:r>
      <w:r w:rsidR="00454E98" w:rsidRPr="00B57DAB">
        <w:rPr>
          <w:rFonts w:ascii="GHEA Grapalat" w:hAnsi="GHEA Grapalat" w:cs="GHEA Grapalat"/>
          <w:sz w:val="22"/>
          <w:szCs w:val="22"/>
        </w:rPr>
        <w:t xml:space="preserve"> ծրագիր, որոնց գծով ծախսերը կազմել են </w:t>
      </w:r>
      <w:r w:rsidR="00454E98" w:rsidRPr="00B57DAB">
        <w:rPr>
          <w:rFonts w:ascii="GHEA Grapalat" w:hAnsi="GHEA Grapalat" w:cs="GHEA Grapalat"/>
          <w:sz w:val="22"/>
          <w:szCs w:val="22"/>
          <w:lang w:val="af-ZA"/>
        </w:rPr>
        <w:t>4.2</w:t>
      </w:r>
      <w:r w:rsidR="00454E98" w:rsidRPr="00B57DAB">
        <w:rPr>
          <w:rFonts w:ascii="Courier New" w:hAnsi="Courier New" w:cs="Courier New"/>
          <w:sz w:val="22"/>
          <w:szCs w:val="22"/>
        </w:rPr>
        <w:t> </w:t>
      </w:r>
      <w:r w:rsidR="00454E98" w:rsidRPr="00B57DAB">
        <w:rPr>
          <w:rFonts w:ascii="GHEA Grapalat" w:hAnsi="GHEA Grapalat" w:cs="GHEA Grapalat"/>
          <w:sz w:val="22"/>
          <w:szCs w:val="22"/>
        </w:rPr>
        <w:t xml:space="preserve">մլրդ դրամ կամ ծրագրված ցուցանիշի </w:t>
      </w:r>
      <w:r w:rsidR="00454E98" w:rsidRPr="00B57DAB">
        <w:rPr>
          <w:rFonts w:ascii="GHEA Grapalat" w:hAnsi="GHEA Grapalat" w:cs="GHEA Grapalat"/>
          <w:sz w:val="22"/>
          <w:szCs w:val="22"/>
          <w:lang w:val="af-ZA"/>
        </w:rPr>
        <w:t>96.4</w:t>
      </w:r>
      <w:r w:rsidR="00454E98" w:rsidRPr="00B57DAB">
        <w:rPr>
          <w:rFonts w:ascii="GHEA Grapalat" w:hAnsi="GHEA Grapalat" w:cs="GHEA Grapalat"/>
          <w:sz w:val="22"/>
          <w:szCs w:val="22"/>
        </w:rPr>
        <w:t>%</w:t>
      </w:r>
      <w:r w:rsidR="00454E98" w:rsidRPr="00B57DAB">
        <w:rPr>
          <w:rFonts w:ascii="GHEA Grapalat" w:hAnsi="GHEA Grapalat" w:cs="GHEA Grapalat"/>
          <w:sz w:val="22"/>
          <w:szCs w:val="22"/>
        </w:rPr>
        <w:noBreakHyphen/>
        <w:t xml:space="preserve">ը: Ծրագրված ցուցանիշից շեղումը հիմնականում </w:t>
      </w:r>
      <w:r w:rsidR="00A01C69" w:rsidRPr="00B57DAB">
        <w:rPr>
          <w:rFonts w:ascii="GHEA Grapalat" w:hAnsi="GHEA Grapalat" w:cs="GHEA Grapalat"/>
          <w:sz w:val="22"/>
          <w:szCs w:val="22"/>
        </w:rPr>
        <w:t>պայմանավորված</w:t>
      </w:r>
      <w:r w:rsidR="00454E98" w:rsidRPr="00B57DAB">
        <w:rPr>
          <w:rFonts w:ascii="GHEA Grapalat" w:hAnsi="GHEA Grapalat" w:cs="GHEA Grapalat"/>
          <w:sz w:val="22"/>
          <w:szCs w:val="22"/>
        </w:rPr>
        <w:t xml:space="preserve"> է</w:t>
      </w:r>
      <w:r w:rsidR="00454E98" w:rsidRPr="00B57DAB">
        <w:rPr>
          <w:rFonts w:ascii="GHEA Grapalat" w:hAnsi="GHEA Grapalat" w:cs="GHEA Grapalat"/>
          <w:sz w:val="22"/>
          <w:szCs w:val="22"/>
          <w:lang w:val="af-ZA"/>
        </w:rPr>
        <w:t xml:space="preserve"> </w:t>
      </w:r>
      <w:r w:rsidR="00454E98" w:rsidRPr="00B57DAB">
        <w:rPr>
          <w:rFonts w:ascii="GHEA Grapalat" w:hAnsi="GHEA Grapalat" w:cs="GHEA Grapalat"/>
          <w:sz w:val="22"/>
          <w:szCs w:val="22"/>
        </w:rPr>
        <w:t>Օտարերկրյա պետություններում ՀՀ դիվանագիտական ծառայության մարմինների գործունեության կազմակերպման ու իրականացման</w:t>
      </w:r>
      <w:r w:rsidR="00454E98" w:rsidRPr="00B57DAB">
        <w:rPr>
          <w:rFonts w:ascii="GHEA Grapalat" w:hAnsi="GHEA Grapalat" w:cs="GHEA Grapalat"/>
          <w:sz w:val="22"/>
          <w:szCs w:val="22"/>
          <w:lang w:val="af-ZA"/>
        </w:rPr>
        <w:t xml:space="preserve"> </w:t>
      </w:r>
      <w:r w:rsidR="00454E98" w:rsidRPr="00B57DAB">
        <w:rPr>
          <w:rFonts w:ascii="GHEA Grapalat" w:hAnsi="GHEA Grapalat" w:cs="GHEA Grapalat"/>
          <w:sz w:val="22"/>
          <w:szCs w:val="22"/>
        </w:rPr>
        <w:t>ծրագր</w:t>
      </w:r>
      <w:r w:rsidR="00A01C69" w:rsidRPr="00B57DAB">
        <w:rPr>
          <w:rFonts w:ascii="GHEA Grapalat" w:hAnsi="GHEA Grapalat" w:cs="GHEA Grapalat"/>
          <w:sz w:val="22"/>
          <w:szCs w:val="22"/>
        </w:rPr>
        <w:t>ի կատարողականով</w:t>
      </w:r>
      <w:r w:rsidR="00454E98" w:rsidRPr="00B57DAB">
        <w:rPr>
          <w:rFonts w:ascii="GHEA Grapalat" w:hAnsi="GHEA Grapalat" w:cs="GHEA Grapalat"/>
          <w:sz w:val="22"/>
          <w:szCs w:val="22"/>
        </w:rPr>
        <w:t xml:space="preserve">: </w:t>
      </w:r>
      <w:r w:rsidR="00A01C69" w:rsidRPr="00B57DAB">
        <w:rPr>
          <w:rFonts w:ascii="GHEA Grapalat" w:hAnsi="GHEA Grapalat" w:cs="GHEA Grapalat"/>
          <w:sz w:val="22"/>
          <w:szCs w:val="22"/>
        </w:rPr>
        <w:t>Ն</w:t>
      </w:r>
      <w:r w:rsidR="00454E98" w:rsidRPr="00B57DAB">
        <w:rPr>
          <w:rFonts w:ascii="GHEA Grapalat" w:hAnsi="GHEA Grapalat" w:cs="GHEA Grapalat"/>
          <w:sz w:val="22"/>
          <w:szCs w:val="22"/>
        </w:rPr>
        <w:t>ախորդ տարվա</w:t>
      </w:r>
      <w:r w:rsidR="00A01C69" w:rsidRPr="00B57DAB">
        <w:rPr>
          <w:rFonts w:ascii="GHEA Grapalat" w:hAnsi="GHEA Grapalat" w:cs="GHEA Grapalat"/>
          <w:sz w:val="22"/>
          <w:szCs w:val="22"/>
        </w:rPr>
        <w:t xml:space="preserve"> նույն ժամանակահատվածի</w:t>
      </w:r>
      <w:r w:rsidR="00454E98" w:rsidRPr="00B57DAB">
        <w:rPr>
          <w:rFonts w:ascii="GHEA Grapalat" w:hAnsi="GHEA Grapalat" w:cs="GHEA Grapalat"/>
          <w:sz w:val="22"/>
          <w:szCs w:val="22"/>
        </w:rPr>
        <w:t xml:space="preserve"> համեմատ նախարարության պատասխանատվությամբ կատարված ծրագրերի գծով ծախսերն </w:t>
      </w:r>
      <w:r w:rsidR="00A01C69" w:rsidRPr="00B57DAB">
        <w:rPr>
          <w:rFonts w:ascii="GHEA Grapalat" w:hAnsi="GHEA Grapalat" w:cs="GHEA Grapalat"/>
          <w:sz w:val="22"/>
          <w:szCs w:val="22"/>
        </w:rPr>
        <w:t>աճ</w:t>
      </w:r>
      <w:r w:rsidR="00454E98" w:rsidRPr="00B57DAB">
        <w:rPr>
          <w:rFonts w:ascii="GHEA Grapalat" w:hAnsi="GHEA Grapalat" w:cs="GHEA Grapalat"/>
          <w:sz w:val="22"/>
          <w:szCs w:val="22"/>
        </w:rPr>
        <w:t>ել</w:t>
      </w:r>
      <w:r w:rsidR="00454E98" w:rsidRPr="00B57DAB">
        <w:rPr>
          <w:rFonts w:ascii="GHEA Grapalat" w:hAnsi="GHEA Grapalat" w:cs="GHEA Grapalat"/>
          <w:sz w:val="22"/>
          <w:szCs w:val="22"/>
          <w:lang w:val="af-ZA"/>
        </w:rPr>
        <w:t xml:space="preserve"> </w:t>
      </w:r>
      <w:r w:rsidR="00454E98" w:rsidRPr="00B57DAB">
        <w:rPr>
          <w:rFonts w:ascii="GHEA Grapalat" w:hAnsi="GHEA Grapalat" w:cs="GHEA Grapalat"/>
          <w:sz w:val="22"/>
          <w:szCs w:val="22"/>
        </w:rPr>
        <w:t>են</w:t>
      </w:r>
      <w:r w:rsidR="00454E98" w:rsidRPr="00B57DAB">
        <w:rPr>
          <w:rFonts w:ascii="GHEA Grapalat" w:hAnsi="GHEA Grapalat" w:cs="GHEA Grapalat"/>
          <w:sz w:val="22"/>
          <w:szCs w:val="22"/>
          <w:lang w:val="af-ZA"/>
        </w:rPr>
        <w:t xml:space="preserve"> 10.3</w:t>
      </w:r>
      <w:r w:rsidR="00A01C69" w:rsidRPr="00B57DAB">
        <w:rPr>
          <w:rFonts w:ascii="GHEA Grapalat" w:hAnsi="GHEA Grapalat" w:cs="GHEA Grapalat"/>
          <w:sz w:val="22"/>
          <w:szCs w:val="22"/>
          <w:lang w:val="af-ZA"/>
        </w:rPr>
        <w:t>%</w:t>
      </w:r>
      <w:r w:rsidR="00A01C69" w:rsidRPr="00B57DAB">
        <w:rPr>
          <w:rFonts w:ascii="GHEA Grapalat" w:hAnsi="GHEA Grapalat" w:cs="GHEA Grapalat"/>
          <w:sz w:val="22"/>
          <w:szCs w:val="22"/>
          <w:lang w:val="af-ZA"/>
        </w:rPr>
        <w:noBreakHyphen/>
      </w:r>
      <w:r w:rsidR="00454E98" w:rsidRPr="00B57DAB">
        <w:rPr>
          <w:rFonts w:ascii="GHEA Grapalat" w:hAnsi="GHEA Grapalat" w:cs="GHEA Grapalat"/>
          <w:sz w:val="22"/>
          <w:szCs w:val="22"/>
        </w:rPr>
        <w:t>ով</w:t>
      </w:r>
      <w:r w:rsidR="00454E98" w:rsidRPr="00B57DAB">
        <w:rPr>
          <w:rFonts w:ascii="GHEA Grapalat" w:hAnsi="GHEA Grapalat" w:cs="GHEA Grapalat"/>
          <w:sz w:val="22"/>
          <w:szCs w:val="22"/>
          <w:lang w:val="af-ZA"/>
        </w:rPr>
        <w:t xml:space="preserve"> </w:t>
      </w:r>
      <w:r w:rsidR="00454E98" w:rsidRPr="00B57DAB">
        <w:rPr>
          <w:rFonts w:ascii="GHEA Grapalat" w:hAnsi="GHEA Grapalat" w:cs="GHEA Grapalat"/>
          <w:sz w:val="22"/>
          <w:szCs w:val="22"/>
        </w:rPr>
        <w:t>կամ</w:t>
      </w:r>
      <w:r w:rsidR="00454E98" w:rsidRPr="00B57DAB">
        <w:rPr>
          <w:rFonts w:ascii="GHEA Grapalat" w:hAnsi="GHEA Grapalat" w:cs="GHEA Grapalat"/>
          <w:sz w:val="22"/>
          <w:szCs w:val="22"/>
          <w:lang w:val="af-ZA"/>
        </w:rPr>
        <w:t xml:space="preserve"> 393.4 մլն </w:t>
      </w:r>
      <w:r w:rsidR="00454E98" w:rsidRPr="00B57DAB">
        <w:rPr>
          <w:rFonts w:ascii="GHEA Grapalat" w:hAnsi="GHEA Grapalat" w:cs="GHEA Grapalat"/>
          <w:sz w:val="22"/>
          <w:szCs w:val="22"/>
        </w:rPr>
        <w:t>դրամով՝</w:t>
      </w:r>
      <w:r w:rsidR="00454E98" w:rsidRPr="00B57DAB">
        <w:rPr>
          <w:rFonts w:ascii="GHEA Grapalat" w:hAnsi="GHEA Grapalat" w:cs="GHEA Grapalat"/>
          <w:sz w:val="22"/>
          <w:szCs w:val="22"/>
          <w:lang w:val="af-ZA"/>
        </w:rPr>
        <w:t xml:space="preserve"> </w:t>
      </w:r>
      <w:r w:rsidR="00A01C69" w:rsidRPr="00B57DAB">
        <w:rPr>
          <w:rFonts w:ascii="GHEA Grapalat" w:hAnsi="GHEA Grapalat" w:cs="GHEA Grapalat"/>
          <w:sz w:val="22"/>
          <w:szCs w:val="22"/>
          <w:lang w:val="af-ZA"/>
        </w:rPr>
        <w:t xml:space="preserve">հիմնականում </w:t>
      </w:r>
      <w:r w:rsidR="00454E98" w:rsidRPr="00B57DAB">
        <w:rPr>
          <w:rFonts w:ascii="GHEA Grapalat" w:hAnsi="GHEA Grapalat" w:cs="GHEA Grapalat"/>
          <w:sz w:val="22"/>
          <w:szCs w:val="22"/>
        </w:rPr>
        <w:t>պայմանավորված</w:t>
      </w:r>
      <w:r w:rsidR="00454E98" w:rsidRPr="00B57DAB">
        <w:rPr>
          <w:rFonts w:ascii="GHEA Grapalat" w:hAnsi="GHEA Grapalat" w:cs="GHEA Grapalat"/>
          <w:sz w:val="22"/>
          <w:szCs w:val="22"/>
          <w:lang w:val="af-ZA"/>
        </w:rPr>
        <w:t xml:space="preserve"> </w:t>
      </w:r>
      <w:r w:rsidR="00454E98" w:rsidRPr="00B57DAB">
        <w:rPr>
          <w:rFonts w:ascii="GHEA Grapalat" w:hAnsi="GHEA Grapalat" w:cs="GHEA Grapalat"/>
          <w:sz w:val="22"/>
          <w:szCs w:val="22"/>
        </w:rPr>
        <w:t>Օտարերկրյա պետություններում ՀՀ դիվանագիտական ծառայության մարմինների գործունեության կազմակերպման ու իրականացման և Արտաքին գործերի ոլորտում Կառավարության քաղաքականության մշակման և իրականացման ծրագրերի շրջանակներում կատարված ծախսերի աճով:</w:t>
      </w:r>
    </w:p>
    <w:p w:rsidR="00454E98" w:rsidRPr="00B57DAB" w:rsidRDefault="00454E98" w:rsidP="00454E98">
      <w:pPr>
        <w:autoSpaceDE w:val="0"/>
        <w:autoSpaceDN w:val="0"/>
        <w:adjustRightInd w:val="0"/>
        <w:spacing w:line="360" w:lineRule="auto"/>
        <w:ind w:firstLine="567"/>
        <w:jc w:val="both"/>
        <w:rPr>
          <w:rFonts w:ascii="GHEA Grapalat" w:hAnsi="GHEA Grapalat" w:cs="GHEA Grapalat"/>
          <w:sz w:val="22"/>
          <w:szCs w:val="22"/>
        </w:rPr>
      </w:pPr>
    </w:p>
    <w:p w:rsidR="00454E98" w:rsidRPr="00B57DAB" w:rsidRDefault="00454E98" w:rsidP="00770F24">
      <w:pPr>
        <w:pStyle w:val="Caption"/>
        <w:keepNext/>
        <w:numPr>
          <w:ilvl w:val="0"/>
          <w:numId w:val="8"/>
        </w:numPr>
        <w:tabs>
          <w:tab w:val="left" w:pos="1276"/>
        </w:tabs>
        <w:ind w:left="0" w:firstLine="0"/>
        <w:jc w:val="left"/>
        <w:rPr>
          <w:rFonts w:ascii="GHEA Grapalat" w:hAnsi="GHEA Grapalat"/>
          <w:i/>
          <w:sz w:val="18"/>
          <w:szCs w:val="18"/>
          <w:lang w:val="en-US"/>
        </w:rPr>
      </w:pPr>
      <w:r w:rsidRPr="00B57DAB">
        <w:rPr>
          <w:rFonts w:ascii="GHEA Grapalat" w:hAnsi="GHEA Grapalat"/>
          <w:i/>
          <w:sz w:val="18"/>
          <w:szCs w:val="18"/>
          <w:lang w:val="en-US"/>
        </w:rPr>
        <w:t>2022թ. առաջին եռամսյակում ՀՀ արտաքին գործերի նախարարության կողմից իրականացված ծրագրերը (մլն դրամ)</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5"/>
        <w:gridCol w:w="965"/>
        <w:gridCol w:w="951"/>
        <w:gridCol w:w="973"/>
        <w:gridCol w:w="1203"/>
        <w:gridCol w:w="1203"/>
        <w:gridCol w:w="1358"/>
      </w:tblGrid>
      <w:tr w:rsidR="005B7DCC" w:rsidRPr="00B57DAB" w:rsidTr="004A782A">
        <w:trPr>
          <w:trHeight w:val="300"/>
          <w:jc w:val="center"/>
        </w:trPr>
        <w:tc>
          <w:tcPr>
            <w:tcW w:w="3585" w:type="dxa"/>
            <w:shd w:val="clear" w:color="auto" w:fill="auto"/>
            <w:noWrap/>
            <w:vAlign w:val="bottom"/>
            <w:hideMark/>
          </w:tcPr>
          <w:p w:rsidR="005B7DCC" w:rsidRPr="00B57DAB" w:rsidRDefault="005B7DCC" w:rsidP="004A782A">
            <w:pPr>
              <w:rPr>
                <w:rFonts w:ascii="GHEA Grapalat" w:hAnsi="GHEA Grapalat" w:cs="Calibri"/>
                <w:color w:val="000000"/>
                <w:sz w:val="18"/>
                <w:szCs w:val="18"/>
              </w:rPr>
            </w:pPr>
          </w:p>
        </w:tc>
        <w:tc>
          <w:tcPr>
            <w:tcW w:w="965" w:type="dxa"/>
          </w:tcPr>
          <w:p w:rsidR="005B7DCC" w:rsidRPr="00B57DAB" w:rsidRDefault="005B7DCC" w:rsidP="005B7DCC">
            <w:pPr>
              <w:jc w:val="center"/>
              <w:rPr>
                <w:rFonts w:ascii="GHEA Grapalat" w:hAnsi="GHEA Grapalat" w:cs="Calibri"/>
                <w:b/>
                <w:bCs/>
                <w:sz w:val="18"/>
                <w:szCs w:val="18"/>
                <w:lang w:val="hy-AM"/>
              </w:rPr>
            </w:pPr>
            <w:r w:rsidRPr="00B57DAB">
              <w:rPr>
                <w:rFonts w:ascii="GHEA Grapalat" w:hAnsi="GHEA Grapalat" w:cs="Calibri"/>
                <w:b/>
                <w:bCs/>
                <w:sz w:val="18"/>
                <w:szCs w:val="18"/>
              </w:rPr>
              <w:t>2021թ. առաջին եռամս-յակի փաստ</w:t>
            </w:r>
          </w:p>
        </w:tc>
        <w:tc>
          <w:tcPr>
            <w:tcW w:w="951" w:type="dxa"/>
          </w:tcPr>
          <w:p w:rsidR="005B7DCC" w:rsidRPr="00B57DAB" w:rsidRDefault="005B7DCC" w:rsidP="005B7DCC">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 ճշտված պլան</w:t>
            </w:r>
          </w:p>
        </w:tc>
        <w:tc>
          <w:tcPr>
            <w:tcW w:w="973" w:type="dxa"/>
            <w:shd w:val="clear" w:color="auto" w:fill="auto"/>
            <w:noWrap/>
            <w:hideMark/>
          </w:tcPr>
          <w:p w:rsidR="005B7DCC" w:rsidRPr="00B57DAB" w:rsidRDefault="005B7DCC" w:rsidP="005B7DCC">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 փաստ</w:t>
            </w:r>
          </w:p>
        </w:tc>
        <w:tc>
          <w:tcPr>
            <w:tcW w:w="1203" w:type="dxa"/>
          </w:tcPr>
          <w:p w:rsidR="005B7DCC" w:rsidRPr="00B57DAB" w:rsidRDefault="005B7DCC" w:rsidP="005B7DCC">
            <w:pPr>
              <w:jc w:val="center"/>
              <w:rPr>
                <w:rFonts w:ascii="GHEA Grapalat" w:hAnsi="GHEA Grapalat" w:cs="Calibri"/>
                <w:b/>
                <w:bCs/>
                <w:sz w:val="18"/>
                <w:szCs w:val="18"/>
              </w:rPr>
            </w:pPr>
            <w:r w:rsidRPr="00B57DAB">
              <w:rPr>
                <w:rFonts w:ascii="GHEA Grapalat" w:hAnsi="GHEA Grapalat" w:cs="Calibri"/>
                <w:b/>
                <w:bCs/>
                <w:sz w:val="18"/>
                <w:szCs w:val="18"/>
                <w:lang w:val="hy-AM"/>
              </w:rPr>
              <w:t>Կատարո-ղական</w:t>
            </w:r>
            <w:r w:rsidRPr="00B57DAB">
              <w:rPr>
                <w:rFonts w:ascii="GHEA Grapalat" w:hAnsi="GHEA Grapalat" w:cs="Calibri"/>
                <w:b/>
                <w:bCs/>
                <w:sz w:val="18"/>
                <w:szCs w:val="18"/>
              </w:rPr>
              <w:t>ն առաջին եռամսյակի</w:t>
            </w:r>
            <w:r w:rsidRPr="00B57DAB">
              <w:rPr>
                <w:rFonts w:ascii="GHEA Grapalat" w:hAnsi="GHEA Grapalat" w:cs="Calibri"/>
                <w:b/>
                <w:bCs/>
                <w:sz w:val="18"/>
                <w:szCs w:val="18"/>
                <w:lang w:val="hy-AM"/>
              </w:rPr>
              <w:t xml:space="preserve"> ճշտված պլանի նկատմամբ</w:t>
            </w:r>
            <w:r w:rsidRPr="00B57DAB">
              <w:rPr>
                <w:rFonts w:ascii="GHEA Grapalat" w:hAnsi="GHEA Grapalat" w:cs="Calibri"/>
                <w:b/>
                <w:bCs/>
                <w:sz w:val="18"/>
                <w:szCs w:val="18"/>
              </w:rPr>
              <w:t xml:space="preserve"> (%)</w:t>
            </w:r>
          </w:p>
        </w:tc>
        <w:tc>
          <w:tcPr>
            <w:tcW w:w="1203" w:type="dxa"/>
          </w:tcPr>
          <w:p w:rsidR="005B7DCC" w:rsidRPr="00B57DAB" w:rsidRDefault="005B7DCC" w:rsidP="005B7DCC">
            <w:pPr>
              <w:jc w:val="center"/>
              <w:rPr>
                <w:rFonts w:ascii="GHEA Grapalat" w:hAnsi="GHEA Grapalat" w:cs="Calibri"/>
                <w:b/>
                <w:bCs/>
                <w:sz w:val="18"/>
                <w:szCs w:val="18"/>
              </w:rPr>
            </w:pPr>
            <w:r w:rsidRPr="00B57DAB">
              <w:rPr>
                <w:rFonts w:ascii="GHEA Grapalat" w:hAnsi="GHEA Grapalat" w:cs="Calibri"/>
                <w:b/>
                <w:bCs/>
                <w:sz w:val="18"/>
                <w:szCs w:val="18"/>
              </w:rPr>
              <w:t xml:space="preserve">2022թ. առաջին եռամսյակը 2021թ. </w:t>
            </w:r>
            <w:proofErr w:type="gramStart"/>
            <w:r w:rsidRPr="00B57DAB">
              <w:rPr>
                <w:rFonts w:ascii="GHEA Grapalat" w:hAnsi="GHEA Grapalat" w:cs="Calibri"/>
                <w:b/>
                <w:bCs/>
                <w:sz w:val="18"/>
                <w:szCs w:val="18"/>
              </w:rPr>
              <w:t>առաջին</w:t>
            </w:r>
            <w:proofErr w:type="gramEnd"/>
            <w:r w:rsidRPr="00B57DAB">
              <w:rPr>
                <w:rFonts w:ascii="GHEA Grapalat" w:hAnsi="GHEA Grapalat" w:cs="Calibri"/>
                <w:b/>
                <w:bCs/>
                <w:sz w:val="18"/>
                <w:szCs w:val="18"/>
              </w:rPr>
              <w:t xml:space="preserve"> եռամսյակի նկատմամբ (%)</w:t>
            </w:r>
          </w:p>
        </w:tc>
        <w:tc>
          <w:tcPr>
            <w:tcW w:w="1358" w:type="dxa"/>
          </w:tcPr>
          <w:p w:rsidR="005B7DCC" w:rsidRPr="00B57DAB" w:rsidRDefault="005B7DCC" w:rsidP="005B7DCC">
            <w:pPr>
              <w:jc w:val="center"/>
              <w:rPr>
                <w:rFonts w:ascii="GHEA Grapalat" w:hAnsi="GHEA Grapalat" w:cs="Calibri"/>
                <w:b/>
                <w:color w:val="000000"/>
                <w:sz w:val="18"/>
                <w:szCs w:val="18"/>
              </w:rPr>
            </w:pPr>
            <w:r w:rsidRPr="00B57DAB">
              <w:rPr>
                <w:rFonts w:ascii="GHEA Grapalat" w:hAnsi="GHEA Grapalat" w:cs="Calibri"/>
                <w:b/>
                <w:color w:val="000000"/>
                <w:sz w:val="18"/>
                <w:szCs w:val="18"/>
              </w:rPr>
              <w:t>2022թ. և 2021թ. տարբե-րությունը</w:t>
            </w:r>
          </w:p>
        </w:tc>
      </w:tr>
      <w:tr w:rsidR="00454E98" w:rsidRPr="00B57DAB" w:rsidTr="004A782A">
        <w:trPr>
          <w:trHeight w:val="331"/>
          <w:jc w:val="center"/>
        </w:trPr>
        <w:tc>
          <w:tcPr>
            <w:tcW w:w="3585" w:type="dxa"/>
            <w:shd w:val="clear" w:color="auto" w:fill="auto"/>
          </w:tcPr>
          <w:p w:rsidR="00454E98" w:rsidRPr="00B57DAB" w:rsidRDefault="00454E98" w:rsidP="004A782A">
            <w:pPr>
              <w:rPr>
                <w:rFonts w:ascii="GHEA Grapalat" w:hAnsi="GHEA Grapalat" w:cs="Calibri"/>
                <w:b/>
                <w:color w:val="000000"/>
                <w:sz w:val="18"/>
                <w:szCs w:val="18"/>
              </w:rPr>
            </w:pPr>
            <w:r w:rsidRPr="00B57DAB">
              <w:rPr>
                <w:rFonts w:ascii="GHEA Grapalat" w:hAnsi="GHEA Grapalat" w:cs="Calibri"/>
                <w:b/>
                <w:color w:val="000000"/>
                <w:sz w:val="18"/>
                <w:szCs w:val="18"/>
              </w:rPr>
              <w:t>ԸՆԴԱՄԵՆԸ</w:t>
            </w:r>
          </w:p>
        </w:tc>
        <w:tc>
          <w:tcPr>
            <w:tcW w:w="965" w:type="dxa"/>
          </w:tcPr>
          <w:p w:rsidR="00454E98" w:rsidRPr="00B57DAB" w:rsidRDefault="00454E98" w:rsidP="004A782A">
            <w:pPr>
              <w:jc w:val="right"/>
              <w:rPr>
                <w:rFonts w:ascii="GHEA Grapalat" w:hAnsi="GHEA Grapalat" w:cs="Calibri"/>
                <w:b/>
                <w:color w:val="000000"/>
                <w:sz w:val="18"/>
                <w:szCs w:val="18"/>
              </w:rPr>
            </w:pPr>
            <w:r w:rsidRPr="00B57DAB">
              <w:rPr>
                <w:rFonts w:ascii="GHEA Grapalat" w:hAnsi="GHEA Grapalat" w:cs="Calibri"/>
                <w:b/>
                <w:color w:val="000000"/>
                <w:sz w:val="18"/>
                <w:szCs w:val="18"/>
              </w:rPr>
              <w:t>3,833.8</w:t>
            </w:r>
          </w:p>
        </w:tc>
        <w:tc>
          <w:tcPr>
            <w:tcW w:w="951" w:type="dxa"/>
          </w:tcPr>
          <w:p w:rsidR="00454E98" w:rsidRPr="00B57DAB" w:rsidRDefault="00454E98" w:rsidP="004A782A">
            <w:pPr>
              <w:jc w:val="right"/>
              <w:rPr>
                <w:rFonts w:ascii="GHEA Grapalat" w:hAnsi="GHEA Grapalat" w:cs="Calibri"/>
                <w:b/>
                <w:color w:val="000000"/>
                <w:sz w:val="18"/>
                <w:szCs w:val="18"/>
              </w:rPr>
            </w:pPr>
            <w:r w:rsidRPr="00B57DAB">
              <w:rPr>
                <w:rFonts w:ascii="GHEA Grapalat" w:hAnsi="GHEA Grapalat" w:cs="Calibri"/>
                <w:b/>
                <w:color w:val="000000"/>
                <w:sz w:val="18"/>
                <w:szCs w:val="18"/>
              </w:rPr>
              <w:t>4,383.0</w:t>
            </w:r>
          </w:p>
        </w:tc>
        <w:tc>
          <w:tcPr>
            <w:tcW w:w="973" w:type="dxa"/>
            <w:shd w:val="clear" w:color="auto" w:fill="auto"/>
          </w:tcPr>
          <w:p w:rsidR="00454E98" w:rsidRPr="00B57DAB" w:rsidRDefault="00454E98" w:rsidP="004A782A">
            <w:pPr>
              <w:jc w:val="right"/>
              <w:rPr>
                <w:rFonts w:ascii="GHEA Grapalat" w:hAnsi="GHEA Grapalat" w:cs="Calibri"/>
                <w:b/>
                <w:color w:val="000000"/>
                <w:sz w:val="18"/>
                <w:szCs w:val="18"/>
              </w:rPr>
            </w:pPr>
            <w:r w:rsidRPr="00B57DAB">
              <w:rPr>
                <w:rFonts w:ascii="GHEA Grapalat" w:hAnsi="GHEA Grapalat" w:cs="Calibri"/>
                <w:b/>
                <w:color w:val="000000"/>
                <w:sz w:val="18"/>
                <w:szCs w:val="18"/>
              </w:rPr>
              <w:t>4,227.2</w:t>
            </w:r>
          </w:p>
        </w:tc>
        <w:tc>
          <w:tcPr>
            <w:tcW w:w="1203" w:type="dxa"/>
          </w:tcPr>
          <w:p w:rsidR="00454E98" w:rsidRPr="00B57DAB" w:rsidRDefault="00454E98" w:rsidP="004A782A">
            <w:pPr>
              <w:jc w:val="right"/>
              <w:rPr>
                <w:rFonts w:ascii="GHEA Grapalat" w:hAnsi="GHEA Grapalat" w:cs="Calibri"/>
                <w:b/>
                <w:color w:val="000000"/>
                <w:sz w:val="18"/>
                <w:szCs w:val="18"/>
              </w:rPr>
            </w:pPr>
            <w:r w:rsidRPr="00B57DAB">
              <w:rPr>
                <w:rFonts w:ascii="GHEA Grapalat" w:hAnsi="GHEA Grapalat" w:cs="Calibri"/>
                <w:b/>
                <w:color w:val="000000"/>
                <w:sz w:val="18"/>
                <w:szCs w:val="18"/>
              </w:rPr>
              <w:t>96.4</w:t>
            </w:r>
          </w:p>
        </w:tc>
        <w:tc>
          <w:tcPr>
            <w:tcW w:w="1203" w:type="dxa"/>
          </w:tcPr>
          <w:p w:rsidR="00454E98" w:rsidRPr="00B57DAB" w:rsidRDefault="00454E98" w:rsidP="004A782A">
            <w:pPr>
              <w:jc w:val="right"/>
              <w:rPr>
                <w:rFonts w:ascii="GHEA Grapalat" w:hAnsi="GHEA Grapalat" w:cs="Calibri"/>
                <w:b/>
                <w:color w:val="000000"/>
                <w:sz w:val="18"/>
                <w:szCs w:val="18"/>
              </w:rPr>
            </w:pPr>
            <w:r w:rsidRPr="00B57DAB">
              <w:rPr>
                <w:rFonts w:ascii="GHEA Grapalat" w:hAnsi="GHEA Grapalat" w:cs="Calibri"/>
                <w:b/>
                <w:color w:val="000000"/>
                <w:sz w:val="18"/>
                <w:szCs w:val="18"/>
              </w:rPr>
              <w:t>110.3</w:t>
            </w:r>
          </w:p>
        </w:tc>
        <w:tc>
          <w:tcPr>
            <w:tcW w:w="1358" w:type="dxa"/>
          </w:tcPr>
          <w:p w:rsidR="00454E98" w:rsidRPr="00B57DAB" w:rsidRDefault="00454E98" w:rsidP="004A782A">
            <w:pPr>
              <w:jc w:val="right"/>
              <w:rPr>
                <w:rFonts w:ascii="GHEA Grapalat" w:hAnsi="GHEA Grapalat" w:cs="Calibri"/>
                <w:b/>
                <w:color w:val="000000"/>
                <w:sz w:val="18"/>
                <w:szCs w:val="18"/>
              </w:rPr>
            </w:pPr>
            <w:r w:rsidRPr="00B57DAB">
              <w:rPr>
                <w:rFonts w:ascii="GHEA Grapalat" w:hAnsi="GHEA Grapalat" w:cs="Calibri"/>
                <w:b/>
                <w:color w:val="000000"/>
                <w:sz w:val="18"/>
                <w:szCs w:val="18"/>
              </w:rPr>
              <w:t>393.4</w:t>
            </w:r>
          </w:p>
        </w:tc>
      </w:tr>
      <w:tr w:rsidR="00454E98" w:rsidRPr="00B57DAB" w:rsidTr="004A782A">
        <w:trPr>
          <w:trHeight w:val="300"/>
          <w:jc w:val="center"/>
        </w:trPr>
        <w:tc>
          <w:tcPr>
            <w:tcW w:w="3585" w:type="dxa"/>
            <w:shd w:val="clear" w:color="auto" w:fill="auto"/>
            <w:hideMark/>
          </w:tcPr>
          <w:p w:rsidR="00454E98" w:rsidRPr="00B57DAB" w:rsidRDefault="00454E98" w:rsidP="004A782A">
            <w:pPr>
              <w:rPr>
                <w:rFonts w:ascii="GHEA Grapalat" w:hAnsi="GHEA Grapalat" w:cs="Calibri"/>
                <w:color w:val="000000"/>
                <w:sz w:val="18"/>
                <w:szCs w:val="18"/>
              </w:rPr>
            </w:pPr>
            <w:r w:rsidRPr="00B57DAB">
              <w:rPr>
                <w:rFonts w:ascii="GHEA Grapalat" w:hAnsi="GHEA Grapalat" w:cs="Calibri"/>
                <w:color w:val="000000"/>
                <w:sz w:val="18"/>
                <w:szCs w:val="18"/>
              </w:rPr>
              <w:t>Արտաքին գործերի ոլորտում Կառավարության քաղաքականության մշակում և իրականացում</w:t>
            </w:r>
          </w:p>
        </w:tc>
        <w:tc>
          <w:tcPr>
            <w:tcW w:w="965"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307.8</w:t>
            </w:r>
          </w:p>
        </w:tc>
        <w:tc>
          <w:tcPr>
            <w:tcW w:w="951"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468.3</w:t>
            </w:r>
          </w:p>
        </w:tc>
        <w:tc>
          <w:tcPr>
            <w:tcW w:w="973" w:type="dxa"/>
            <w:shd w:val="clear" w:color="auto" w:fill="auto"/>
            <w:hideMark/>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460.9</w:t>
            </w:r>
          </w:p>
        </w:tc>
        <w:tc>
          <w:tcPr>
            <w:tcW w:w="1203"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98.4</w:t>
            </w:r>
          </w:p>
        </w:tc>
        <w:tc>
          <w:tcPr>
            <w:tcW w:w="1203"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149.8</w:t>
            </w:r>
          </w:p>
        </w:tc>
        <w:tc>
          <w:tcPr>
            <w:tcW w:w="1358"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153.1</w:t>
            </w:r>
          </w:p>
        </w:tc>
      </w:tr>
      <w:tr w:rsidR="00454E98" w:rsidRPr="00B57DAB" w:rsidTr="004A782A">
        <w:trPr>
          <w:trHeight w:val="300"/>
          <w:jc w:val="center"/>
        </w:trPr>
        <w:tc>
          <w:tcPr>
            <w:tcW w:w="3585" w:type="dxa"/>
            <w:shd w:val="clear" w:color="auto" w:fill="auto"/>
            <w:hideMark/>
          </w:tcPr>
          <w:p w:rsidR="00454E98" w:rsidRPr="00B57DAB" w:rsidRDefault="00454E98" w:rsidP="004A782A">
            <w:pPr>
              <w:rPr>
                <w:rFonts w:ascii="GHEA Grapalat" w:hAnsi="GHEA Grapalat" w:cs="Calibri"/>
                <w:color w:val="000000"/>
                <w:sz w:val="18"/>
                <w:szCs w:val="18"/>
              </w:rPr>
            </w:pPr>
            <w:r w:rsidRPr="00B57DAB">
              <w:rPr>
                <w:rFonts w:ascii="GHEA Grapalat" w:hAnsi="GHEA Grapalat" w:cs="Calibri"/>
                <w:color w:val="000000"/>
                <w:sz w:val="18"/>
                <w:szCs w:val="18"/>
              </w:rPr>
              <w:t>Համագործակցություն միջազգային կազմակերպությունների հետ</w:t>
            </w:r>
          </w:p>
        </w:tc>
        <w:tc>
          <w:tcPr>
            <w:tcW w:w="965"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545.4</w:t>
            </w:r>
          </w:p>
        </w:tc>
        <w:tc>
          <w:tcPr>
            <w:tcW w:w="951"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560.5</w:t>
            </w:r>
          </w:p>
        </w:tc>
        <w:tc>
          <w:tcPr>
            <w:tcW w:w="973" w:type="dxa"/>
            <w:shd w:val="clear" w:color="auto" w:fill="auto"/>
            <w:hideMark/>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559.3</w:t>
            </w:r>
          </w:p>
        </w:tc>
        <w:tc>
          <w:tcPr>
            <w:tcW w:w="1203"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99.8</w:t>
            </w:r>
          </w:p>
        </w:tc>
        <w:tc>
          <w:tcPr>
            <w:tcW w:w="1203"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102.5</w:t>
            </w:r>
          </w:p>
        </w:tc>
        <w:tc>
          <w:tcPr>
            <w:tcW w:w="1358"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13.9</w:t>
            </w:r>
          </w:p>
        </w:tc>
      </w:tr>
      <w:tr w:rsidR="00454E98" w:rsidRPr="00B57DAB" w:rsidTr="004A782A">
        <w:trPr>
          <w:trHeight w:val="300"/>
          <w:jc w:val="center"/>
        </w:trPr>
        <w:tc>
          <w:tcPr>
            <w:tcW w:w="3585" w:type="dxa"/>
            <w:shd w:val="clear" w:color="auto" w:fill="auto"/>
            <w:hideMark/>
          </w:tcPr>
          <w:p w:rsidR="00454E98" w:rsidRPr="00B57DAB" w:rsidRDefault="00454E98" w:rsidP="004A782A">
            <w:pPr>
              <w:rPr>
                <w:rFonts w:ascii="GHEA Grapalat" w:hAnsi="GHEA Grapalat" w:cs="Calibri"/>
                <w:color w:val="000000"/>
                <w:sz w:val="18"/>
                <w:szCs w:val="18"/>
              </w:rPr>
            </w:pPr>
            <w:r w:rsidRPr="00B57DAB">
              <w:rPr>
                <w:rFonts w:ascii="GHEA Grapalat" w:hAnsi="GHEA Grapalat" w:cs="Calibri"/>
                <w:color w:val="000000"/>
                <w:sz w:val="18"/>
                <w:szCs w:val="18"/>
              </w:rPr>
              <w:t>Օտարերկրյա պետություններում ՀՀ դիվանագիտական ծառայության մարմինների գործունեության կազմակերպում և իրականացում</w:t>
            </w:r>
          </w:p>
        </w:tc>
        <w:tc>
          <w:tcPr>
            <w:tcW w:w="965"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2,874.5</w:t>
            </w:r>
          </w:p>
        </w:tc>
        <w:tc>
          <w:tcPr>
            <w:tcW w:w="951"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3,246.8</w:t>
            </w:r>
          </w:p>
        </w:tc>
        <w:tc>
          <w:tcPr>
            <w:tcW w:w="973" w:type="dxa"/>
            <w:shd w:val="clear" w:color="auto" w:fill="auto"/>
            <w:hideMark/>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 xml:space="preserve">3,100.2 </w:t>
            </w:r>
          </w:p>
        </w:tc>
        <w:tc>
          <w:tcPr>
            <w:tcW w:w="1203"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95.5</w:t>
            </w:r>
          </w:p>
        </w:tc>
        <w:tc>
          <w:tcPr>
            <w:tcW w:w="1203"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107.9</w:t>
            </w:r>
          </w:p>
        </w:tc>
        <w:tc>
          <w:tcPr>
            <w:tcW w:w="1358"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225.7</w:t>
            </w:r>
          </w:p>
        </w:tc>
      </w:tr>
      <w:tr w:rsidR="00454E98" w:rsidRPr="00B57DAB" w:rsidTr="004A782A">
        <w:trPr>
          <w:trHeight w:val="300"/>
          <w:jc w:val="center"/>
        </w:trPr>
        <w:tc>
          <w:tcPr>
            <w:tcW w:w="3585" w:type="dxa"/>
            <w:shd w:val="clear" w:color="auto" w:fill="auto"/>
            <w:hideMark/>
          </w:tcPr>
          <w:p w:rsidR="00454E98" w:rsidRPr="00B57DAB" w:rsidRDefault="00454E98" w:rsidP="004A782A">
            <w:pPr>
              <w:rPr>
                <w:rFonts w:ascii="GHEA Grapalat" w:hAnsi="GHEA Grapalat" w:cs="Calibri"/>
                <w:color w:val="000000"/>
                <w:sz w:val="18"/>
                <w:szCs w:val="18"/>
              </w:rPr>
            </w:pPr>
            <w:r w:rsidRPr="00B57DAB">
              <w:rPr>
                <w:rFonts w:ascii="GHEA Grapalat" w:hAnsi="GHEA Grapalat" w:cs="Calibri"/>
                <w:color w:val="000000"/>
                <w:sz w:val="18"/>
                <w:szCs w:val="18"/>
              </w:rPr>
              <w:t>Այլ ծրագրեր</w:t>
            </w:r>
          </w:p>
        </w:tc>
        <w:tc>
          <w:tcPr>
            <w:tcW w:w="965"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116.8</w:t>
            </w:r>
          </w:p>
        </w:tc>
        <w:tc>
          <w:tcPr>
            <w:tcW w:w="951"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107.4</w:t>
            </w:r>
          </w:p>
        </w:tc>
        <w:tc>
          <w:tcPr>
            <w:tcW w:w="973" w:type="dxa"/>
            <w:shd w:val="clear" w:color="auto" w:fill="auto"/>
            <w:hideMark/>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 xml:space="preserve">106.7 </w:t>
            </w:r>
          </w:p>
        </w:tc>
        <w:tc>
          <w:tcPr>
            <w:tcW w:w="1203"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99.3</w:t>
            </w:r>
          </w:p>
        </w:tc>
        <w:tc>
          <w:tcPr>
            <w:tcW w:w="1203"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91.4</w:t>
            </w:r>
          </w:p>
        </w:tc>
        <w:tc>
          <w:tcPr>
            <w:tcW w:w="1358"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10.1</w:t>
            </w:r>
          </w:p>
        </w:tc>
      </w:tr>
    </w:tbl>
    <w:p w:rsidR="00454E98" w:rsidRPr="00B57DAB" w:rsidRDefault="00454E98" w:rsidP="00454E98">
      <w:pPr>
        <w:autoSpaceDE w:val="0"/>
        <w:autoSpaceDN w:val="0"/>
        <w:adjustRightInd w:val="0"/>
        <w:spacing w:line="360" w:lineRule="auto"/>
        <w:ind w:firstLine="567"/>
        <w:jc w:val="both"/>
        <w:rPr>
          <w:rFonts w:ascii="GHEA Grapalat" w:hAnsi="GHEA Grapalat" w:cs="GHEA Grapalat"/>
          <w:color w:val="FF0000"/>
          <w:sz w:val="22"/>
          <w:szCs w:val="22"/>
          <w:lang w:val="af-ZA"/>
        </w:rPr>
      </w:pPr>
    </w:p>
    <w:p w:rsidR="00454E98" w:rsidRPr="00B57DAB" w:rsidRDefault="00454E98" w:rsidP="00454E98">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 xml:space="preserve">2022 թվականի առաջին եռամսյակում </w:t>
      </w:r>
      <w:r w:rsidRPr="00B57DAB">
        <w:rPr>
          <w:rFonts w:ascii="GHEA Grapalat" w:hAnsi="GHEA Grapalat" w:cs="GHEA Grapalat"/>
          <w:i/>
          <w:sz w:val="22"/>
          <w:szCs w:val="22"/>
        </w:rPr>
        <w:t>Օտարերկրյա պետություններում ՀՀ դիվանագիտական ծառայության մարմինների գործունեության կազմակերպման և իրականացման</w:t>
      </w:r>
      <w:r w:rsidRPr="00B57DAB">
        <w:rPr>
          <w:rFonts w:ascii="GHEA Grapalat" w:hAnsi="GHEA Grapalat" w:cs="GHEA Grapalat"/>
          <w:sz w:val="22"/>
          <w:szCs w:val="22"/>
        </w:rPr>
        <w:t xml:space="preserve"> ծրագրի շրջանականերում ծախսերը կազմել են շուրջ 3.1 մլրդ դրամ՝ 95.5%-ով ապահովելով ծրագրի կատարումը</w:t>
      </w:r>
      <w:r w:rsidR="00A01C69" w:rsidRPr="00B57DAB">
        <w:rPr>
          <w:rFonts w:ascii="GHEA Grapalat" w:hAnsi="GHEA Grapalat" w:cs="GHEA Grapalat"/>
          <w:sz w:val="22"/>
          <w:szCs w:val="22"/>
        </w:rPr>
        <w:t>:</w:t>
      </w:r>
      <w:r w:rsidRPr="00B57DAB">
        <w:rPr>
          <w:rFonts w:ascii="GHEA Grapalat" w:hAnsi="GHEA Grapalat" w:cs="GHEA Grapalat"/>
          <w:sz w:val="22"/>
          <w:szCs w:val="22"/>
        </w:rPr>
        <w:t xml:space="preserve"> Տարբերությունը հիմնականում պայմանավորված է դիվանագիտական անձնակազմի ռոտացիայով և դեսպանությունների պահպանման համար կատարվող մի շարք վճարումներ հաջորդ եռամսյակ</w:t>
      </w:r>
      <w:r w:rsidR="000837E3" w:rsidRPr="00B57DAB">
        <w:rPr>
          <w:rFonts w:ascii="GHEA Grapalat" w:hAnsi="GHEA Grapalat" w:cs="GHEA Grapalat"/>
          <w:sz w:val="22"/>
          <w:szCs w:val="22"/>
        </w:rPr>
        <w:t>ում կատար</w:t>
      </w:r>
      <w:r w:rsidRPr="00B57DAB">
        <w:rPr>
          <w:rFonts w:ascii="GHEA Grapalat" w:hAnsi="GHEA Grapalat" w:cs="GHEA Grapalat"/>
          <w:sz w:val="22"/>
          <w:szCs w:val="22"/>
        </w:rPr>
        <w:t>ելու հանգամանքով: Նախորդ տարվա նույն ժամանակահատվածի համեմատ տվյալ ծրագրի ծախսերն աճել են 7.9%-ով կամ 225.7 մլն դրամով:</w:t>
      </w:r>
    </w:p>
    <w:p w:rsidR="00454E98" w:rsidRPr="00B57DAB" w:rsidRDefault="00454E98" w:rsidP="00454E98">
      <w:pPr>
        <w:autoSpaceDE w:val="0"/>
        <w:autoSpaceDN w:val="0"/>
        <w:adjustRightInd w:val="0"/>
        <w:spacing w:line="360" w:lineRule="auto"/>
        <w:ind w:firstLine="567"/>
        <w:jc w:val="both"/>
        <w:rPr>
          <w:rFonts w:ascii="GHEA Grapalat" w:hAnsi="GHEA Grapalat" w:cs="GHEA Grapalat"/>
          <w:sz w:val="22"/>
          <w:szCs w:val="22"/>
          <w:lang w:val="fr-FR"/>
        </w:rPr>
      </w:pPr>
      <w:r w:rsidRPr="00B57DAB">
        <w:rPr>
          <w:rFonts w:ascii="GHEA Grapalat" w:hAnsi="GHEA Grapalat" w:cs="GHEA Grapalat"/>
          <w:sz w:val="22"/>
          <w:szCs w:val="22"/>
        </w:rPr>
        <w:t xml:space="preserve">Հաշվետու ժամանակահատվածում 559.3 դրամ ուղղվել է </w:t>
      </w:r>
      <w:r w:rsidRPr="00B57DAB">
        <w:rPr>
          <w:rFonts w:ascii="GHEA Grapalat" w:hAnsi="GHEA Grapalat" w:cs="GHEA Grapalat"/>
          <w:i/>
          <w:sz w:val="22"/>
          <w:szCs w:val="22"/>
        </w:rPr>
        <w:t>Միջազգային կազմակերպությունների հետ համագործակցության</w:t>
      </w:r>
      <w:r w:rsidRPr="00B57DAB">
        <w:rPr>
          <w:rFonts w:ascii="GHEA Grapalat" w:hAnsi="GHEA Grapalat" w:cs="GHEA Grapalat"/>
          <w:sz w:val="22"/>
          <w:szCs w:val="22"/>
        </w:rPr>
        <w:t xml:space="preserve"> ծրագրին` 99.8%-ով ապահովելով ծրագրային ցուցանիշը: Ծրագրի շրջանակներում օգտագործված միջոցները հիմնականում ուղղվել են միջազգային կազմակերպություններին ՀՀ անդամակցության վճարներին: Նախորդ տարվա </w:t>
      </w:r>
      <w:r w:rsidR="000837E3" w:rsidRPr="00B57DAB">
        <w:rPr>
          <w:rFonts w:ascii="GHEA Grapalat" w:hAnsi="GHEA Grapalat" w:cs="GHEA Grapalat"/>
          <w:sz w:val="22"/>
          <w:szCs w:val="22"/>
        </w:rPr>
        <w:t xml:space="preserve">առաջին եռամսյակի </w:t>
      </w:r>
      <w:r w:rsidRPr="00B57DAB">
        <w:rPr>
          <w:rFonts w:ascii="GHEA Grapalat" w:hAnsi="GHEA Grapalat" w:cs="GHEA Grapalat"/>
          <w:sz w:val="22"/>
          <w:szCs w:val="22"/>
        </w:rPr>
        <w:t>համեմատ Միջազգային կազմակերպությունների հետ համագործակցության ծրագրի ծախսերն աճել են 2.5%-ով կամ 13.9</w:t>
      </w:r>
      <w:r w:rsidRPr="00B57DAB">
        <w:rPr>
          <w:rFonts w:ascii="Courier New" w:hAnsi="Courier New" w:cs="Courier New"/>
          <w:sz w:val="22"/>
          <w:szCs w:val="22"/>
        </w:rPr>
        <w:t> </w:t>
      </w:r>
      <w:r w:rsidRPr="00B57DAB">
        <w:rPr>
          <w:rFonts w:ascii="GHEA Grapalat" w:hAnsi="GHEA Grapalat" w:cs="GHEA Grapalat"/>
          <w:sz w:val="22"/>
          <w:szCs w:val="22"/>
        </w:rPr>
        <w:t xml:space="preserve">մլն դրամով։ </w:t>
      </w:r>
    </w:p>
    <w:p w:rsidR="00454E98" w:rsidRPr="00B57DAB" w:rsidRDefault="00454E98" w:rsidP="00454E98">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i/>
          <w:sz w:val="22"/>
          <w:szCs w:val="22"/>
        </w:rPr>
        <w:t>Արտաքին գործերի ոլորտում Կառավարության քաղաքականության մշակման և իրականացման</w:t>
      </w:r>
      <w:r w:rsidRPr="00B57DAB">
        <w:rPr>
          <w:rFonts w:ascii="GHEA Grapalat" w:hAnsi="GHEA Grapalat" w:cs="GHEA Grapalat"/>
          <w:sz w:val="22"/>
          <w:szCs w:val="22"/>
        </w:rPr>
        <w:t xml:space="preserve"> ծախսերը հաշվետու ժամանակահատվածում կազմել են 460.9 մլն դրամ կամ նախատեսվածի 98.4%-ը: Շեղումը հիմնականում «Կառավարության արտաքին քաղաքականության մշակում և իրագործման ապահովում» միջոցառման գծով է, որի շրջանակներում օգտագործվել է 432.1 մլն դրամ կամ նախատեսված միջոցների 98.7%-ը: Ծրագրված ցուցանիշներից շեղումը </w:t>
      </w:r>
      <w:r w:rsidRPr="00B57DAB">
        <w:rPr>
          <w:rFonts w:ascii="GHEA Grapalat" w:hAnsi="GHEA Grapalat" w:cs="GHEA Grapalat"/>
          <w:sz w:val="22"/>
          <w:szCs w:val="22"/>
        </w:rPr>
        <w:lastRenderedPageBreak/>
        <w:t xml:space="preserve">պայմանավորված է աշխարհաքաղաքական իրավիճակի և համաճարակային սահմանափակումների պատճառով տեղեկատվական ծառայությունների </w:t>
      </w:r>
      <w:r w:rsidR="00CB3B36" w:rsidRPr="00B57DAB">
        <w:rPr>
          <w:rFonts w:ascii="GHEA Grapalat" w:hAnsi="GHEA Grapalat" w:cs="GHEA Grapalat"/>
          <w:sz w:val="22"/>
          <w:szCs w:val="22"/>
        </w:rPr>
        <w:t>ձեռքբերումը</w:t>
      </w:r>
      <w:r w:rsidRPr="00B57DAB">
        <w:rPr>
          <w:rFonts w:ascii="GHEA Grapalat" w:hAnsi="GHEA Grapalat" w:cs="GHEA Grapalat"/>
          <w:sz w:val="22"/>
          <w:szCs w:val="22"/>
        </w:rPr>
        <w:t xml:space="preserve"> հաջորդ եռամսյակ տեղափոխելու հանգամանքով: Նախորդ տարվա </w:t>
      </w:r>
      <w:r w:rsidR="000837E3" w:rsidRPr="00B57DAB">
        <w:rPr>
          <w:rFonts w:ascii="GHEA Grapalat" w:hAnsi="GHEA Grapalat" w:cs="GHEA Grapalat"/>
          <w:sz w:val="22"/>
          <w:szCs w:val="22"/>
        </w:rPr>
        <w:t xml:space="preserve">առաջին եռամսյակի </w:t>
      </w:r>
      <w:r w:rsidRPr="00B57DAB">
        <w:rPr>
          <w:rFonts w:ascii="GHEA Grapalat" w:hAnsi="GHEA Grapalat" w:cs="GHEA Grapalat"/>
          <w:sz w:val="22"/>
          <w:szCs w:val="22"/>
        </w:rPr>
        <w:t xml:space="preserve">համեմատ ծրագրի ծախսերում արձանագրվել է 49.8% (153.1 մլն դրամ) աճ՝ հիմնականում պայմանավորված </w:t>
      </w:r>
      <w:r w:rsidR="000837E3" w:rsidRPr="00B57DAB">
        <w:rPr>
          <w:rFonts w:ascii="GHEA Grapalat" w:hAnsi="GHEA Grapalat" w:cs="GHEA Grapalat"/>
          <w:sz w:val="22"/>
          <w:szCs w:val="22"/>
        </w:rPr>
        <w:t>հիմնականում «Կառավարության արտաքին քաղաքականության մշակում և իրագործման ապահովում» միջոցառման ծախսերի աճով:</w:t>
      </w:r>
    </w:p>
    <w:p w:rsidR="00454E98" w:rsidRPr="00B57DAB" w:rsidRDefault="00454E98" w:rsidP="00454E98">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Sylfaen"/>
          <w:sz w:val="22"/>
          <w:szCs w:val="22"/>
        </w:rPr>
        <w:t xml:space="preserve">2022 թվականի առաջին եռամսյակում ՀՀ արտաքին գործերի նախարարության պատասխանատվությամբ իրականացվող այլ ծրագրերին տրամադրված 107.4 մլն դրամից 67.4 մլն դրամն ուղղվել է </w:t>
      </w:r>
      <w:r w:rsidRPr="00B57DAB">
        <w:rPr>
          <w:rFonts w:ascii="GHEA Grapalat" w:hAnsi="GHEA Grapalat" w:cs="GHEA Grapalat"/>
          <w:i/>
          <w:sz w:val="22"/>
          <w:szCs w:val="22"/>
        </w:rPr>
        <w:t>Միջազգային հարաբերությունների և դիվանագիտության ոլորտում մասնագետների պատրաստման և վերապատրաստման</w:t>
      </w:r>
      <w:r w:rsidRPr="00B57DAB">
        <w:rPr>
          <w:rFonts w:ascii="GHEA Grapalat" w:hAnsi="GHEA Grapalat" w:cs="GHEA Grapalat"/>
          <w:sz w:val="22"/>
          <w:szCs w:val="22"/>
        </w:rPr>
        <w:t xml:space="preserve"> ծրագրին, որն </w:t>
      </w:r>
      <w:r w:rsidRPr="00B57DAB">
        <w:rPr>
          <w:rFonts w:ascii="GHEA Grapalat" w:hAnsi="GHEA Grapalat" w:cs="Sylfaen"/>
          <w:sz w:val="22"/>
          <w:szCs w:val="22"/>
        </w:rPr>
        <w:t xml:space="preserve">օգտագործվել է նախատեսված ծավալով: </w:t>
      </w:r>
      <w:r w:rsidR="00E529F4" w:rsidRPr="00B57DAB">
        <w:rPr>
          <w:rFonts w:ascii="GHEA Grapalat" w:hAnsi="GHEA Grapalat" w:cs="GHEA Grapalat"/>
          <w:sz w:val="22"/>
          <w:szCs w:val="22"/>
        </w:rPr>
        <w:t>Ծրագրի շրջանակներում նախատեսված 2 վերապատրաստման ծրագրերի փոխարեն իրականացվել է 1-ը, որի շրջանակներում վերապատրաստվել է 21 աշխատակից՝ նախատեսված 30</w:t>
      </w:r>
      <w:r w:rsidR="00E529F4" w:rsidRPr="00B57DAB">
        <w:rPr>
          <w:rFonts w:ascii="GHEA Grapalat" w:hAnsi="GHEA Grapalat" w:cs="GHEA Grapalat"/>
          <w:sz w:val="22"/>
          <w:szCs w:val="22"/>
        </w:rPr>
        <w:noBreakHyphen/>
        <w:t xml:space="preserve">ի փոխարեն. </w:t>
      </w:r>
      <w:proofErr w:type="gramStart"/>
      <w:r w:rsidR="00E529F4" w:rsidRPr="00B57DAB">
        <w:rPr>
          <w:rFonts w:ascii="GHEA Grapalat" w:hAnsi="GHEA Grapalat" w:cs="GHEA Grapalat"/>
          <w:sz w:val="22"/>
          <w:szCs w:val="22"/>
        </w:rPr>
        <w:t>դիվանագետների</w:t>
      </w:r>
      <w:proofErr w:type="gramEnd"/>
      <w:r w:rsidR="00E529F4" w:rsidRPr="00B57DAB">
        <w:rPr>
          <w:rFonts w:ascii="GHEA Grapalat" w:hAnsi="GHEA Grapalat" w:cs="GHEA Grapalat"/>
          <w:sz w:val="22"/>
          <w:szCs w:val="22"/>
        </w:rPr>
        <w:t xml:space="preserve"> վերապատրաստման ծրագիրը մեկնարկելու է մայիսին: </w:t>
      </w:r>
      <w:r w:rsidRPr="00B57DAB">
        <w:rPr>
          <w:rFonts w:ascii="GHEA Grapalat" w:hAnsi="GHEA Grapalat" w:cs="GHEA Grapalat"/>
          <w:sz w:val="22"/>
          <w:szCs w:val="22"/>
        </w:rPr>
        <w:t xml:space="preserve">Նախորդ տարվա </w:t>
      </w:r>
      <w:r w:rsidR="000837E3" w:rsidRPr="00B57DAB">
        <w:rPr>
          <w:rFonts w:ascii="GHEA Grapalat" w:hAnsi="GHEA Grapalat" w:cs="GHEA Grapalat"/>
          <w:sz w:val="22"/>
          <w:szCs w:val="22"/>
        </w:rPr>
        <w:t xml:space="preserve">առաջին եռամսյակի </w:t>
      </w:r>
      <w:r w:rsidRPr="00B57DAB">
        <w:rPr>
          <w:rFonts w:ascii="GHEA Grapalat" w:hAnsi="GHEA Grapalat" w:cs="GHEA Grapalat"/>
          <w:sz w:val="22"/>
          <w:szCs w:val="22"/>
        </w:rPr>
        <w:t>համեմատ նշված ծախսեր</w:t>
      </w:r>
      <w:r w:rsidR="000837E3" w:rsidRPr="00B57DAB">
        <w:rPr>
          <w:rFonts w:ascii="GHEA Grapalat" w:hAnsi="GHEA Grapalat" w:cs="GHEA Grapalat"/>
          <w:sz w:val="22"/>
          <w:szCs w:val="22"/>
        </w:rPr>
        <w:t>ը</w:t>
      </w:r>
      <w:r w:rsidRPr="00B57DAB">
        <w:rPr>
          <w:rFonts w:ascii="GHEA Grapalat" w:hAnsi="GHEA Grapalat" w:cs="GHEA Grapalat"/>
          <w:sz w:val="22"/>
          <w:szCs w:val="22"/>
        </w:rPr>
        <w:t xml:space="preserve"> նվազել են 12.4%</w:t>
      </w:r>
      <w:r w:rsidR="000837E3" w:rsidRPr="00B57DAB">
        <w:rPr>
          <w:rFonts w:ascii="GHEA Grapalat" w:hAnsi="GHEA Grapalat" w:cs="GHEA Grapalat"/>
          <w:sz w:val="22"/>
          <w:szCs w:val="22"/>
        </w:rPr>
        <w:t>-ով</w:t>
      </w:r>
      <w:r w:rsidRPr="00B57DAB">
        <w:rPr>
          <w:rFonts w:ascii="GHEA Grapalat" w:hAnsi="GHEA Grapalat" w:cs="GHEA Grapalat"/>
          <w:sz w:val="22"/>
          <w:szCs w:val="22"/>
        </w:rPr>
        <w:t xml:space="preserve"> (9.5 մլն դրամով): </w:t>
      </w:r>
    </w:p>
    <w:p w:rsidR="003F2149" w:rsidRPr="00B57DAB" w:rsidRDefault="00454E98" w:rsidP="00454E98">
      <w:pPr>
        <w:autoSpaceDE w:val="0"/>
        <w:autoSpaceDN w:val="0"/>
        <w:adjustRightInd w:val="0"/>
        <w:spacing w:line="360" w:lineRule="auto"/>
        <w:ind w:firstLine="567"/>
        <w:jc w:val="both"/>
        <w:rPr>
          <w:rFonts w:ascii="GHEA Grapalat" w:hAnsi="GHEA Grapalat" w:cs="GHEA Grapalat"/>
          <w:sz w:val="22"/>
          <w:szCs w:val="22"/>
          <w:lang w:val="hy-AM"/>
        </w:rPr>
      </w:pPr>
      <w:r w:rsidRPr="00B57DAB">
        <w:rPr>
          <w:rFonts w:ascii="GHEA Grapalat" w:hAnsi="GHEA Grapalat" w:cs="GHEA Grapalat"/>
          <w:i/>
          <w:sz w:val="22"/>
          <w:szCs w:val="22"/>
        </w:rPr>
        <w:t>Հայաստանի Հանրապետությունում և օտարերկրյա պետություններում արարողակարգային միջոցառումների իրականացման</w:t>
      </w:r>
      <w:r w:rsidRPr="00B57DAB">
        <w:rPr>
          <w:rFonts w:ascii="GHEA Grapalat" w:hAnsi="GHEA Grapalat" w:cs="GHEA Grapalat"/>
          <w:sz w:val="22"/>
          <w:szCs w:val="22"/>
        </w:rPr>
        <w:t xml:space="preserve"> նպատակով օգտագործվել է 39.3 մլն դրամ՝ կազմելով ծրագրային ցուցանիշի 98.2</w:t>
      </w:r>
      <w:r w:rsidR="000837E3" w:rsidRPr="00B57DAB">
        <w:rPr>
          <w:rFonts w:ascii="GHEA Grapalat" w:hAnsi="GHEA Grapalat" w:cs="GHEA Grapalat"/>
          <w:sz w:val="22"/>
          <w:szCs w:val="22"/>
        </w:rPr>
        <w:t>%-ը, որը</w:t>
      </w:r>
      <w:r w:rsidRPr="00B57DAB">
        <w:rPr>
          <w:rFonts w:ascii="GHEA Grapalat" w:hAnsi="GHEA Grapalat" w:cs="GHEA Grapalat"/>
          <w:sz w:val="22"/>
          <w:szCs w:val="22"/>
        </w:rPr>
        <w:t xml:space="preserve"> պայմանավորված է</w:t>
      </w:r>
      <w:r w:rsidR="00F017B8" w:rsidRPr="00B57DAB">
        <w:rPr>
          <w:rFonts w:ascii="GHEA Grapalat" w:hAnsi="GHEA Grapalat" w:cs="GHEA Grapalat"/>
          <w:sz w:val="22"/>
          <w:szCs w:val="22"/>
        </w:rPr>
        <w:t xml:space="preserve"> կապի ծառայությունների գծով, ինչպես նաև օտարերկրյա պատվիրակությունների ՀՀ կատարած այցերի հետաձգման արդյունքում առաջացած</w:t>
      </w:r>
      <w:r w:rsidRPr="00B57DAB">
        <w:rPr>
          <w:rFonts w:ascii="GHEA Grapalat" w:hAnsi="GHEA Grapalat" w:cs="GHEA Grapalat"/>
          <w:sz w:val="22"/>
          <w:szCs w:val="22"/>
        </w:rPr>
        <w:t xml:space="preserve"> խնայողություններով։ Նախորդ տարվա</w:t>
      </w:r>
      <w:r w:rsidR="000837E3" w:rsidRPr="00B57DAB">
        <w:rPr>
          <w:rFonts w:ascii="GHEA Grapalat" w:hAnsi="GHEA Grapalat" w:cs="GHEA Grapalat"/>
          <w:sz w:val="22"/>
          <w:szCs w:val="22"/>
        </w:rPr>
        <w:t xml:space="preserve"> նույն ժամանակահատվածի</w:t>
      </w:r>
      <w:r w:rsidRPr="00B57DAB">
        <w:rPr>
          <w:rFonts w:ascii="GHEA Grapalat" w:hAnsi="GHEA Grapalat" w:cs="GHEA Grapalat"/>
          <w:sz w:val="22"/>
          <w:szCs w:val="22"/>
        </w:rPr>
        <w:t xml:space="preserve"> համեմատ ծրագրի ծախսերն աճել են 35.2%-ով (10.2 մլն դրամով):</w:t>
      </w:r>
    </w:p>
    <w:p w:rsidR="003F2149" w:rsidRPr="00B57DAB" w:rsidRDefault="003F2149" w:rsidP="003F2149">
      <w:pPr>
        <w:autoSpaceDE w:val="0"/>
        <w:autoSpaceDN w:val="0"/>
        <w:adjustRightInd w:val="0"/>
        <w:spacing w:line="360" w:lineRule="auto"/>
        <w:ind w:firstLine="567"/>
        <w:jc w:val="both"/>
        <w:rPr>
          <w:rFonts w:ascii="GHEA Grapalat" w:hAnsi="GHEA Grapalat" w:cs="GHEA Grapalat"/>
          <w:sz w:val="22"/>
          <w:szCs w:val="22"/>
          <w:lang w:val="hy-AM"/>
        </w:rPr>
      </w:pPr>
    </w:p>
    <w:p w:rsidR="00454E98" w:rsidRPr="00B57DAB" w:rsidRDefault="003F2149" w:rsidP="00454E98">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i/>
          <w:sz w:val="22"/>
          <w:szCs w:val="22"/>
          <w:u w:val="single"/>
          <w:lang w:val="hy-AM"/>
        </w:rPr>
        <w:t xml:space="preserve">ՀՀ </w:t>
      </w:r>
      <w:r w:rsidRPr="00B57DAB">
        <w:rPr>
          <w:rFonts w:ascii="GHEA Grapalat" w:hAnsi="GHEA Grapalat" w:cs="GHEA Grapalat"/>
          <w:i/>
          <w:sz w:val="22"/>
          <w:szCs w:val="22"/>
          <w:u w:val="single"/>
        </w:rPr>
        <w:t>շրջակա միջավայրի</w:t>
      </w:r>
      <w:r w:rsidRPr="00B57DAB">
        <w:rPr>
          <w:rFonts w:ascii="GHEA Grapalat" w:hAnsi="GHEA Grapalat" w:cs="GHEA Grapalat"/>
          <w:i/>
          <w:sz w:val="22"/>
          <w:szCs w:val="22"/>
          <w:u w:val="single"/>
          <w:lang w:val="hy-AM"/>
        </w:rPr>
        <w:t xml:space="preserve"> նախարարության</w:t>
      </w:r>
      <w:r w:rsidRPr="00B57DAB">
        <w:rPr>
          <w:rFonts w:ascii="GHEA Grapalat" w:hAnsi="GHEA Grapalat" w:cs="GHEA Grapalat"/>
          <w:sz w:val="22"/>
          <w:szCs w:val="22"/>
          <w:lang w:val="hy-AM"/>
        </w:rPr>
        <w:t xml:space="preserve"> </w:t>
      </w:r>
      <w:r w:rsidR="00454E98" w:rsidRPr="00B57DAB">
        <w:rPr>
          <w:rFonts w:ascii="GHEA Grapalat" w:hAnsi="GHEA Grapalat" w:cs="GHEA Grapalat"/>
          <w:sz w:val="22"/>
          <w:szCs w:val="22"/>
        </w:rPr>
        <w:t>պատասխանատվությամբ 2022 թվականի առաջին եռամսյակի ընթացքում կատարվել է պետական բյուջեի 5 ծրագիր, որոնց գծով ծախսերը կազմել են ավելի քան 1.1 մլրդ դրամ կամ նախատեսվածի 94.8%</w:t>
      </w:r>
      <w:r w:rsidR="00454E98" w:rsidRPr="00B57DAB">
        <w:rPr>
          <w:rFonts w:ascii="GHEA Grapalat" w:hAnsi="GHEA Grapalat" w:cs="GHEA Grapalat"/>
          <w:sz w:val="22"/>
          <w:szCs w:val="22"/>
        </w:rPr>
        <w:noBreakHyphen/>
        <w:t xml:space="preserve">ը: Շեղումը պայմանավորված է Շրջակա միջավայրի ոլորտում պետական քաղաքականության մշակման, ծրագրերի համակարգման և մոնիտորինգի ու Անտառների կառավարման ծրագրերի կատարողականներով: Նախորդ տարվա </w:t>
      </w:r>
      <w:r w:rsidR="00CF2BDA" w:rsidRPr="00B57DAB">
        <w:rPr>
          <w:rFonts w:ascii="GHEA Grapalat" w:hAnsi="GHEA Grapalat" w:cs="GHEA Grapalat"/>
          <w:sz w:val="22"/>
          <w:szCs w:val="22"/>
        </w:rPr>
        <w:t xml:space="preserve">առաջին եռամսյակի </w:t>
      </w:r>
      <w:r w:rsidR="00454E98" w:rsidRPr="00B57DAB">
        <w:rPr>
          <w:rFonts w:ascii="GHEA Grapalat" w:hAnsi="GHEA Grapalat" w:cs="GHEA Grapalat"/>
          <w:sz w:val="22"/>
          <w:szCs w:val="22"/>
        </w:rPr>
        <w:t>համեմատ արձանագրվել է նախարարության պատասխանատվությամբ իրականացվող ծրագրերի շրջանակներում կատարված ծախսերի 4.9% (59.6 մլն դրամ) նվազում՝ պայմանավորված Բնական պաշարների և բնության հատուկ պահպանվող տարածքների կառավարման և պահպան</w:t>
      </w:r>
      <w:r w:rsidR="003A10B2" w:rsidRPr="00B57DAB">
        <w:rPr>
          <w:rFonts w:ascii="GHEA Grapalat" w:hAnsi="GHEA Grapalat" w:cs="GHEA Grapalat"/>
          <w:sz w:val="22"/>
          <w:szCs w:val="22"/>
        </w:rPr>
        <w:t>ման ծրագրի ծախսերի նվազմամբ</w:t>
      </w:r>
      <w:r w:rsidR="00454E98" w:rsidRPr="00B57DAB">
        <w:rPr>
          <w:rFonts w:ascii="GHEA Grapalat" w:hAnsi="GHEA Grapalat" w:cs="GHEA Grapalat"/>
          <w:sz w:val="22"/>
          <w:szCs w:val="22"/>
        </w:rPr>
        <w:t xml:space="preserve">: </w:t>
      </w:r>
    </w:p>
    <w:p w:rsidR="00454E98" w:rsidRPr="00B57DAB" w:rsidRDefault="00454E98" w:rsidP="00454E98">
      <w:pPr>
        <w:autoSpaceDE w:val="0"/>
        <w:autoSpaceDN w:val="0"/>
        <w:adjustRightInd w:val="0"/>
        <w:spacing w:line="360" w:lineRule="auto"/>
        <w:ind w:firstLine="567"/>
        <w:jc w:val="both"/>
        <w:rPr>
          <w:rFonts w:ascii="GHEA Grapalat" w:hAnsi="GHEA Grapalat" w:cs="GHEA Grapalat"/>
          <w:sz w:val="22"/>
          <w:szCs w:val="22"/>
        </w:rPr>
      </w:pPr>
    </w:p>
    <w:p w:rsidR="00454E98" w:rsidRPr="00B57DAB" w:rsidRDefault="00454E98" w:rsidP="00770F24">
      <w:pPr>
        <w:pStyle w:val="Caption"/>
        <w:keepNext/>
        <w:numPr>
          <w:ilvl w:val="0"/>
          <w:numId w:val="8"/>
        </w:numPr>
        <w:tabs>
          <w:tab w:val="left" w:pos="1276"/>
        </w:tabs>
        <w:ind w:left="0" w:firstLine="0"/>
        <w:jc w:val="left"/>
        <w:rPr>
          <w:rFonts w:ascii="GHEA Grapalat" w:hAnsi="GHEA Grapalat"/>
          <w:i/>
          <w:sz w:val="18"/>
          <w:szCs w:val="18"/>
          <w:lang w:val="en-US"/>
        </w:rPr>
      </w:pPr>
      <w:r w:rsidRPr="00B57DAB">
        <w:rPr>
          <w:rFonts w:ascii="GHEA Grapalat" w:hAnsi="GHEA Grapalat"/>
          <w:i/>
          <w:sz w:val="18"/>
          <w:szCs w:val="18"/>
          <w:lang w:val="en-US"/>
        </w:rPr>
        <w:lastRenderedPageBreak/>
        <w:t>2022թ. առաջին եռամսյակում ՀՀ շրջակա միջավայրի նախարարության կողմից իրականացված ծրագրերը (մլն դրամ)</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1165"/>
        <w:gridCol w:w="1103"/>
        <w:gridCol w:w="992"/>
        <w:gridCol w:w="1276"/>
        <w:gridCol w:w="1275"/>
        <w:gridCol w:w="1114"/>
      </w:tblGrid>
      <w:tr w:rsidR="005B7DCC" w:rsidRPr="00B57DAB" w:rsidTr="004A782A">
        <w:trPr>
          <w:trHeight w:val="300"/>
          <w:jc w:val="center"/>
        </w:trPr>
        <w:tc>
          <w:tcPr>
            <w:tcW w:w="3240" w:type="dxa"/>
            <w:shd w:val="clear" w:color="auto" w:fill="auto"/>
            <w:noWrap/>
            <w:vAlign w:val="bottom"/>
            <w:hideMark/>
          </w:tcPr>
          <w:p w:rsidR="005B7DCC" w:rsidRPr="00B57DAB" w:rsidRDefault="005B7DCC" w:rsidP="004A782A">
            <w:pPr>
              <w:rPr>
                <w:rFonts w:ascii="GHEA Grapalat" w:hAnsi="GHEA Grapalat" w:cs="Calibri"/>
                <w:color w:val="000000"/>
                <w:sz w:val="18"/>
                <w:szCs w:val="18"/>
              </w:rPr>
            </w:pPr>
          </w:p>
        </w:tc>
        <w:tc>
          <w:tcPr>
            <w:tcW w:w="1165" w:type="dxa"/>
          </w:tcPr>
          <w:p w:rsidR="005B7DCC" w:rsidRPr="00B57DAB" w:rsidRDefault="005B7DCC" w:rsidP="005B7DCC">
            <w:pPr>
              <w:jc w:val="center"/>
              <w:rPr>
                <w:rFonts w:ascii="GHEA Grapalat" w:hAnsi="GHEA Grapalat" w:cs="Calibri"/>
                <w:b/>
                <w:bCs/>
                <w:sz w:val="18"/>
                <w:szCs w:val="18"/>
                <w:lang w:val="hy-AM"/>
              </w:rPr>
            </w:pPr>
            <w:r w:rsidRPr="00B57DAB">
              <w:rPr>
                <w:rFonts w:ascii="GHEA Grapalat" w:hAnsi="GHEA Grapalat" w:cs="Calibri"/>
                <w:b/>
                <w:bCs/>
                <w:sz w:val="18"/>
                <w:szCs w:val="18"/>
              </w:rPr>
              <w:t>2021թ. առաջին եռամս-յակի փաստ</w:t>
            </w:r>
          </w:p>
        </w:tc>
        <w:tc>
          <w:tcPr>
            <w:tcW w:w="1103" w:type="dxa"/>
          </w:tcPr>
          <w:p w:rsidR="005B7DCC" w:rsidRPr="00B57DAB" w:rsidRDefault="005B7DCC" w:rsidP="005B7DCC">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 ճշտված պլան</w:t>
            </w:r>
          </w:p>
        </w:tc>
        <w:tc>
          <w:tcPr>
            <w:tcW w:w="992" w:type="dxa"/>
            <w:shd w:val="clear" w:color="auto" w:fill="auto"/>
            <w:noWrap/>
            <w:hideMark/>
          </w:tcPr>
          <w:p w:rsidR="005B7DCC" w:rsidRPr="00B57DAB" w:rsidRDefault="005B7DCC" w:rsidP="005B7DCC">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 փաստ</w:t>
            </w:r>
          </w:p>
        </w:tc>
        <w:tc>
          <w:tcPr>
            <w:tcW w:w="1276" w:type="dxa"/>
          </w:tcPr>
          <w:p w:rsidR="005B7DCC" w:rsidRPr="00B57DAB" w:rsidRDefault="005B7DCC" w:rsidP="005B7DCC">
            <w:pPr>
              <w:jc w:val="center"/>
              <w:rPr>
                <w:rFonts w:ascii="GHEA Grapalat" w:hAnsi="GHEA Grapalat" w:cs="Calibri"/>
                <w:b/>
                <w:bCs/>
                <w:sz w:val="18"/>
                <w:szCs w:val="18"/>
              </w:rPr>
            </w:pPr>
            <w:r w:rsidRPr="00B57DAB">
              <w:rPr>
                <w:rFonts w:ascii="GHEA Grapalat" w:hAnsi="GHEA Grapalat" w:cs="Calibri"/>
                <w:b/>
                <w:bCs/>
                <w:sz w:val="18"/>
                <w:szCs w:val="18"/>
                <w:lang w:val="hy-AM"/>
              </w:rPr>
              <w:t>Կատարո-ղական</w:t>
            </w:r>
            <w:r w:rsidRPr="00B57DAB">
              <w:rPr>
                <w:rFonts w:ascii="GHEA Grapalat" w:hAnsi="GHEA Grapalat" w:cs="Calibri"/>
                <w:b/>
                <w:bCs/>
                <w:sz w:val="18"/>
                <w:szCs w:val="18"/>
              </w:rPr>
              <w:t>ն առաջին եռամսյակի</w:t>
            </w:r>
            <w:r w:rsidRPr="00B57DAB">
              <w:rPr>
                <w:rFonts w:ascii="GHEA Grapalat" w:hAnsi="GHEA Grapalat" w:cs="Calibri"/>
                <w:b/>
                <w:bCs/>
                <w:sz w:val="18"/>
                <w:szCs w:val="18"/>
                <w:lang w:val="hy-AM"/>
              </w:rPr>
              <w:t xml:space="preserve"> ճշտված պլանի նկատմամբ</w:t>
            </w:r>
            <w:r w:rsidRPr="00B57DAB">
              <w:rPr>
                <w:rFonts w:ascii="GHEA Grapalat" w:hAnsi="GHEA Grapalat" w:cs="Calibri"/>
                <w:b/>
                <w:bCs/>
                <w:sz w:val="18"/>
                <w:szCs w:val="18"/>
              </w:rPr>
              <w:t xml:space="preserve"> (%)</w:t>
            </w:r>
          </w:p>
        </w:tc>
        <w:tc>
          <w:tcPr>
            <w:tcW w:w="1275" w:type="dxa"/>
          </w:tcPr>
          <w:p w:rsidR="005B7DCC" w:rsidRPr="00B57DAB" w:rsidRDefault="005B7DCC" w:rsidP="005B7DCC">
            <w:pPr>
              <w:jc w:val="center"/>
              <w:rPr>
                <w:rFonts w:ascii="GHEA Grapalat" w:hAnsi="GHEA Grapalat" w:cs="Calibri"/>
                <w:b/>
                <w:bCs/>
                <w:sz w:val="18"/>
                <w:szCs w:val="18"/>
              </w:rPr>
            </w:pPr>
            <w:r w:rsidRPr="00B57DAB">
              <w:rPr>
                <w:rFonts w:ascii="GHEA Grapalat" w:hAnsi="GHEA Grapalat" w:cs="Calibri"/>
                <w:b/>
                <w:bCs/>
                <w:sz w:val="18"/>
                <w:szCs w:val="18"/>
              </w:rPr>
              <w:t xml:space="preserve">2022թ. առաջին եռամսյակը 2021թ. </w:t>
            </w:r>
            <w:proofErr w:type="gramStart"/>
            <w:r w:rsidRPr="00B57DAB">
              <w:rPr>
                <w:rFonts w:ascii="GHEA Grapalat" w:hAnsi="GHEA Grapalat" w:cs="Calibri"/>
                <w:b/>
                <w:bCs/>
                <w:sz w:val="18"/>
                <w:szCs w:val="18"/>
              </w:rPr>
              <w:t>առաջին</w:t>
            </w:r>
            <w:proofErr w:type="gramEnd"/>
            <w:r w:rsidRPr="00B57DAB">
              <w:rPr>
                <w:rFonts w:ascii="GHEA Grapalat" w:hAnsi="GHEA Grapalat" w:cs="Calibri"/>
                <w:b/>
                <w:bCs/>
                <w:sz w:val="18"/>
                <w:szCs w:val="18"/>
              </w:rPr>
              <w:t xml:space="preserve"> եռամսյակի նկատմամբ (%)</w:t>
            </w:r>
          </w:p>
        </w:tc>
        <w:tc>
          <w:tcPr>
            <w:tcW w:w="1114" w:type="dxa"/>
          </w:tcPr>
          <w:p w:rsidR="005B7DCC" w:rsidRPr="00B57DAB" w:rsidRDefault="005B7DCC" w:rsidP="005B7DCC">
            <w:pPr>
              <w:jc w:val="center"/>
              <w:rPr>
                <w:rFonts w:ascii="GHEA Grapalat" w:hAnsi="GHEA Grapalat" w:cs="Calibri"/>
                <w:b/>
                <w:color w:val="000000"/>
                <w:sz w:val="18"/>
                <w:szCs w:val="18"/>
              </w:rPr>
            </w:pPr>
            <w:r w:rsidRPr="00B57DAB">
              <w:rPr>
                <w:rFonts w:ascii="GHEA Grapalat" w:hAnsi="GHEA Grapalat" w:cs="Calibri"/>
                <w:b/>
                <w:color w:val="000000"/>
                <w:sz w:val="18"/>
                <w:szCs w:val="18"/>
              </w:rPr>
              <w:t>2022թ. և 2021թ. տարբե-րությունը</w:t>
            </w:r>
          </w:p>
        </w:tc>
      </w:tr>
      <w:tr w:rsidR="00454E98" w:rsidRPr="00B57DAB" w:rsidTr="004A782A">
        <w:trPr>
          <w:trHeight w:val="331"/>
          <w:jc w:val="center"/>
        </w:trPr>
        <w:tc>
          <w:tcPr>
            <w:tcW w:w="3240" w:type="dxa"/>
            <w:shd w:val="clear" w:color="auto" w:fill="auto"/>
          </w:tcPr>
          <w:p w:rsidR="00454E98" w:rsidRPr="00B57DAB" w:rsidRDefault="00454E98" w:rsidP="004A782A">
            <w:pPr>
              <w:rPr>
                <w:rFonts w:ascii="GHEA Grapalat" w:hAnsi="GHEA Grapalat" w:cs="Calibri"/>
                <w:b/>
                <w:color w:val="000000"/>
                <w:sz w:val="18"/>
                <w:szCs w:val="18"/>
              </w:rPr>
            </w:pPr>
            <w:r w:rsidRPr="00B57DAB">
              <w:rPr>
                <w:rFonts w:ascii="GHEA Grapalat" w:hAnsi="GHEA Grapalat" w:cs="Calibri"/>
                <w:b/>
                <w:color w:val="000000"/>
                <w:sz w:val="18"/>
                <w:szCs w:val="18"/>
              </w:rPr>
              <w:t>ԸՆԴԱՄԵՆԸ</w:t>
            </w:r>
          </w:p>
        </w:tc>
        <w:tc>
          <w:tcPr>
            <w:tcW w:w="1165" w:type="dxa"/>
          </w:tcPr>
          <w:p w:rsidR="00454E98" w:rsidRPr="00B57DAB" w:rsidRDefault="00454E98" w:rsidP="004A782A">
            <w:pPr>
              <w:jc w:val="right"/>
              <w:rPr>
                <w:rFonts w:ascii="GHEA Grapalat" w:hAnsi="GHEA Grapalat" w:cs="Calibri"/>
                <w:b/>
                <w:color w:val="000000"/>
                <w:sz w:val="18"/>
                <w:szCs w:val="18"/>
              </w:rPr>
            </w:pPr>
            <w:r w:rsidRPr="00B57DAB">
              <w:rPr>
                <w:rFonts w:ascii="GHEA Grapalat" w:hAnsi="GHEA Grapalat" w:cs="Calibri"/>
                <w:b/>
                <w:color w:val="000000"/>
                <w:sz w:val="18"/>
                <w:szCs w:val="18"/>
              </w:rPr>
              <w:t>1,204.5</w:t>
            </w:r>
          </w:p>
        </w:tc>
        <w:tc>
          <w:tcPr>
            <w:tcW w:w="1103" w:type="dxa"/>
          </w:tcPr>
          <w:p w:rsidR="00454E98" w:rsidRPr="00B57DAB" w:rsidRDefault="00454E98" w:rsidP="004A782A">
            <w:pPr>
              <w:jc w:val="right"/>
              <w:rPr>
                <w:rFonts w:ascii="GHEA Grapalat" w:hAnsi="GHEA Grapalat" w:cs="Calibri"/>
                <w:b/>
                <w:color w:val="000000"/>
                <w:sz w:val="18"/>
                <w:szCs w:val="18"/>
              </w:rPr>
            </w:pPr>
            <w:r w:rsidRPr="00B57DAB">
              <w:rPr>
                <w:rFonts w:ascii="GHEA Grapalat" w:hAnsi="GHEA Grapalat" w:cs="Calibri"/>
                <w:b/>
                <w:color w:val="000000"/>
                <w:sz w:val="18"/>
                <w:szCs w:val="18"/>
              </w:rPr>
              <w:t>1,208.1</w:t>
            </w:r>
          </w:p>
        </w:tc>
        <w:tc>
          <w:tcPr>
            <w:tcW w:w="992" w:type="dxa"/>
            <w:shd w:val="clear" w:color="auto" w:fill="auto"/>
          </w:tcPr>
          <w:p w:rsidR="00454E98" w:rsidRPr="00B57DAB" w:rsidRDefault="00454E98" w:rsidP="004A782A">
            <w:pPr>
              <w:jc w:val="right"/>
              <w:rPr>
                <w:rFonts w:ascii="GHEA Grapalat" w:hAnsi="GHEA Grapalat" w:cs="Calibri"/>
                <w:b/>
                <w:color w:val="000000"/>
                <w:sz w:val="18"/>
                <w:szCs w:val="18"/>
              </w:rPr>
            </w:pPr>
            <w:r w:rsidRPr="00B57DAB">
              <w:rPr>
                <w:rFonts w:ascii="GHEA Grapalat" w:hAnsi="GHEA Grapalat" w:cs="Calibri"/>
                <w:b/>
                <w:color w:val="000000"/>
                <w:sz w:val="18"/>
                <w:szCs w:val="18"/>
              </w:rPr>
              <w:t>1,144.9</w:t>
            </w:r>
          </w:p>
        </w:tc>
        <w:tc>
          <w:tcPr>
            <w:tcW w:w="1276" w:type="dxa"/>
          </w:tcPr>
          <w:p w:rsidR="00454E98" w:rsidRPr="00B57DAB" w:rsidRDefault="00454E98" w:rsidP="004A782A">
            <w:pPr>
              <w:jc w:val="right"/>
              <w:rPr>
                <w:rFonts w:ascii="GHEA Grapalat" w:hAnsi="GHEA Grapalat" w:cs="Calibri"/>
                <w:b/>
                <w:color w:val="000000"/>
                <w:sz w:val="18"/>
                <w:szCs w:val="18"/>
              </w:rPr>
            </w:pPr>
            <w:r w:rsidRPr="00B57DAB">
              <w:rPr>
                <w:rFonts w:ascii="GHEA Grapalat" w:hAnsi="GHEA Grapalat" w:cs="Calibri"/>
                <w:b/>
                <w:color w:val="000000"/>
                <w:sz w:val="18"/>
                <w:szCs w:val="18"/>
              </w:rPr>
              <w:t>94.8</w:t>
            </w:r>
          </w:p>
        </w:tc>
        <w:tc>
          <w:tcPr>
            <w:tcW w:w="1275" w:type="dxa"/>
          </w:tcPr>
          <w:p w:rsidR="00454E98" w:rsidRPr="00B57DAB" w:rsidRDefault="00454E98" w:rsidP="004A782A">
            <w:pPr>
              <w:jc w:val="right"/>
              <w:rPr>
                <w:rFonts w:ascii="GHEA Grapalat" w:hAnsi="GHEA Grapalat" w:cs="Calibri"/>
                <w:b/>
                <w:color w:val="000000"/>
                <w:sz w:val="18"/>
                <w:szCs w:val="18"/>
              </w:rPr>
            </w:pPr>
            <w:r w:rsidRPr="00B57DAB">
              <w:rPr>
                <w:rFonts w:ascii="GHEA Grapalat" w:hAnsi="GHEA Grapalat" w:cs="Calibri"/>
                <w:b/>
                <w:color w:val="000000"/>
                <w:sz w:val="18"/>
                <w:szCs w:val="18"/>
              </w:rPr>
              <w:t>95.1</w:t>
            </w:r>
          </w:p>
        </w:tc>
        <w:tc>
          <w:tcPr>
            <w:tcW w:w="1114" w:type="dxa"/>
          </w:tcPr>
          <w:p w:rsidR="00454E98" w:rsidRPr="00B57DAB" w:rsidRDefault="003A10B2" w:rsidP="004A782A">
            <w:pPr>
              <w:jc w:val="right"/>
              <w:rPr>
                <w:rFonts w:ascii="GHEA Grapalat" w:hAnsi="GHEA Grapalat" w:cs="Calibri"/>
                <w:b/>
                <w:color w:val="000000"/>
                <w:sz w:val="18"/>
                <w:szCs w:val="18"/>
              </w:rPr>
            </w:pPr>
            <w:r w:rsidRPr="00B57DAB">
              <w:rPr>
                <w:rFonts w:ascii="GHEA Grapalat" w:hAnsi="GHEA Grapalat" w:cs="Calibri"/>
                <w:b/>
                <w:color w:val="000000"/>
                <w:sz w:val="18"/>
                <w:szCs w:val="18"/>
              </w:rPr>
              <w:t>(</w:t>
            </w:r>
            <w:r w:rsidR="00454E98" w:rsidRPr="00B57DAB">
              <w:rPr>
                <w:rFonts w:ascii="GHEA Grapalat" w:hAnsi="GHEA Grapalat" w:cs="Calibri"/>
                <w:b/>
                <w:color w:val="000000"/>
                <w:sz w:val="18"/>
                <w:szCs w:val="18"/>
              </w:rPr>
              <w:t>59.6</w:t>
            </w:r>
            <w:r w:rsidRPr="00B57DAB">
              <w:rPr>
                <w:rFonts w:ascii="GHEA Grapalat" w:hAnsi="GHEA Grapalat" w:cs="Calibri"/>
                <w:b/>
                <w:color w:val="000000"/>
                <w:sz w:val="18"/>
                <w:szCs w:val="18"/>
              </w:rPr>
              <w:t>)</w:t>
            </w:r>
          </w:p>
        </w:tc>
      </w:tr>
      <w:tr w:rsidR="00454E98" w:rsidRPr="00B57DAB" w:rsidTr="004A782A">
        <w:trPr>
          <w:trHeight w:val="300"/>
          <w:jc w:val="center"/>
        </w:trPr>
        <w:tc>
          <w:tcPr>
            <w:tcW w:w="3240" w:type="dxa"/>
            <w:shd w:val="clear" w:color="auto" w:fill="auto"/>
            <w:hideMark/>
          </w:tcPr>
          <w:p w:rsidR="00454E98" w:rsidRPr="00B57DAB" w:rsidRDefault="00454E98" w:rsidP="004A782A">
            <w:pPr>
              <w:rPr>
                <w:rFonts w:ascii="GHEA Grapalat" w:hAnsi="GHEA Grapalat" w:cs="Calibri"/>
                <w:color w:val="000000"/>
                <w:sz w:val="18"/>
                <w:szCs w:val="18"/>
              </w:rPr>
            </w:pPr>
            <w:bookmarkStart w:id="63" w:name="_Hlk101433262"/>
            <w:r w:rsidRPr="00B57DAB">
              <w:rPr>
                <w:rFonts w:ascii="GHEA Grapalat" w:hAnsi="GHEA Grapalat" w:cs="Calibri"/>
                <w:color w:val="000000"/>
                <w:sz w:val="18"/>
                <w:szCs w:val="18"/>
              </w:rPr>
              <w:t>Շրջակա միջավայրի ոլորտում պետական քաղաքականության մշակում, ծրագրերի համակարգում և մոնիտորինգ</w:t>
            </w:r>
            <w:bookmarkEnd w:id="63"/>
          </w:p>
        </w:tc>
        <w:tc>
          <w:tcPr>
            <w:tcW w:w="1165"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178.7</w:t>
            </w:r>
          </w:p>
        </w:tc>
        <w:tc>
          <w:tcPr>
            <w:tcW w:w="1103"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216.2</w:t>
            </w:r>
          </w:p>
        </w:tc>
        <w:tc>
          <w:tcPr>
            <w:tcW w:w="992" w:type="dxa"/>
            <w:shd w:val="clear" w:color="auto" w:fill="auto"/>
            <w:hideMark/>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186.0</w:t>
            </w:r>
          </w:p>
        </w:tc>
        <w:tc>
          <w:tcPr>
            <w:tcW w:w="1276"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86.0</w:t>
            </w:r>
          </w:p>
        </w:tc>
        <w:tc>
          <w:tcPr>
            <w:tcW w:w="1275"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104.1</w:t>
            </w:r>
          </w:p>
        </w:tc>
        <w:tc>
          <w:tcPr>
            <w:tcW w:w="1114"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7.3</w:t>
            </w:r>
          </w:p>
        </w:tc>
      </w:tr>
      <w:tr w:rsidR="00454E98" w:rsidRPr="00B57DAB" w:rsidTr="004A782A">
        <w:trPr>
          <w:trHeight w:val="300"/>
          <w:jc w:val="center"/>
        </w:trPr>
        <w:tc>
          <w:tcPr>
            <w:tcW w:w="3240" w:type="dxa"/>
            <w:shd w:val="clear" w:color="auto" w:fill="auto"/>
            <w:hideMark/>
          </w:tcPr>
          <w:p w:rsidR="00454E98" w:rsidRPr="00B57DAB" w:rsidRDefault="00454E98" w:rsidP="004A782A">
            <w:pPr>
              <w:rPr>
                <w:rFonts w:ascii="GHEA Grapalat" w:hAnsi="GHEA Grapalat" w:cs="Calibri"/>
                <w:color w:val="000000"/>
                <w:sz w:val="18"/>
                <w:szCs w:val="18"/>
              </w:rPr>
            </w:pPr>
            <w:r w:rsidRPr="00B57DAB">
              <w:rPr>
                <w:rFonts w:ascii="GHEA Grapalat" w:hAnsi="GHEA Grapalat" w:cs="Calibri"/>
                <w:color w:val="000000"/>
                <w:sz w:val="18"/>
                <w:szCs w:val="18"/>
              </w:rPr>
              <w:t>Բնական պաշարների և բնության հատուկ պահպանվող տարածքների կառավարում և պահպանում</w:t>
            </w:r>
          </w:p>
        </w:tc>
        <w:tc>
          <w:tcPr>
            <w:tcW w:w="1165"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399.2</w:t>
            </w:r>
          </w:p>
        </w:tc>
        <w:tc>
          <w:tcPr>
            <w:tcW w:w="1103"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233.1</w:t>
            </w:r>
          </w:p>
        </w:tc>
        <w:tc>
          <w:tcPr>
            <w:tcW w:w="992" w:type="dxa"/>
            <w:shd w:val="clear" w:color="auto" w:fill="auto"/>
            <w:hideMark/>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 xml:space="preserve">233.1 </w:t>
            </w:r>
          </w:p>
        </w:tc>
        <w:tc>
          <w:tcPr>
            <w:tcW w:w="1276"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100.0</w:t>
            </w:r>
          </w:p>
        </w:tc>
        <w:tc>
          <w:tcPr>
            <w:tcW w:w="1275"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58.4</w:t>
            </w:r>
          </w:p>
        </w:tc>
        <w:tc>
          <w:tcPr>
            <w:tcW w:w="1114"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(166.1)</w:t>
            </w:r>
          </w:p>
        </w:tc>
      </w:tr>
      <w:tr w:rsidR="00454E98" w:rsidRPr="00B57DAB" w:rsidTr="004A782A">
        <w:trPr>
          <w:trHeight w:val="300"/>
          <w:jc w:val="center"/>
        </w:trPr>
        <w:tc>
          <w:tcPr>
            <w:tcW w:w="3240" w:type="dxa"/>
            <w:shd w:val="clear" w:color="auto" w:fill="auto"/>
          </w:tcPr>
          <w:p w:rsidR="00454E98" w:rsidRPr="00B57DAB" w:rsidRDefault="00454E98" w:rsidP="004A782A">
            <w:pPr>
              <w:rPr>
                <w:rFonts w:ascii="GHEA Grapalat" w:hAnsi="GHEA Grapalat" w:cs="Calibri"/>
                <w:color w:val="000000"/>
                <w:sz w:val="18"/>
                <w:szCs w:val="18"/>
              </w:rPr>
            </w:pPr>
            <w:r w:rsidRPr="00B57DAB">
              <w:rPr>
                <w:rFonts w:ascii="GHEA Grapalat" w:hAnsi="GHEA Grapalat" w:cs="Calibri"/>
                <w:color w:val="000000"/>
                <w:sz w:val="18"/>
                <w:szCs w:val="18"/>
              </w:rPr>
              <w:t>Անտառների կառավարում</w:t>
            </w:r>
          </w:p>
        </w:tc>
        <w:tc>
          <w:tcPr>
            <w:tcW w:w="1165"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264.0</w:t>
            </w:r>
          </w:p>
        </w:tc>
        <w:tc>
          <w:tcPr>
            <w:tcW w:w="1103"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344.2</w:t>
            </w:r>
          </w:p>
        </w:tc>
        <w:tc>
          <w:tcPr>
            <w:tcW w:w="992" w:type="dxa"/>
            <w:shd w:val="clear" w:color="auto" w:fill="auto"/>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311.3</w:t>
            </w:r>
          </w:p>
        </w:tc>
        <w:tc>
          <w:tcPr>
            <w:tcW w:w="1276"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90.4</w:t>
            </w:r>
          </w:p>
        </w:tc>
        <w:tc>
          <w:tcPr>
            <w:tcW w:w="1275"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117.9</w:t>
            </w:r>
          </w:p>
        </w:tc>
        <w:tc>
          <w:tcPr>
            <w:tcW w:w="1114"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47.3</w:t>
            </w:r>
          </w:p>
        </w:tc>
      </w:tr>
      <w:tr w:rsidR="00454E98" w:rsidRPr="00B57DAB" w:rsidTr="004A782A">
        <w:trPr>
          <w:trHeight w:val="300"/>
          <w:jc w:val="center"/>
        </w:trPr>
        <w:tc>
          <w:tcPr>
            <w:tcW w:w="3240" w:type="dxa"/>
            <w:shd w:val="clear" w:color="auto" w:fill="auto"/>
            <w:hideMark/>
          </w:tcPr>
          <w:p w:rsidR="00454E98" w:rsidRPr="00B57DAB" w:rsidRDefault="00454E98" w:rsidP="004A782A">
            <w:pPr>
              <w:rPr>
                <w:rFonts w:ascii="GHEA Grapalat" w:hAnsi="GHEA Grapalat" w:cs="Calibri"/>
                <w:color w:val="000000"/>
                <w:sz w:val="18"/>
                <w:szCs w:val="18"/>
              </w:rPr>
            </w:pPr>
            <w:bookmarkStart w:id="64" w:name="_Hlk95915466"/>
            <w:r w:rsidRPr="00B57DAB">
              <w:rPr>
                <w:rFonts w:ascii="GHEA Grapalat" w:hAnsi="GHEA Grapalat" w:cs="Calibri"/>
                <w:color w:val="000000"/>
                <w:sz w:val="18"/>
                <w:szCs w:val="18"/>
              </w:rPr>
              <w:t>Այլ ծրագրեր</w:t>
            </w:r>
          </w:p>
        </w:tc>
        <w:tc>
          <w:tcPr>
            <w:tcW w:w="1165"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362.6</w:t>
            </w:r>
          </w:p>
        </w:tc>
        <w:tc>
          <w:tcPr>
            <w:tcW w:w="1103"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414.5</w:t>
            </w:r>
          </w:p>
        </w:tc>
        <w:tc>
          <w:tcPr>
            <w:tcW w:w="992" w:type="dxa"/>
            <w:shd w:val="clear" w:color="auto" w:fill="auto"/>
            <w:hideMark/>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414.5</w:t>
            </w:r>
          </w:p>
        </w:tc>
        <w:tc>
          <w:tcPr>
            <w:tcW w:w="1276"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100.0</w:t>
            </w:r>
          </w:p>
        </w:tc>
        <w:tc>
          <w:tcPr>
            <w:tcW w:w="1275"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114.3</w:t>
            </w:r>
          </w:p>
        </w:tc>
        <w:tc>
          <w:tcPr>
            <w:tcW w:w="1114" w:type="dxa"/>
          </w:tcPr>
          <w:p w:rsidR="00454E98" w:rsidRPr="00B57DAB" w:rsidRDefault="00454E98" w:rsidP="004A782A">
            <w:pPr>
              <w:jc w:val="right"/>
              <w:rPr>
                <w:rFonts w:ascii="GHEA Grapalat" w:hAnsi="GHEA Grapalat" w:cs="Calibri"/>
                <w:color w:val="000000"/>
                <w:sz w:val="18"/>
                <w:szCs w:val="18"/>
              </w:rPr>
            </w:pPr>
            <w:r w:rsidRPr="00B57DAB">
              <w:rPr>
                <w:rFonts w:ascii="GHEA Grapalat" w:hAnsi="GHEA Grapalat" w:cs="Calibri"/>
                <w:color w:val="000000"/>
                <w:sz w:val="18"/>
                <w:szCs w:val="18"/>
              </w:rPr>
              <w:t>51.9</w:t>
            </w:r>
          </w:p>
        </w:tc>
      </w:tr>
      <w:bookmarkEnd w:id="64"/>
    </w:tbl>
    <w:p w:rsidR="00454E98" w:rsidRPr="00B57DAB" w:rsidRDefault="00454E98" w:rsidP="00454E98">
      <w:pPr>
        <w:autoSpaceDE w:val="0"/>
        <w:autoSpaceDN w:val="0"/>
        <w:adjustRightInd w:val="0"/>
        <w:spacing w:line="360" w:lineRule="auto"/>
        <w:ind w:firstLine="567"/>
        <w:jc w:val="both"/>
        <w:rPr>
          <w:rFonts w:ascii="GHEA Grapalat" w:hAnsi="GHEA Grapalat" w:cs="GHEA Grapalat"/>
          <w:sz w:val="22"/>
          <w:szCs w:val="22"/>
        </w:rPr>
      </w:pPr>
    </w:p>
    <w:p w:rsidR="00454E98" w:rsidRPr="00B57DAB" w:rsidRDefault="00454E98" w:rsidP="00454E98">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 xml:space="preserve">Հաշվետու ժամանակահատվածում </w:t>
      </w:r>
      <w:r w:rsidRPr="00B57DAB">
        <w:rPr>
          <w:rFonts w:ascii="GHEA Grapalat" w:hAnsi="GHEA Grapalat" w:cs="Sylfaen"/>
          <w:i/>
          <w:iCs/>
          <w:sz w:val="22"/>
          <w:szCs w:val="22"/>
        </w:rPr>
        <w:t>Շրջակա միջավայրի ոլորտում պետական քաղաքականության մշակման, ծրագրերի համակարգման և մոնիտորինգի</w:t>
      </w:r>
      <w:r w:rsidRPr="00B57DAB">
        <w:rPr>
          <w:rFonts w:ascii="GHEA Grapalat" w:hAnsi="GHEA Grapalat" w:cs="Sylfaen"/>
          <w:i/>
          <w:sz w:val="22"/>
          <w:szCs w:val="22"/>
        </w:rPr>
        <w:t xml:space="preserve"> </w:t>
      </w:r>
      <w:r w:rsidR="00CB3B36" w:rsidRPr="00B57DAB">
        <w:rPr>
          <w:rFonts w:ascii="GHEA Grapalat" w:hAnsi="GHEA Grapalat" w:cs="Sylfaen"/>
          <w:sz w:val="22"/>
          <w:szCs w:val="22"/>
        </w:rPr>
        <w:t>ծրագրի շրջանակներում օգտագործ</w:t>
      </w:r>
      <w:r w:rsidRPr="00B57DAB">
        <w:rPr>
          <w:rFonts w:ascii="GHEA Grapalat" w:hAnsi="GHEA Grapalat" w:cs="Sylfaen"/>
          <w:sz w:val="22"/>
          <w:szCs w:val="22"/>
        </w:rPr>
        <w:t xml:space="preserve">վել է </w:t>
      </w:r>
      <w:r w:rsidR="00CB3B36" w:rsidRPr="00B57DAB">
        <w:rPr>
          <w:rFonts w:ascii="GHEA Grapalat" w:hAnsi="GHEA Grapalat" w:cs="Sylfaen"/>
          <w:sz w:val="22"/>
          <w:szCs w:val="22"/>
        </w:rPr>
        <w:t>186</w:t>
      </w:r>
      <w:r w:rsidRPr="00B57DAB">
        <w:rPr>
          <w:rFonts w:ascii="GHEA Grapalat" w:hAnsi="GHEA Grapalat" w:cs="Sylfaen"/>
          <w:sz w:val="22"/>
          <w:szCs w:val="22"/>
        </w:rPr>
        <w:t xml:space="preserve"> մլն դրամ, որ</w:t>
      </w:r>
      <w:r w:rsidR="00CB3B36" w:rsidRPr="00B57DAB">
        <w:rPr>
          <w:rFonts w:ascii="GHEA Grapalat" w:hAnsi="GHEA Grapalat" w:cs="Sylfaen"/>
          <w:sz w:val="22"/>
          <w:szCs w:val="22"/>
        </w:rPr>
        <w:t>ը</w:t>
      </w:r>
      <w:r w:rsidRPr="00B57DAB">
        <w:rPr>
          <w:rFonts w:ascii="GHEA Grapalat" w:hAnsi="GHEA Grapalat" w:cs="Sylfaen"/>
          <w:sz w:val="22"/>
          <w:szCs w:val="22"/>
        </w:rPr>
        <w:t xml:space="preserve"> </w:t>
      </w:r>
      <w:r w:rsidR="00CB3B36" w:rsidRPr="00B57DAB">
        <w:rPr>
          <w:rFonts w:ascii="GHEA Grapalat" w:hAnsi="GHEA Grapalat" w:cs="Sylfaen"/>
          <w:sz w:val="22"/>
          <w:szCs w:val="22"/>
        </w:rPr>
        <w:t>կազմել է ծրագրված ցուցանիշի</w:t>
      </w:r>
      <w:r w:rsidRPr="00B57DAB">
        <w:rPr>
          <w:rFonts w:ascii="GHEA Grapalat" w:hAnsi="GHEA Grapalat" w:cs="Sylfaen"/>
          <w:sz w:val="22"/>
          <w:szCs w:val="22"/>
        </w:rPr>
        <w:t xml:space="preserve"> 86%-</w:t>
      </w:r>
      <w:r w:rsidR="00CB3B36" w:rsidRPr="00B57DAB">
        <w:rPr>
          <w:rFonts w:ascii="GHEA Grapalat" w:hAnsi="GHEA Grapalat" w:cs="Sylfaen"/>
          <w:sz w:val="22"/>
          <w:szCs w:val="22"/>
        </w:rPr>
        <w:t>ը</w:t>
      </w:r>
      <w:r w:rsidRPr="00B57DAB">
        <w:rPr>
          <w:rFonts w:ascii="GHEA Grapalat" w:hAnsi="GHEA Grapalat" w:cs="Sylfaen"/>
          <w:sz w:val="22"/>
          <w:szCs w:val="22"/>
        </w:rPr>
        <w:t xml:space="preserve">: Շեղումը հիմնականում պայմանավորված է ձեռք բերված ապրանքների ու ծառայությունների դիմաց վճարումների մի մասը ապրիլ ամսին կատարելու հանգամանքով: Նախորդ տարվա </w:t>
      </w:r>
      <w:r w:rsidR="00CB3B36" w:rsidRPr="00B57DAB">
        <w:rPr>
          <w:rFonts w:ascii="GHEA Grapalat" w:hAnsi="GHEA Grapalat" w:cs="Sylfaen"/>
          <w:sz w:val="22"/>
          <w:szCs w:val="22"/>
        </w:rPr>
        <w:t>նույն ժամանակահատվածի</w:t>
      </w:r>
      <w:r w:rsidRPr="00B57DAB">
        <w:rPr>
          <w:rFonts w:ascii="GHEA Grapalat" w:hAnsi="GHEA Grapalat" w:cs="Sylfaen"/>
          <w:sz w:val="22"/>
          <w:szCs w:val="22"/>
        </w:rPr>
        <w:t xml:space="preserve"> համեմատ ծրագրի ծախսերն աճել են 4.1%-ով կամ 7.3 մլն դրամով՝ հիմնականում պայմանավորված ՀՀ շրջակա միջավայրի նախարարության տեխնիկական կարողությունների ընդլայնման </w:t>
      </w:r>
      <w:r w:rsidR="00254C20" w:rsidRPr="00B57DAB">
        <w:rPr>
          <w:rFonts w:ascii="GHEA Grapalat" w:hAnsi="GHEA Grapalat" w:cs="Sylfaen"/>
          <w:sz w:val="22"/>
          <w:szCs w:val="22"/>
        </w:rPr>
        <w:t>նպատակով մ</w:t>
      </w:r>
      <w:r w:rsidRPr="00B57DAB">
        <w:rPr>
          <w:rFonts w:ascii="GHEA Grapalat" w:hAnsi="GHEA Grapalat" w:cs="Sylfaen"/>
          <w:sz w:val="22"/>
          <w:szCs w:val="22"/>
        </w:rPr>
        <w:t>իջոցներ</w:t>
      </w:r>
      <w:r w:rsidR="00254C20" w:rsidRPr="00B57DAB">
        <w:rPr>
          <w:rFonts w:ascii="GHEA Grapalat" w:hAnsi="GHEA Grapalat" w:cs="Sylfaen"/>
          <w:sz w:val="22"/>
          <w:szCs w:val="22"/>
        </w:rPr>
        <w:t>ի հատկացմամբ</w:t>
      </w:r>
      <w:r w:rsidRPr="00B57DAB">
        <w:rPr>
          <w:rFonts w:ascii="GHEA Grapalat" w:hAnsi="GHEA Grapalat" w:cs="Sylfaen"/>
          <w:sz w:val="22"/>
          <w:szCs w:val="22"/>
        </w:rPr>
        <w:t>, որոնք նախորդ տարի նախատեսված չեն եղել:</w:t>
      </w:r>
    </w:p>
    <w:p w:rsidR="00454E98" w:rsidRPr="00B57DAB" w:rsidRDefault="00454E98" w:rsidP="00454E98">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i/>
          <w:sz w:val="22"/>
          <w:szCs w:val="22"/>
        </w:rPr>
        <w:t>Բնական պաշարների և բնության հատուկ պահպանվող տարածքների կառավարման և պահպանման</w:t>
      </w:r>
      <w:r w:rsidRPr="00B57DAB">
        <w:rPr>
          <w:rFonts w:ascii="GHEA Grapalat" w:hAnsi="GHEA Grapalat" w:cs="Sylfaen"/>
          <w:sz w:val="22"/>
          <w:szCs w:val="22"/>
        </w:rPr>
        <w:t xml:space="preserve"> ծրագրի շրջանակներում հաշվետու ժամանակահատվածում </w:t>
      </w:r>
      <w:r w:rsidR="00254C20" w:rsidRPr="00B57DAB">
        <w:rPr>
          <w:rFonts w:ascii="GHEA Grapalat" w:hAnsi="GHEA Grapalat" w:cs="Sylfaen"/>
          <w:sz w:val="22"/>
          <w:szCs w:val="22"/>
        </w:rPr>
        <w:t>նախատեսված միջոցներն</w:t>
      </w:r>
      <w:r w:rsidRPr="00B57DAB">
        <w:rPr>
          <w:rFonts w:ascii="GHEA Grapalat" w:hAnsi="GHEA Grapalat" w:cs="Sylfaen"/>
          <w:sz w:val="22"/>
          <w:szCs w:val="22"/>
        </w:rPr>
        <w:t xml:space="preserve"> օգտագործվել են ամբողջ ծավալով և կազմել 233.1 մլն դրամ: Բնական պաշարների և բնության հատուկ պահպանվող տարածքների կառավարման և պահպանման ծրագրի շրջանակներում 231.9 մլն դրամ (ծրագրվածի 100%-ը) ուղղվել է բնության հատուկ պահպանվող տարածքների («Սևան», «Դիլիջան», «Արփի լիճ» ազգային պարկերի, «Խոսրովի անտառ» պետական արգելոցի, Արգելոցապարկային համալիր և Զանգեզուր կենսոլորտային համալիր ԲՀՊ տարածքների) պահպանությանը, դրանցում գիտական ուսումնասիրությունների և անտառատնտեսական աշխատանքների կատարմանը: Նշված միջոցառումների շրջանակներում հիմնականում ապահովվել են նախատեսված արդյունքային չափորոշիչները, որոշ չափորոշիչների գծով արձանագրվել է ծրագրված ցուցանիշների գերազանցում: Նախորդ տարվա</w:t>
      </w:r>
      <w:r w:rsidR="00254C20" w:rsidRPr="00B57DAB">
        <w:rPr>
          <w:rFonts w:ascii="GHEA Grapalat" w:hAnsi="GHEA Grapalat" w:cs="Sylfaen"/>
          <w:sz w:val="22"/>
          <w:szCs w:val="22"/>
        </w:rPr>
        <w:t xml:space="preserve"> առաջին եռամսյակի</w:t>
      </w:r>
      <w:r w:rsidRPr="00B57DAB">
        <w:rPr>
          <w:rFonts w:ascii="GHEA Grapalat" w:hAnsi="GHEA Grapalat" w:cs="Sylfaen"/>
          <w:sz w:val="22"/>
          <w:szCs w:val="22"/>
        </w:rPr>
        <w:t xml:space="preserve"> համեմատ Բնական պաշարների և բնության հատուկ պահպանվող տարածքների </w:t>
      </w:r>
      <w:r w:rsidRPr="00B57DAB">
        <w:rPr>
          <w:rFonts w:ascii="GHEA Grapalat" w:hAnsi="GHEA Grapalat" w:cs="Sylfaen"/>
          <w:sz w:val="22"/>
          <w:szCs w:val="22"/>
        </w:rPr>
        <w:lastRenderedPageBreak/>
        <w:t xml:space="preserve">կառավարման և պահպանման ծրագրի ծախսերը նվազել են 41.6%-ով կամ 166.1 մլն դրամով՝ </w:t>
      </w:r>
      <w:r w:rsidR="00A3091E" w:rsidRPr="00B57DAB">
        <w:rPr>
          <w:rFonts w:ascii="GHEA Grapalat" w:hAnsi="GHEA Grapalat" w:cs="Sylfaen"/>
          <w:sz w:val="22"/>
          <w:szCs w:val="22"/>
        </w:rPr>
        <w:t xml:space="preserve">հիմնականում </w:t>
      </w:r>
      <w:r w:rsidRPr="00B57DAB">
        <w:rPr>
          <w:rFonts w:ascii="GHEA Grapalat" w:hAnsi="GHEA Grapalat" w:cs="Sylfaen"/>
          <w:sz w:val="22"/>
          <w:szCs w:val="22"/>
        </w:rPr>
        <w:t xml:space="preserve">պայմանավորված 2021 թվականին Գերմանիայի զարգացման վարկերի բանկի (KFW) աջակցությամբ ՀՀ </w:t>
      </w:r>
      <w:r w:rsidR="00A3091E" w:rsidRPr="00B57DAB">
        <w:rPr>
          <w:rFonts w:ascii="GHEA Grapalat" w:hAnsi="GHEA Grapalat" w:cs="Sylfaen"/>
          <w:sz w:val="22"/>
          <w:szCs w:val="22"/>
        </w:rPr>
        <w:t>Սյունիքի մարզի</w:t>
      </w:r>
      <w:r w:rsidR="006A4207" w:rsidRPr="00B57DAB">
        <w:rPr>
          <w:rFonts w:ascii="GHEA Grapalat" w:hAnsi="GHEA Grapalat" w:cs="Sylfaen"/>
          <w:sz w:val="22"/>
          <w:szCs w:val="22"/>
        </w:rPr>
        <w:t xml:space="preserve"> </w:t>
      </w:r>
      <w:r w:rsidR="00A3091E" w:rsidRPr="00B57DAB">
        <w:rPr>
          <w:rFonts w:ascii="GHEA Grapalat" w:hAnsi="GHEA Grapalat" w:cs="Sylfaen"/>
          <w:sz w:val="22"/>
          <w:szCs w:val="22"/>
        </w:rPr>
        <w:t xml:space="preserve">բնության հատուկ պահպանվող տարածքների կառավարման բարելավմանն ուղղված ծրագրերի </w:t>
      </w:r>
      <w:r w:rsidRPr="00B57DAB">
        <w:rPr>
          <w:rFonts w:ascii="GHEA Grapalat" w:hAnsi="GHEA Grapalat" w:cs="Sylfaen"/>
          <w:sz w:val="22"/>
          <w:szCs w:val="22"/>
        </w:rPr>
        <w:t>ավարտով:</w:t>
      </w:r>
    </w:p>
    <w:p w:rsidR="00454E98" w:rsidRPr="00B57DAB" w:rsidRDefault="00454E98" w:rsidP="00454E98">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 xml:space="preserve">Հաշվետու ժամանակահատվածում 311.3 մլն դրամ է օգտագործվել </w:t>
      </w:r>
      <w:r w:rsidRPr="00B57DAB">
        <w:rPr>
          <w:rFonts w:ascii="GHEA Grapalat" w:hAnsi="GHEA Grapalat" w:cs="Sylfaen"/>
          <w:i/>
          <w:sz w:val="22"/>
          <w:szCs w:val="22"/>
        </w:rPr>
        <w:t>Անտառների կառավարման</w:t>
      </w:r>
      <w:r w:rsidRPr="00B57DAB">
        <w:rPr>
          <w:rFonts w:ascii="GHEA Grapalat" w:hAnsi="GHEA Grapalat" w:cs="Sylfaen"/>
          <w:sz w:val="22"/>
          <w:szCs w:val="22"/>
        </w:rPr>
        <w:t xml:space="preserve"> ծրագրի շրջանակներում՝ ապահովելով ծրագրված ցուցանիշի 90.4%-ը: </w:t>
      </w:r>
      <w:bookmarkStart w:id="65" w:name="_Hlk77258709"/>
      <w:r w:rsidRPr="00B57DAB">
        <w:rPr>
          <w:rFonts w:ascii="GHEA Grapalat" w:hAnsi="GHEA Grapalat" w:cs="Sylfaen"/>
          <w:sz w:val="22"/>
          <w:szCs w:val="22"/>
        </w:rPr>
        <w:t xml:space="preserve">Շեղումը </w:t>
      </w:r>
      <w:r w:rsidR="00A3091E" w:rsidRPr="00B57DAB">
        <w:rPr>
          <w:rFonts w:ascii="GHEA Grapalat" w:hAnsi="GHEA Grapalat" w:cs="Sylfaen"/>
          <w:sz w:val="22"/>
          <w:szCs w:val="22"/>
        </w:rPr>
        <w:t>մասամբ</w:t>
      </w:r>
      <w:r w:rsidRPr="00B57DAB">
        <w:rPr>
          <w:rFonts w:ascii="GHEA Grapalat" w:hAnsi="GHEA Grapalat" w:cs="Sylfaen"/>
          <w:sz w:val="22"/>
          <w:szCs w:val="22"/>
        </w:rPr>
        <w:t xml:space="preserve"> </w:t>
      </w:r>
      <w:r w:rsidR="00A3091E" w:rsidRPr="00B57DAB">
        <w:rPr>
          <w:rFonts w:ascii="GHEA Grapalat" w:hAnsi="GHEA Grapalat" w:cs="Sylfaen"/>
          <w:sz w:val="22"/>
          <w:szCs w:val="22"/>
        </w:rPr>
        <w:t>առաջացել</w:t>
      </w:r>
      <w:r w:rsidRPr="00B57DAB">
        <w:rPr>
          <w:rFonts w:ascii="GHEA Grapalat" w:hAnsi="GHEA Grapalat" w:cs="Sylfaen"/>
          <w:sz w:val="22"/>
          <w:szCs w:val="22"/>
        </w:rPr>
        <w:t xml:space="preserve"> է Անտառային ոլորտում քաղաքականության մշակման և աջակցության ծառայությունների ու ծրագրերի համակարգման ծախսեր</w:t>
      </w:r>
      <w:r w:rsidR="00A3091E" w:rsidRPr="00B57DAB">
        <w:rPr>
          <w:rFonts w:ascii="GHEA Grapalat" w:hAnsi="GHEA Grapalat" w:cs="Sylfaen"/>
          <w:sz w:val="22"/>
          <w:szCs w:val="22"/>
        </w:rPr>
        <w:t>ում</w:t>
      </w:r>
      <w:r w:rsidRPr="00B57DAB">
        <w:rPr>
          <w:rFonts w:ascii="GHEA Grapalat" w:hAnsi="GHEA Grapalat" w:cs="Sylfaen"/>
          <w:sz w:val="22"/>
          <w:szCs w:val="22"/>
        </w:rPr>
        <w:t>, որ</w:t>
      </w:r>
      <w:r w:rsidR="00A3091E" w:rsidRPr="00B57DAB">
        <w:rPr>
          <w:rFonts w:ascii="GHEA Grapalat" w:hAnsi="GHEA Grapalat" w:cs="Sylfaen"/>
          <w:sz w:val="22"/>
          <w:szCs w:val="22"/>
        </w:rPr>
        <w:t>ոնք</w:t>
      </w:r>
      <w:r w:rsidRPr="00B57DAB">
        <w:rPr>
          <w:rFonts w:ascii="GHEA Grapalat" w:hAnsi="GHEA Grapalat" w:cs="Sylfaen"/>
          <w:sz w:val="22"/>
          <w:szCs w:val="22"/>
        </w:rPr>
        <w:t xml:space="preserve"> կազմել </w:t>
      </w:r>
      <w:r w:rsidR="00A3091E" w:rsidRPr="00B57DAB">
        <w:rPr>
          <w:rFonts w:ascii="GHEA Grapalat" w:hAnsi="GHEA Grapalat" w:cs="Sylfaen"/>
          <w:sz w:val="22"/>
          <w:szCs w:val="22"/>
        </w:rPr>
        <w:t>են</w:t>
      </w:r>
      <w:r w:rsidRPr="00B57DAB">
        <w:rPr>
          <w:rFonts w:ascii="GHEA Grapalat" w:hAnsi="GHEA Grapalat" w:cs="Sylfaen"/>
          <w:sz w:val="22"/>
          <w:szCs w:val="22"/>
        </w:rPr>
        <w:t xml:space="preserve"> </w:t>
      </w:r>
      <w:r w:rsidR="00A3091E" w:rsidRPr="00B57DAB">
        <w:rPr>
          <w:rFonts w:ascii="GHEA Grapalat" w:hAnsi="GHEA Grapalat" w:cs="Sylfaen"/>
          <w:sz w:val="22"/>
          <w:szCs w:val="22"/>
        </w:rPr>
        <w:t xml:space="preserve">29.9 մլն դրամ կամ ծրագրված ցուցանիշի </w:t>
      </w:r>
      <w:r w:rsidRPr="00B57DAB">
        <w:rPr>
          <w:rFonts w:ascii="GHEA Grapalat" w:hAnsi="GHEA Grapalat" w:cs="Sylfaen"/>
          <w:sz w:val="22"/>
          <w:szCs w:val="22"/>
        </w:rPr>
        <w:t>61.8%</w:t>
      </w:r>
      <w:r w:rsidR="00A3091E" w:rsidRPr="00B57DAB">
        <w:rPr>
          <w:rFonts w:ascii="GHEA Grapalat" w:hAnsi="GHEA Grapalat" w:cs="Sylfaen"/>
          <w:sz w:val="22"/>
          <w:szCs w:val="22"/>
        </w:rPr>
        <w:t>-</w:t>
      </w:r>
      <w:r w:rsidRPr="00B57DAB">
        <w:rPr>
          <w:rFonts w:ascii="GHEA Grapalat" w:hAnsi="GHEA Grapalat" w:cs="Sylfaen"/>
          <w:sz w:val="22"/>
          <w:szCs w:val="22"/>
        </w:rPr>
        <w:t>ը</w:t>
      </w:r>
      <w:r w:rsidR="00A3091E" w:rsidRPr="00B57DAB">
        <w:rPr>
          <w:rFonts w:ascii="GHEA Grapalat" w:hAnsi="GHEA Grapalat" w:cs="Sylfaen"/>
          <w:sz w:val="22"/>
          <w:szCs w:val="22"/>
        </w:rPr>
        <w:t>՝</w:t>
      </w:r>
      <w:r w:rsidRPr="00B57DAB">
        <w:rPr>
          <w:rFonts w:ascii="GHEA Grapalat" w:hAnsi="GHEA Grapalat" w:cs="Sylfaen"/>
          <w:sz w:val="22"/>
          <w:szCs w:val="22"/>
        </w:rPr>
        <w:t xml:space="preserve"> պայմանավորված ՀՀ շրջակա միջավայրի նախարարության Անտառային կոմիտեի և </w:t>
      </w:r>
      <w:bookmarkStart w:id="66" w:name="_Hlk69981403"/>
      <w:r w:rsidRPr="00B57DAB">
        <w:rPr>
          <w:rFonts w:ascii="GHEA Grapalat" w:hAnsi="GHEA Grapalat" w:cs="Sylfaen"/>
          <w:sz w:val="22"/>
          <w:szCs w:val="22"/>
        </w:rPr>
        <w:t xml:space="preserve">«Հայանտառ» </w:t>
      </w:r>
      <w:bookmarkEnd w:id="66"/>
      <w:r w:rsidRPr="00B57DAB">
        <w:rPr>
          <w:rFonts w:ascii="GHEA Grapalat" w:hAnsi="GHEA Grapalat" w:cs="Sylfaen"/>
          <w:sz w:val="22"/>
          <w:szCs w:val="22"/>
        </w:rPr>
        <w:t xml:space="preserve">ՊՈԱԿ-ի կողմից տարածքի համատեղ օգտագործմամբ, ինչի արդյունքում որոշ ծախսերի գծով նախատեսված միջոցները տնտեսվել են, ինչպես նաև թափուր հաստիքների առկայությամբ: Անտառների կառավարման ծրագրի կատարողականը պայմանավորված է նաև </w:t>
      </w:r>
      <w:r w:rsidR="009A3DB8" w:rsidRPr="00B57DAB">
        <w:rPr>
          <w:rFonts w:ascii="GHEA Grapalat" w:hAnsi="GHEA Grapalat" w:cs="Sylfaen"/>
          <w:sz w:val="22"/>
          <w:szCs w:val="22"/>
        </w:rPr>
        <w:t>«</w:t>
      </w:r>
      <w:r w:rsidRPr="00B57DAB">
        <w:rPr>
          <w:rFonts w:ascii="GHEA Grapalat" w:hAnsi="GHEA Grapalat" w:cs="Sylfaen"/>
          <w:sz w:val="22"/>
          <w:szCs w:val="22"/>
        </w:rPr>
        <w:t>Անտառկառավարման պլանների կազմ</w:t>
      </w:r>
      <w:r w:rsidR="009A3DB8" w:rsidRPr="00B57DAB">
        <w:rPr>
          <w:rFonts w:ascii="GHEA Grapalat" w:hAnsi="GHEA Grapalat" w:cs="Sylfaen"/>
          <w:sz w:val="22"/>
          <w:szCs w:val="22"/>
        </w:rPr>
        <w:t>ում» միջոցառման</w:t>
      </w:r>
      <w:r w:rsidRPr="00B57DAB">
        <w:rPr>
          <w:rFonts w:ascii="GHEA Grapalat" w:hAnsi="GHEA Grapalat" w:cs="Sylfaen"/>
          <w:sz w:val="22"/>
          <w:szCs w:val="22"/>
        </w:rPr>
        <w:t xml:space="preserve"> ծախսերի կատարողականով, որը կ</w:t>
      </w:r>
      <w:r w:rsidR="00A3091E" w:rsidRPr="00B57DAB">
        <w:rPr>
          <w:rFonts w:ascii="GHEA Grapalat" w:hAnsi="GHEA Grapalat" w:cs="Sylfaen"/>
          <w:sz w:val="22"/>
          <w:szCs w:val="22"/>
        </w:rPr>
        <w:t>ազմել է 86.8% կամ 40.9 մլն դրամ և պայմանավորված է</w:t>
      </w:r>
      <w:r w:rsidRPr="00B57DAB">
        <w:rPr>
          <w:rFonts w:ascii="GHEA Grapalat" w:hAnsi="GHEA Grapalat" w:cs="Sylfaen"/>
          <w:sz w:val="22"/>
          <w:szCs w:val="22"/>
        </w:rPr>
        <w:t xml:space="preserve"> մրցույթի ար</w:t>
      </w:r>
      <w:r w:rsidR="00A3091E" w:rsidRPr="00B57DAB">
        <w:rPr>
          <w:rFonts w:ascii="GHEA Grapalat" w:hAnsi="GHEA Grapalat" w:cs="Sylfaen"/>
          <w:sz w:val="22"/>
          <w:szCs w:val="22"/>
        </w:rPr>
        <w:t>դյունքում առաջացած տնտեսմամբ</w:t>
      </w:r>
      <w:r w:rsidRPr="00B57DAB">
        <w:rPr>
          <w:rFonts w:ascii="GHEA Grapalat" w:hAnsi="GHEA Grapalat" w:cs="Sylfaen"/>
          <w:sz w:val="22"/>
          <w:szCs w:val="22"/>
        </w:rPr>
        <w:t>, իսկ Անտառվերականգնման և անտառապատման համար հատկացված 8.3 մլն դրամը չի օգտագործվել, քանի որ աշխատանքները եղանակային անբարենպաստ պայմանների պատճառով չեն կատարվել:</w:t>
      </w:r>
      <w:r w:rsidRPr="00B57DAB">
        <w:t xml:space="preserve"> </w:t>
      </w:r>
    </w:p>
    <w:bookmarkEnd w:id="65"/>
    <w:p w:rsidR="00454E98" w:rsidRPr="00B57DAB" w:rsidRDefault="00454E98" w:rsidP="00454E98">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Անտառների կառավարման ծրագրի միջոցառումների շրջանակներում նախատեսված արդյունքային չափորոշիչները հիմնականում ապահովվել են: Ծրագրին հատկացված միջոցների հիմնական մասը՝ 240.4 մլն դրամը, տրամադրվել է անտառպահպանական ծառայություններին՝ ապահովելով 100% կատարողական: Միջոցառման շրջանակներում ապահովվել է 342.4 հազար հա անտառային տարածքների պահպանում:</w:t>
      </w:r>
    </w:p>
    <w:p w:rsidR="00454E98" w:rsidRPr="00B57DAB" w:rsidRDefault="00454E98" w:rsidP="00454E98">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Նախորդ տարվա</w:t>
      </w:r>
      <w:r w:rsidR="00A3091E" w:rsidRPr="00B57DAB">
        <w:rPr>
          <w:rFonts w:ascii="GHEA Grapalat" w:hAnsi="GHEA Grapalat" w:cs="Sylfaen"/>
          <w:sz w:val="22"/>
          <w:szCs w:val="22"/>
        </w:rPr>
        <w:t xml:space="preserve"> առաջին եռամսյակի</w:t>
      </w:r>
      <w:r w:rsidRPr="00B57DAB">
        <w:rPr>
          <w:rFonts w:ascii="GHEA Grapalat" w:hAnsi="GHEA Grapalat" w:cs="Sylfaen"/>
          <w:sz w:val="22"/>
          <w:szCs w:val="22"/>
        </w:rPr>
        <w:t xml:space="preserve"> համեմատ Անտառների կառավարման ծրագրի ծախսերն աճել են 17.9%-ով կամ 47.3 մլն դրամով՝ հիմնականում պայմանավորված Անտառկառավարման պլանների կազմման միջոցառման </w:t>
      </w:r>
      <w:r w:rsidR="00A3091E" w:rsidRPr="00B57DAB">
        <w:rPr>
          <w:rFonts w:ascii="GHEA Grapalat" w:hAnsi="GHEA Grapalat" w:cs="Sylfaen"/>
          <w:sz w:val="22"/>
          <w:szCs w:val="22"/>
        </w:rPr>
        <w:t>շրջանակներում կատարված ծախսերի աճով</w:t>
      </w:r>
      <w:r w:rsidRPr="00B57DAB">
        <w:rPr>
          <w:rFonts w:ascii="GHEA Grapalat" w:hAnsi="GHEA Grapalat" w:cs="Sylfaen"/>
          <w:sz w:val="22"/>
          <w:szCs w:val="22"/>
        </w:rPr>
        <w:t>:</w:t>
      </w:r>
    </w:p>
    <w:p w:rsidR="00454E98" w:rsidRPr="00B57DAB" w:rsidRDefault="00454E98" w:rsidP="00454E98">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 xml:space="preserve">2022 թվականի առաջին եռամսյակում ՀՀ շրջակա միջավայրի նախարարության պատասխանատվությամբ իրականացվող այլ ծրագրերին տրամադրված 414.5 մլն դրամից 337.4 մլն </w:t>
      </w:r>
      <w:r w:rsidRPr="00B57DAB">
        <w:rPr>
          <w:rFonts w:ascii="GHEA Grapalat" w:hAnsi="GHEA Grapalat" w:cs="GHEA Grapalat"/>
          <w:sz w:val="22"/>
          <w:szCs w:val="22"/>
        </w:rPr>
        <w:t>դրամն</w:t>
      </w:r>
      <w:r w:rsidRPr="00B57DAB">
        <w:rPr>
          <w:rFonts w:ascii="GHEA Grapalat" w:hAnsi="GHEA Grapalat" w:cs="Sylfaen"/>
          <w:sz w:val="22"/>
          <w:szCs w:val="22"/>
        </w:rPr>
        <w:t xml:space="preserve"> </w:t>
      </w:r>
      <w:r w:rsidRPr="00B57DAB">
        <w:rPr>
          <w:rFonts w:ascii="GHEA Grapalat" w:hAnsi="GHEA Grapalat" w:cs="GHEA Grapalat"/>
          <w:sz w:val="22"/>
          <w:szCs w:val="22"/>
        </w:rPr>
        <w:t>օգտագործվել</w:t>
      </w:r>
      <w:r w:rsidRPr="00B57DAB">
        <w:rPr>
          <w:rFonts w:ascii="GHEA Grapalat" w:hAnsi="GHEA Grapalat" w:cs="Sylfaen"/>
          <w:sz w:val="22"/>
          <w:szCs w:val="22"/>
        </w:rPr>
        <w:t xml:space="preserve"> է </w:t>
      </w:r>
      <w:r w:rsidRPr="00B57DAB">
        <w:rPr>
          <w:rFonts w:ascii="GHEA Grapalat" w:hAnsi="GHEA Grapalat" w:cs="Sylfaen"/>
          <w:i/>
          <w:sz w:val="22"/>
          <w:szCs w:val="22"/>
        </w:rPr>
        <w:t>Շրջակա միջավայրի վրա ազդեցության գնահատման և մոնիթորինգի</w:t>
      </w:r>
      <w:r w:rsidRPr="00B57DAB">
        <w:rPr>
          <w:rFonts w:ascii="GHEA Grapalat" w:hAnsi="GHEA Grapalat" w:cs="Sylfaen"/>
          <w:sz w:val="22"/>
          <w:szCs w:val="22"/>
        </w:rPr>
        <w:t xml:space="preserve"> ծրագրի շրջանակներում, որը </w:t>
      </w:r>
      <w:r w:rsidR="00C415F9" w:rsidRPr="00B57DAB">
        <w:rPr>
          <w:rFonts w:ascii="GHEA Grapalat" w:hAnsi="GHEA Grapalat" w:cs="Sylfaen"/>
          <w:sz w:val="22"/>
          <w:szCs w:val="22"/>
        </w:rPr>
        <w:t>կատարվել է</w:t>
      </w:r>
      <w:r w:rsidRPr="00B57DAB">
        <w:rPr>
          <w:rFonts w:ascii="GHEA Grapalat" w:hAnsi="GHEA Grapalat" w:cs="Sylfaen"/>
          <w:sz w:val="22"/>
          <w:szCs w:val="22"/>
        </w:rPr>
        <w:t xml:space="preserve"> 100</w:t>
      </w:r>
      <w:r w:rsidR="00C415F9" w:rsidRPr="00B57DAB">
        <w:rPr>
          <w:rFonts w:ascii="GHEA Grapalat" w:hAnsi="GHEA Grapalat" w:cs="Sylfaen"/>
          <w:sz w:val="22"/>
          <w:szCs w:val="22"/>
        </w:rPr>
        <w:t>%-ով</w:t>
      </w:r>
      <w:r w:rsidRPr="00B57DAB">
        <w:rPr>
          <w:rFonts w:ascii="GHEA Grapalat" w:hAnsi="GHEA Grapalat" w:cs="Sylfaen"/>
          <w:sz w:val="22"/>
          <w:szCs w:val="22"/>
        </w:rPr>
        <w:t>:</w:t>
      </w:r>
      <w:r w:rsidRPr="00B57DAB">
        <w:t xml:space="preserve"> </w:t>
      </w:r>
      <w:r w:rsidRPr="00B57DAB">
        <w:rPr>
          <w:rFonts w:ascii="GHEA Grapalat" w:hAnsi="GHEA Grapalat" w:cs="Sylfaen"/>
          <w:sz w:val="22"/>
          <w:szCs w:val="22"/>
        </w:rPr>
        <w:t>Ծրագրի</w:t>
      </w:r>
      <w:r w:rsidR="00C415F9" w:rsidRPr="00B57DAB">
        <w:rPr>
          <w:rFonts w:ascii="GHEA Grapalat" w:hAnsi="GHEA Grapalat" w:cs="Sylfaen"/>
          <w:sz w:val="22"/>
          <w:szCs w:val="22"/>
        </w:rPr>
        <w:t xml:space="preserve"> շրջանակներու</w:t>
      </w:r>
      <w:r w:rsidRPr="00B57DAB">
        <w:rPr>
          <w:rFonts w:ascii="GHEA Grapalat" w:hAnsi="GHEA Grapalat" w:cs="Sylfaen"/>
          <w:sz w:val="22"/>
          <w:szCs w:val="22"/>
        </w:rPr>
        <w:t>մ օգտագործված միջոցների հիմնական մասը՝ 323.5 մլն դրամը հատկացվել է հիդրոօդերևութաբանությանը, շրջակա միջավայրի մոնիթորինգին և տեղեկատվության ապահովմանը:</w:t>
      </w:r>
      <w:r w:rsidR="00C415F9" w:rsidRPr="00B57DAB">
        <w:rPr>
          <w:rFonts w:ascii="GHEA Grapalat" w:hAnsi="GHEA Grapalat" w:cs="Sylfaen"/>
          <w:sz w:val="22"/>
          <w:szCs w:val="22"/>
        </w:rPr>
        <w:t xml:space="preserve"> 2021 թվականի առաջին եռամսյակի համեմատ Շրջակա միջավայրի վրա ազդեցության գնահատման և մոնիթորինգի ծրագրի ծախսերն </w:t>
      </w:r>
      <w:r w:rsidR="00C415F9" w:rsidRPr="00B57DAB">
        <w:rPr>
          <w:rFonts w:ascii="GHEA Grapalat" w:hAnsi="GHEA Grapalat" w:cs="Sylfaen"/>
          <w:sz w:val="22"/>
          <w:szCs w:val="22"/>
        </w:rPr>
        <w:lastRenderedPageBreak/>
        <w:t>աճել են 17.7%-ով (50.8 մլն դրամով)՝ հիմնականում պայմանավորված հիդրոօդերևութաբանության, շրջակա միջավայրի մոնիթորինգի և տեղեկատվության ապահովման ծախսերի աճով:</w:t>
      </w:r>
    </w:p>
    <w:p w:rsidR="00454E98" w:rsidRPr="00B57DAB" w:rsidRDefault="00454E98" w:rsidP="00454E98">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i/>
          <w:sz w:val="22"/>
          <w:szCs w:val="22"/>
        </w:rPr>
        <w:t>Բնագիտական նմուշների պահպանության և ցուցադրության</w:t>
      </w:r>
      <w:r w:rsidRPr="00B57DAB">
        <w:rPr>
          <w:rFonts w:ascii="GHEA Grapalat" w:hAnsi="GHEA Grapalat" w:cs="Sylfaen"/>
          <w:sz w:val="22"/>
          <w:szCs w:val="22"/>
        </w:rPr>
        <w:t xml:space="preserve"> ծրագրին հաշվետու ժամանակահատվածում պետական բյուջեից տրամադրվել է 77.1 մլն դրամ՝ կազմելով ծրագրված ցուցանիշի 100%-ը: Նշված գումարից 68.7 մլն դրամն ուղղվել է կենդանաբանական այգու ցուցադրություններին, 8.5 մլն դրամը՝ բնագիտական նմուշների պահպանությանը և ցուցադրությանը: Նախորդ տարվա</w:t>
      </w:r>
      <w:r w:rsidR="006A4207" w:rsidRPr="00B57DAB">
        <w:rPr>
          <w:rFonts w:ascii="GHEA Grapalat" w:hAnsi="GHEA Grapalat" w:cs="Sylfaen"/>
          <w:sz w:val="22"/>
          <w:szCs w:val="22"/>
        </w:rPr>
        <w:t xml:space="preserve"> </w:t>
      </w:r>
      <w:r w:rsidR="00C415F9" w:rsidRPr="00B57DAB">
        <w:rPr>
          <w:rFonts w:ascii="GHEA Grapalat" w:hAnsi="GHEA Grapalat" w:cs="Sylfaen"/>
          <w:sz w:val="22"/>
          <w:szCs w:val="22"/>
        </w:rPr>
        <w:t xml:space="preserve">նույն ժամանակահատվածի </w:t>
      </w:r>
      <w:r w:rsidRPr="00B57DAB">
        <w:rPr>
          <w:rFonts w:ascii="GHEA Grapalat" w:hAnsi="GHEA Grapalat" w:cs="Sylfaen"/>
          <w:sz w:val="22"/>
          <w:szCs w:val="22"/>
        </w:rPr>
        <w:t>համեմատ ծրագրի ծախսերն աճել են 1.4%-ով (1.1 մլն դրամով):</w:t>
      </w:r>
    </w:p>
    <w:p w:rsidR="003F2149" w:rsidRPr="00B57DAB" w:rsidRDefault="003F2149" w:rsidP="003F2149">
      <w:pPr>
        <w:autoSpaceDE w:val="0"/>
        <w:autoSpaceDN w:val="0"/>
        <w:adjustRightInd w:val="0"/>
        <w:spacing w:line="360" w:lineRule="auto"/>
        <w:ind w:firstLine="567"/>
        <w:jc w:val="both"/>
        <w:rPr>
          <w:rFonts w:ascii="GHEA Grapalat" w:hAnsi="GHEA Grapalat" w:cs="Sylfaen"/>
          <w:sz w:val="22"/>
          <w:szCs w:val="22"/>
          <w:lang w:val="hy-AM"/>
        </w:rPr>
      </w:pPr>
    </w:p>
    <w:p w:rsidR="005B7DCC" w:rsidRPr="00B57DAB" w:rsidRDefault="003F2149" w:rsidP="005B7DCC">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i/>
          <w:sz w:val="22"/>
          <w:szCs w:val="22"/>
          <w:u w:val="single"/>
        </w:rPr>
        <w:t>ՀՀ կրթության, գիտության, մշակույթի և սպորտի նախարարության</w:t>
      </w:r>
      <w:r w:rsidRPr="00B57DAB">
        <w:rPr>
          <w:rFonts w:ascii="GHEA Grapalat" w:hAnsi="GHEA Grapalat" w:cs="Sylfaen"/>
          <w:sz w:val="22"/>
          <w:szCs w:val="22"/>
        </w:rPr>
        <w:t xml:space="preserve"> </w:t>
      </w:r>
      <w:r w:rsidR="005B7DCC" w:rsidRPr="00B57DAB">
        <w:rPr>
          <w:rFonts w:ascii="GHEA Grapalat" w:hAnsi="GHEA Grapalat" w:cs="Sylfaen"/>
          <w:sz w:val="22"/>
          <w:szCs w:val="22"/>
        </w:rPr>
        <w:t xml:space="preserve">պատասխանատվության ներքո 2022 թվականի առաջին եռամսյակի ընթացքում իրականացվել են 21 ծրագրեր, որոնց շրջանակներում օգտագործվել է 34.7 մլրդ դրամ՝ ապահովելով ծրագրված ցուցանիշի 83.1% կատարողական: Առանձնապես խոշոր շեղումներ են արձանագրվել </w:t>
      </w:r>
      <w:r w:rsidR="00D24373" w:rsidRPr="00B57DAB">
        <w:rPr>
          <w:rFonts w:ascii="GHEA Grapalat" w:hAnsi="GHEA Grapalat" w:cs="Sylfaen"/>
          <w:sz w:val="22"/>
          <w:szCs w:val="22"/>
        </w:rPr>
        <w:t>«</w:t>
      </w:r>
      <w:r w:rsidR="005B7DCC" w:rsidRPr="00B57DAB">
        <w:rPr>
          <w:rFonts w:ascii="GHEA Grapalat" w:hAnsi="GHEA Grapalat" w:cs="Sylfaen"/>
          <w:sz w:val="22"/>
          <w:szCs w:val="22"/>
        </w:rPr>
        <w:t>Կրթության որակի ապահով</w:t>
      </w:r>
      <w:r w:rsidR="00D24373" w:rsidRPr="00B57DAB">
        <w:rPr>
          <w:rFonts w:ascii="GHEA Grapalat" w:hAnsi="GHEA Grapalat" w:cs="Sylfaen"/>
          <w:sz w:val="22"/>
          <w:szCs w:val="22"/>
        </w:rPr>
        <w:t>ու</w:t>
      </w:r>
      <w:r w:rsidR="005B7DCC" w:rsidRPr="00B57DAB">
        <w:rPr>
          <w:rFonts w:ascii="GHEA Grapalat" w:hAnsi="GHEA Grapalat" w:cs="Sylfaen"/>
          <w:sz w:val="22"/>
          <w:szCs w:val="22"/>
        </w:rPr>
        <w:t>մ</w:t>
      </w:r>
      <w:r w:rsidR="00D24373" w:rsidRPr="00B57DAB">
        <w:rPr>
          <w:rFonts w:ascii="GHEA Grapalat" w:hAnsi="GHEA Grapalat" w:cs="Sylfaen"/>
          <w:sz w:val="22"/>
          <w:szCs w:val="22"/>
        </w:rPr>
        <w:t>»</w:t>
      </w:r>
      <w:r w:rsidR="00812B07" w:rsidRPr="00B57DAB">
        <w:rPr>
          <w:rFonts w:ascii="GHEA Grapalat" w:hAnsi="GHEA Grapalat" w:cs="Sylfaen"/>
          <w:sz w:val="22"/>
          <w:szCs w:val="22"/>
        </w:rPr>
        <w:t xml:space="preserve">, </w:t>
      </w:r>
      <w:r w:rsidR="00D24373" w:rsidRPr="00B57DAB">
        <w:rPr>
          <w:rFonts w:ascii="GHEA Grapalat" w:hAnsi="GHEA Grapalat" w:cs="Sylfaen"/>
          <w:sz w:val="22"/>
          <w:szCs w:val="22"/>
        </w:rPr>
        <w:t>«</w:t>
      </w:r>
      <w:r w:rsidR="00812B07" w:rsidRPr="00B57DAB">
        <w:rPr>
          <w:rFonts w:ascii="GHEA Grapalat" w:hAnsi="GHEA Grapalat" w:cs="Sylfaen"/>
          <w:sz w:val="22"/>
          <w:szCs w:val="22"/>
        </w:rPr>
        <w:t>Հանրակրթությ</w:t>
      </w:r>
      <w:r w:rsidR="00D24373" w:rsidRPr="00B57DAB">
        <w:rPr>
          <w:rFonts w:ascii="GHEA Grapalat" w:hAnsi="GHEA Grapalat" w:cs="Sylfaen"/>
          <w:sz w:val="22"/>
          <w:szCs w:val="22"/>
        </w:rPr>
        <w:t>ու</w:t>
      </w:r>
      <w:r w:rsidR="00812B07" w:rsidRPr="00B57DAB">
        <w:rPr>
          <w:rFonts w:ascii="GHEA Grapalat" w:hAnsi="GHEA Grapalat" w:cs="Sylfaen"/>
          <w:sz w:val="22"/>
          <w:szCs w:val="22"/>
        </w:rPr>
        <w:t>ն</w:t>
      </w:r>
      <w:r w:rsidR="00D24373" w:rsidRPr="00B57DAB">
        <w:rPr>
          <w:rFonts w:ascii="GHEA Grapalat" w:hAnsi="GHEA Grapalat" w:cs="Sylfaen"/>
          <w:sz w:val="22"/>
          <w:szCs w:val="22"/>
        </w:rPr>
        <w:t>»</w:t>
      </w:r>
      <w:r w:rsidR="00812B07" w:rsidRPr="00B57DAB">
        <w:rPr>
          <w:rFonts w:ascii="GHEA Grapalat" w:hAnsi="GHEA Grapalat" w:cs="Sylfaen"/>
          <w:sz w:val="22"/>
          <w:szCs w:val="22"/>
        </w:rPr>
        <w:t>,</w:t>
      </w:r>
      <w:r w:rsidR="005B7DCC" w:rsidRPr="00B57DAB">
        <w:rPr>
          <w:rFonts w:ascii="GHEA Grapalat" w:hAnsi="GHEA Grapalat" w:cs="Sylfaen"/>
          <w:sz w:val="22"/>
          <w:szCs w:val="22"/>
        </w:rPr>
        <w:t xml:space="preserve"> </w:t>
      </w:r>
      <w:r w:rsidR="00812B07" w:rsidRPr="00B57DAB">
        <w:rPr>
          <w:rFonts w:ascii="GHEA Grapalat" w:hAnsi="GHEA Grapalat" w:cs="Sylfaen"/>
          <w:sz w:val="22"/>
          <w:szCs w:val="22"/>
        </w:rPr>
        <w:t>«</w:t>
      </w:r>
      <w:r w:rsidR="005B7DCC" w:rsidRPr="00B57DAB">
        <w:rPr>
          <w:rFonts w:ascii="GHEA Grapalat" w:hAnsi="GHEA Grapalat" w:cs="Sylfaen"/>
          <w:sz w:val="22"/>
          <w:szCs w:val="22"/>
        </w:rPr>
        <w:t>Ապահով դպրոց</w:t>
      </w:r>
      <w:r w:rsidR="00812B07" w:rsidRPr="00B57DAB">
        <w:rPr>
          <w:rFonts w:ascii="GHEA Grapalat" w:hAnsi="GHEA Grapalat" w:cs="Sylfaen"/>
          <w:sz w:val="22"/>
          <w:szCs w:val="22"/>
        </w:rPr>
        <w:t xml:space="preserve">» և </w:t>
      </w:r>
      <w:r w:rsidR="00D24373" w:rsidRPr="00B57DAB">
        <w:rPr>
          <w:rFonts w:ascii="GHEA Grapalat" w:hAnsi="GHEA Grapalat" w:cs="Sylfaen"/>
          <w:sz w:val="22"/>
          <w:szCs w:val="22"/>
        </w:rPr>
        <w:t>«</w:t>
      </w:r>
      <w:r w:rsidR="00812B07" w:rsidRPr="00B57DAB">
        <w:rPr>
          <w:rFonts w:ascii="GHEA Grapalat" w:hAnsi="GHEA Grapalat" w:cs="Sylfaen"/>
          <w:sz w:val="22"/>
          <w:szCs w:val="22"/>
        </w:rPr>
        <w:t>Արվեստներ</w:t>
      </w:r>
      <w:r w:rsidR="00D24373" w:rsidRPr="00B57DAB">
        <w:rPr>
          <w:rFonts w:ascii="GHEA Grapalat" w:hAnsi="GHEA Grapalat" w:cs="Sylfaen"/>
          <w:sz w:val="22"/>
          <w:szCs w:val="22"/>
        </w:rPr>
        <w:t>»</w:t>
      </w:r>
      <w:r w:rsidR="005B7DCC" w:rsidRPr="00B57DAB">
        <w:rPr>
          <w:rFonts w:ascii="GHEA Grapalat" w:hAnsi="GHEA Grapalat" w:cs="Sylfaen"/>
          <w:sz w:val="22"/>
          <w:szCs w:val="22"/>
        </w:rPr>
        <w:t xml:space="preserve"> ծրագրերում: Նախորդ տարվա համեմատ նախարարության ծախսերի աճը հիմնականում պայմանավորված է Գիտական և գիտ</w:t>
      </w:r>
      <w:r w:rsidR="00474B6F" w:rsidRPr="00B57DAB">
        <w:rPr>
          <w:rFonts w:ascii="GHEA Grapalat" w:hAnsi="GHEA Grapalat" w:cs="Sylfaen"/>
          <w:sz w:val="22"/>
          <w:szCs w:val="22"/>
        </w:rPr>
        <w:t>ատեխնիկական հետազոտությունների,</w:t>
      </w:r>
      <w:r w:rsidR="005B7DCC" w:rsidRPr="00B57DAB">
        <w:rPr>
          <w:rFonts w:ascii="GHEA Grapalat" w:hAnsi="GHEA Grapalat" w:cs="Sylfaen"/>
          <w:sz w:val="22"/>
          <w:szCs w:val="22"/>
        </w:rPr>
        <w:t xml:space="preserve"> Հանրակրթության</w:t>
      </w:r>
      <w:r w:rsidR="00474B6F" w:rsidRPr="00B57DAB">
        <w:rPr>
          <w:rFonts w:ascii="GHEA Grapalat" w:hAnsi="GHEA Grapalat" w:cs="Sylfaen"/>
          <w:sz w:val="22"/>
          <w:szCs w:val="22"/>
        </w:rPr>
        <w:t xml:space="preserve"> ու Կրթության, մշակույթի և սպորտի ոլորտներում միջազգային և սփյուռքի հետ համագործակցության զարգացման</w:t>
      </w:r>
      <w:r w:rsidR="005B7DCC" w:rsidRPr="00B57DAB">
        <w:rPr>
          <w:rFonts w:ascii="GHEA Grapalat" w:hAnsi="GHEA Grapalat" w:cs="Sylfaen"/>
          <w:sz w:val="22"/>
          <w:szCs w:val="22"/>
        </w:rPr>
        <w:t xml:space="preserve"> ծրագրերի </w:t>
      </w:r>
      <w:r w:rsidR="00474B6F" w:rsidRPr="00B57DAB">
        <w:rPr>
          <w:rFonts w:ascii="GHEA Grapalat" w:hAnsi="GHEA Grapalat" w:cs="Sylfaen"/>
          <w:sz w:val="22"/>
          <w:szCs w:val="22"/>
        </w:rPr>
        <w:t>շրջանակներում կատարված</w:t>
      </w:r>
      <w:r w:rsidR="005B7DCC" w:rsidRPr="00B57DAB">
        <w:rPr>
          <w:rFonts w:ascii="GHEA Grapalat" w:hAnsi="GHEA Grapalat" w:cs="Sylfaen"/>
          <w:sz w:val="22"/>
          <w:szCs w:val="22"/>
        </w:rPr>
        <w:t xml:space="preserve"> ծախսերի </w:t>
      </w:r>
      <w:r w:rsidR="005B2A0B" w:rsidRPr="00B57DAB">
        <w:rPr>
          <w:rFonts w:ascii="GHEA Grapalat" w:hAnsi="GHEA Grapalat" w:cs="Sylfaen"/>
          <w:sz w:val="22"/>
          <w:szCs w:val="22"/>
        </w:rPr>
        <w:t>աճով՝ համապատասխանաբար 56.2%-ով</w:t>
      </w:r>
      <w:r w:rsidR="00474B6F" w:rsidRPr="00B57DAB">
        <w:rPr>
          <w:rFonts w:ascii="GHEA Grapalat" w:hAnsi="GHEA Grapalat" w:cs="Sylfaen"/>
          <w:sz w:val="22"/>
          <w:szCs w:val="22"/>
        </w:rPr>
        <w:t>,</w:t>
      </w:r>
      <w:r w:rsidR="005B7DCC" w:rsidRPr="00B57DAB">
        <w:rPr>
          <w:rFonts w:ascii="GHEA Grapalat" w:hAnsi="GHEA Grapalat" w:cs="Sylfaen"/>
          <w:sz w:val="22"/>
          <w:szCs w:val="22"/>
        </w:rPr>
        <w:t xml:space="preserve"> 2.1%-ով</w:t>
      </w:r>
      <w:r w:rsidR="00474B6F" w:rsidRPr="00B57DAB">
        <w:rPr>
          <w:rFonts w:ascii="GHEA Grapalat" w:hAnsi="GHEA Grapalat" w:cs="Sylfaen"/>
          <w:sz w:val="22"/>
          <w:szCs w:val="22"/>
        </w:rPr>
        <w:t xml:space="preserve"> և 744.3%</w:t>
      </w:r>
      <w:r w:rsidR="00474B6F" w:rsidRPr="00B57DAB">
        <w:rPr>
          <w:rFonts w:ascii="GHEA Grapalat" w:hAnsi="GHEA Grapalat" w:cs="Sylfaen"/>
          <w:sz w:val="22"/>
          <w:szCs w:val="22"/>
        </w:rPr>
        <w:noBreakHyphen/>
        <w:t>ով</w:t>
      </w:r>
      <w:r w:rsidR="005B7DCC" w:rsidRPr="00B57DAB">
        <w:rPr>
          <w:rFonts w:ascii="GHEA Grapalat" w:hAnsi="GHEA Grapalat" w:cs="Sylfaen"/>
          <w:sz w:val="22"/>
          <w:szCs w:val="22"/>
        </w:rPr>
        <w:t>:</w:t>
      </w:r>
    </w:p>
    <w:p w:rsidR="005B7DCC" w:rsidRPr="00B57DAB" w:rsidRDefault="005B7DCC" w:rsidP="005B7DCC">
      <w:pPr>
        <w:autoSpaceDE w:val="0"/>
        <w:autoSpaceDN w:val="0"/>
        <w:adjustRightInd w:val="0"/>
        <w:spacing w:line="360" w:lineRule="auto"/>
        <w:ind w:firstLine="567"/>
        <w:jc w:val="both"/>
        <w:rPr>
          <w:rFonts w:ascii="GHEA Grapalat" w:hAnsi="GHEA Grapalat" w:cs="Sylfaen"/>
          <w:sz w:val="22"/>
          <w:szCs w:val="22"/>
        </w:rPr>
      </w:pPr>
    </w:p>
    <w:p w:rsidR="005B7DCC" w:rsidRPr="00B57DAB" w:rsidRDefault="005B7DCC" w:rsidP="00770F24">
      <w:pPr>
        <w:pStyle w:val="Caption"/>
        <w:keepNext/>
        <w:numPr>
          <w:ilvl w:val="0"/>
          <w:numId w:val="8"/>
        </w:numPr>
        <w:tabs>
          <w:tab w:val="left" w:pos="1276"/>
        </w:tabs>
        <w:ind w:left="0" w:firstLine="0"/>
        <w:jc w:val="left"/>
        <w:rPr>
          <w:rFonts w:ascii="GHEA Grapalat" w:hAnsi="GHEA Grapalat"/>
          <w:i/>
          <w:sz w:val="18"/>
          <w:szCs w:val="18"/>
          <w:lang w:val="hy-AM"/>
        </w:rPr>
      </w:pPr>
      <w:r w:rsidRPr="00B57DAB">
        <w:rPr>
          <w:rFonts w:ascii="GHEA Grapalat" w:hAnsi="GHEA Grapalat"/>
          <w:i/>
          <w:sz w:val="18"/>
          <w:szCs w:val="18"/>
          <w:lang w:val="hy-AM"/>
        </w:rPr>
        <w:t>2021թ. ՀՀ կրթության, գիտության, մշակույթի և սպորտի նախարարության կողմից իրականացված ծրագրերը (մլն դրամ)</w:t>
      </w:r>
    </w:p>
    <w:tbl>
      <w:tblPr>
        <w:tblW w:w="10216"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929"/>
        <w:gridCol w:w="931"/>
        <w:gridCol w:w="1006"/>
        <w:gridCol w:w="1203"/>
        <w:gridCol w:w="1203"/>
        <w:gridCol w:w="1048"/>
      </w:tblGrid>
      <w:tr w:rsidR="005B7DCC" w:rsidRPr="00B57DAB" w:rsidTr="005B7DCC">
        <w:trPr>
          <w:trHeight w:val="300"/>
          <w:jc w:val="center"/>
        </w:trPr>
        <w:tc>
          <w:tcPr>
            <w:tcW w:w="3974" w:type="dxa"/>
            <w:tcBorders>
              <w:top w:val="single" w:sz="4" w:space="0" w:color="auto"/>
              <w:left w:val="single" w:sz="4" w:space="0" w:color="auto"/>
              <w:bottom w:val="single" w:sz="4" w:space="0" w:color="auto"/>
              <w:right w:val="single" w:sz="4" w:space="0" w:color="auto"/>
            </w:tcBorders>
            <w:noWrap/>
            <w:vAlign w:val="bottom"/>
            <w:hideMark/>
          </w:tcPr>
          <w:p w:rsidR="005B7DCC" w:rsidRPr="00B57DAB" w:rsidRDefault="005B7DCC" w:rsidP="005B7DCC">
            <w:pPr>
              <w:rPr>
                <w:rFonts w:ascii="GHEA Grapalat" w:hAnsi="GHEA Grapalat"/>
                <w:sz w:val="18"/>
                <w:szCs w:val="18"/>
              </w:rPr>
            </w:pPr>
          </w:p>
        </w:tc>
        <w:tc>
          <w:tcPr>
            <w:tcW w:w="836" w:type="dxa"/>
            <w:tcBorders>
              <w:top w:val="single" w:sz="4" w:space="0" w:color="auto"/>
              <w:left w:val="single" w:sz="4" w:space="0" w:color="auto"/>
              <w:bottom w:val="single" w:sz="4" w:space="0" w:color="auto"/>
              <w:right w:val="single" w:sz="4" w:space="0" w:color="auto"/>
            </w:tcBorders>
            <w:hideMark/>
          </w:tcPr>
          <w:p w:rsidR="005B7DCC" w:rsidRPr="00B57DAB" w:rsidRDefault="005B7DCC" w:rsidP="005B7DCC">
            <w:pPr>
              <w:jc w:val="center"/>
              <w:rPr>
                <w:rFonts w:ascii="GHEA Grapalat" w:hAnsi="GHEA Grapalat" w:cs="Calibri"/>
                <w:b/>
                <w:bCs/>
                <w:sz w:val="18"/>
                <w:szCs w:val="18"/>
                <w:lang w:val="hy-AM"/>
              </w:rPr>
            </w:pPr>
            <w:r w:rsidRPr="00B57DAB">
              <w:rPr>
                <w:rFonts w:ascii="GHEA Grapalat" w:hAnsi="GHEA Grapalat" w:cs="Calibri"/>
                <w:b/>
                <w:bCs/>
                <w:sz w:val="18"/>
                <w:szCs w:val="18"/>
              </w:rPr>
              <w:t>2021թ. առաջին եռամս-յակի փաստ</w:t>
            </w:r>
          </w:p>
        </w:tc>
        <w:tc>
          <w:tcPr>
            <w:tcW w:w="931" w:type="dxa"/>
            <w:tcBorders>
              <w:top w:val="single" w:sz="4" w:space="0" w:color="auto"/>
              <w:left w:val="single" w:sz="4" w:space="0" w:color="auto"/>
              <w:bottom w:val="single" w:sz="4" w:space="0" w:color="auto"/>
              <w:right w:val="single" w:sz="4" w:space="0" w:color="auto"/>
            </w:tcBorders>
            <w:hideMark/>
          </w:tcPr>
          <w:p w:rsidR="005B7DCC" w:rsidRPr="00B57DAB" w:rsidRDefault="005B7DCC" w:rsidP="005B7DCC">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 ճշտված պլան</w:t>
            </w:r>
          </w:p>
        </w:tc>
        <w:tc>
          <w:tcPr>
            <w:tcW w:w="1006" w:type="dxa"/>
            <w:tcBorders>
              <w:top w:val="single" w:sz="4" w:space="0" w:color="auto"/>
              <w:left w:val="single" w:sz="4" w:space="0" w:color="auto"/>
              <w:bottom w:val="single" w:sz="4" w:space="0" w:color="auto"/>
              <w:right w:val="single" w:sz="4" w:space="0" w:color="auto"/>
            </w:tcBorders>
            <w:noWrap/>
            <w:hideMark/>
          </w:tcPr>
          <w:p w:rsidR="005B7DCC" w:rsidRPr="00B57DAB" w:rsidRDefault="005B7DCC" w:rsidP="005B7DCC">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 փաստ</w:t>
            </w:r>
          </w:p>
        </w:tc>
        <w:tc>
          <w:tcPr>
            <w:tcW w:w="1203" w:type="dxa"/>
            <w:tcBorders>
              <w:top w:val="single" w:sz="4" w:space="0" w:color="auto"/>
              <w:left w:val="single" w:sz="4" w:space="0" w:color="auto"/>
              <w:bottom w:val="single" w:sz="4" w:space="0" w:color="auto"/>
              <w:right w:val="single" w:sz="4" w:space="0" w:color="auto"/>
            </w:tcBorders>
            <w:hideMark/>
          </w:tcPr>
          <w:p w:rsidR="005B7DCC" w:rsidRPr="00B57DAB" w:rsidRDefault="005B7DCC" w:rsidP="005B7DCC">
            <w:pPr>
              <w:jc w:val="center"/>
              <w:rPr>
                <w:rFonts w:ascii="GHEA Grapalat" w:hAnsi="GHEA Grapalat" w:cs="Calibri"/>
                <w:b/>
                <w:bCs/>
                <w:sz w:val="18"/>
                <w:szCs w:val="18"/>
              </w:rPr>
            </w:pPr>
            <w:r w:rsidRPr="00B57DAB">
              <w:rPr>
                <w:rFonts w:ascii="GHEA Grapalat" w:hAnsi="GHEA Grapalat" w:cs="Calibri"/>
                <w:b/>
                <w:bCs/>
                <w:sz w:val="18"/>
                <w:szCs w:val="18"/>
                <w:lang w:val="hy-AM"/>
              </w:rPr>
              <w:t>Կատարո-ղական</w:t>
            </w:r>
            <w:r w:rsidRPr="00B57DAB">
              <w:rPr>
                <w:rFonts w:ascii="GHEA Grapalat" w:hAnsi="GHEA Grapalat" w:cs="Calibri"/>
                <w:b/>
                <w:bCs/>
                <w:sz w:val="18"/>
                <w:szCs w:val="18"/>
              </w:rPr>
              <w:t>ն առաջին եռամսյակի</w:t>
            </w:r>
            <w:r w:rsidRPr="00B57DAB">
              <w:rPr>
                <w:rFonts w:ascii="GHEA Grapalat" w:hAnsi="GHEA Grapalat" w:cs="Calibri"/>
                <w:b/>
                <w:bCs/>
                <w:sz w:val="18"/>
                <w:szCs w:val="18"/>
                <w:lang w:val="hy-AM"/>
              </w:rPr>
              <w:t xml:space="preserve"> ճշտված պլանի նկատմամբ</w:t>
            </w:r>
            <w:r w:rsidRPr="00B57DAB">
              <w:rPr>
                <w:rFonts w:ascii="GHEA Grapalat" w:hAnsi="GHEA Grapalat" w:cs="Calibri"/>
                <w:b/>
                <w:bCs/>
                <w:sz w:val="18"/>
                <w:szCs w:val="18"/>
              </w:rPr>
              <w:t xml:space="preserve"> (%)</w:t>
            </w:r>
          </w:p>
        </w:tc>
        <w:tc>
          <w:tcPr>
            <w:tcW w:w="1218" w:type="dxa"/>
            <w:tcBorders>
              <w:top w:val="single" w:sz="4" w:space="0" w:color="auto"/>
              <w:left w:val="single" w:sz="4" w:space="0" w:color="auto"/>
              <w:bottom w:val="single" w:sz="4" w:space="0" w:color="auto"/>
              <w:right w:val="single" w:sz="4" w:space="0" w:color="auto"/>
            </w:tcBorders>
            <w:hideMark/>
          </w:tcPr>
          <w:p w:rsidR="005B7DCC" w:rsidRPr="00B57DAB" w:rsidRDefault="005B7DCC" w:rsidP="005B7DCC">
            <w:pPr>
              <w:jc w:val="center"/>
              <w:rPr>
                <w:rFonts w:ascii="GHEA Grapalat" w:hAnsi="GHEA Grapalat" w:cs="Calibri"/>
                <w:b/>
                <w:bCs/>
                <w:sz w:val="18"/>
                <w:szCs w:val="18"/>
              </w:rPr>
            </w:pPr>
            <w:r w:rsidRPr="00B57DAB">
              <w:rPr>
                <w:rFonts w:ascii="GHEA Grapalat" w:hAnsi="GHEA Grapalat" w:cs="Calibri"/>
                <w:b/>
                <w:bCs/>
                <w:sz w:val="18"/>
                <w:szCs w:val="18"/>
              </w:rPr>
              <w:t xml:space="preserve">2022թ. առաջին եռամսյակը 2021թ. </w:t>
            </w:r>
            <w:proofErr w:type="gramStart"/>
            <w:r w:rsidRPr="00B57DAB">
              <w:rPr>
                <w:rFonts w:ascii="GHEA Grapalat" w:hAnsi="GHEA Grapalat" w:cs="Calibri"/>
                <w:b/>
                <w:bCs/>
                <w:sz w:val="18"/>
                <w:szCs w:val="18"/>
              </w:rPr>
              <w:t>առաջին</w:t>
            </w:r>
            <w:proofErr w:type="gramEnd"/>
            <w:r w:rsidRPr="00B57DAB">
              <w:rPr>
                <w:rFonts w:ascii="GHEA Grapalat" w:hAnsi="GHEA Grapalat" w:cs="Calibri"/>
                <w:b/>
                <w:bCs/>
                <w:sz w:val="18"/>
                <w:szCs w:val="18"/>
              </w:rPr>
              <w:t xml:space="preserve"> եռամսյակի նկատմամբ (%)</w:t>
            </w:r>
          </w:p>
        </w:tc>
        <w:tc>
          <w:tcPr>
            <w:tcW w:w="1048" w:type="dxa"/>
            <w:tcBorders>
              <w:top w:val="single" w:sz="4" w:space="0" w:color="auto"/>
              <w:left w:val="single" w:sz="4" w:space="0" w:color="auto"/>
              <w:bottom w:val="single" w:sz="4" w:space="0" w:color="auto"/>
              <w:right w:val="single" w:sz="4" w:space="0" w:color="auto"/>
            </w:tcBorders>
            <w:hideMark/>
          </w:tcPr>
          <w:p w:rsidR="005B7DCC" w:rsidRPr="00B57DAB" w:rsidRDefault="005B7DCC" w:rsidP="005B7DCC">
            <w:pPr>
              <w:jc w:val="center"/>
              <w:rPr>
                <w:rFonts w:ascii="GHEA Grapalat" w:hAnsi="GHEA Grapalat" w:cs="Calibri"/>
                <w:b/>
                <w:color w:val="000000"/>
                <w:sz w:val="18"/>
                <w:szCs w:val="18"/>
              </w:rPr>
            </w:pPr>
            <w:r w:rsidRPr="00B57DAB">
              <w:rPr>
                <w:rFonts w:ascii="GHEA Grapalat" w:hAnsi="GHEA Grapalat" w:cs="Calibri"/>
                <w:b/>
                <w:color w:val="000000"/>
                <w:sz w:val="18"/>
                <w:szCs w:val="18"/>
              </w:rPr>
              <w:t>2022թ. և 2021թ. տարբե-րությունը</w:t>
            </w:r>
          </w:p>
        </w:tc>
      </w:tr>
      <w:tr w:rsidR="005B7DCC" w:rsidRPr="00B57DAB" w:rsidTr="005B2A0B">
        <w:trPr>
          <w:trHeight w:val="331"/>
          <w:jc w:val="center"/>
        </w:trPr>
        <w:tc>
          <w:tcPr>
            <w:tcW w:w="3974"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rPr>
                <w:rFonts w:ascii="GHEA Grapalat" w:hAnsi="GHEA Grapalat" w:cs="Calibri"/>
                <w:b/>
                <w:color w:val="000000"/>
                <w:sz w:val="18"/>
                <w:szCs w:val="18"/>
              </w:rPr>
            </w:pPr>
            <w:r w:rsidRPr="00B57DAB">
              <w:rPr>
                <w:rFonts w:ascii="GHEA Grapalat" w:hAnsi="GHEA Grapalat" w:cs="Calibri"/>
                <w:b/>
                <w:color w:val="000000"/>
                <w:sz w:val="18"/>
                <w:szCs w:val="18"/>
              </w:rPr>
              <w:t>ԸՆԴԱՄԵՆԸ</w:t>
            </w:r>
          </w:p>
        </w:tc>
        <w:tc>
          <w:tcPr>
            <w:tcW w:w="836"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jc w:val="right"/>
              <w:rPr>
                <w:rFonts w:ascii="GHEA Grapalat" w:hAnsi="GHEA Grapalat" w:cs="Calibri"/>
                <w:b/>
                <w:color w:val="000000"/>
                <w:sz w:val="18"/>
                <w:szCs w:val="18"/>
              </w:rPr>
            </w:pPr>
            <w:r w:rsidRPr="00B57DAB">
              <w:rPr>
                <w:rFonts w:ascii="GHEA Grapalat" w:hAnsi="GHEA Grapalat" w:cs="Calibri"/>
                <w:b/>
                <w:color w:val="000000"/>
                <w:sz w:val="18"/>
                <w:szCs w:val="18"/>
              </w:rPr>
              <w:t>32,251.5</w:t>
            </w:r>
          </w:p>
        </w:tc>
        <w:tc>
          <w:tcPr>
            <w:tcW w:w="931"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jc w:val="right"/>
              <w:rPr>
                <w:rFonts w:ascii="GHEA Grapalat" w:hAnsi="GHEA Grapalat"/>
                <w:b/>
                <w:sz w:val="18"/>
                <w:szCs w:val="18"/>
              </w:rPr>
            </w:pPr>
            <w:r w:rsidRPr="00B57DAB">
              <w:rPr>
                <w:rFonts w:ascii="GHEA Grapalat" w:hAnsi="GHEA Grapalat"/>
                <w:b/>
                <w:sz w:val="18"/>
                <w:szCs w:val="18"/>
              </w:rPr>
              <w:t>41,724.6</w:t>
            </w:r>
          </w:p>
        </w:tc>
        <w:tc>
          <w:tcPr>
            <w:tcW w:w="1006"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jc w:val="right"/>
              <w:rPr>
                <w:rFonts w:ascii="GHEA Grapalat" w:hAnsi="GHEA Grapalat"/>
                <w:b/>
                <w:sz w:val="18"/>
                <w:szCs w:val="18"/>
              </w:rPr>
            </w:pPr>
            <w:r w:rsidRPr="00B57DAB">
              <w:rPr>
                <w:rFonts w:ascii="GHEA Grapalat" w:hAnsi="GHEA Grapalat"/>
                <w:b/>
                <w:sz w:val="18"/>
                <w:szCs w:val="18"/>
              </w:rPr>
              <w:t>34,683.8</w:t>
            </w:r>
          </w:p>
        </w:tc>
        <w:tc>
          <w:tcPr>
            <w:tcW w:w="1203"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jc w:val="right"/>
              <w:rPr>
                <w:rFonts w:ascii="GHEA Grapalat" w:hAnsi="GHEA Grapalat"/>
                <w:b/>
                <w:sz w:val="18"/>
                <w:szCs w:val="18"/>
              </w:rPr>
            </w:pPr>
            <w:r w:rsidRPr="00B57DAB">
              <w:rPr>
                <w:rFonts w:ascii="GHEA Grapalat" w:hAnsi="GHEA Grapalat"/>
                <w:b/>
                <w:sz w:val="18"/>
                <w:szCs w:val="18"/>
              </w:rPr>
              <w:t>83.1</w:t>
            </w:r>
          </w:p>
        </w:tc>
        <w:tc>
          <w:tcPr>
            <w:tcW w:w="1218"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jc w:val="right"/>
              <w:rPr>
                <w:rFonts w:ascii="GHEA Grapalat" w:hAnsi="GHEA Grapalat"/>
                <w:b/>
                <w:sz w:val="18"/>
                <w:szCs w:val="18"/>
              </w:rPr>
            </w:pPr>
            <w:r w:rsidRPr="00B57DAB">
              <w:rPr>
                <w:rFonts w:ascii="GHEA Grapalat" w:hAnsi="GHEA Grapalat"/>
                <w:b/>
                <w:sz w:val="18"/>
                <w:szCs w:val="18"/>
              </w:rPr>
              <w:t>107.5</w:t>
            </w:r>
          </w:p>
        </w:tc>
        <w:tc>
          <w:tcPr>
            <w:tcW w:w="1048"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jc w:val="right"/>
              <w:rPr>
                <w:rFonts w:ascii="GHEA Grapalat" w:hAnsi="GHEA Grapalat"/>
                <w:b/>
                <w:sz w:val="18"/>
                <w:szCs w:val="18"/>
              </w:rPr>
            </w:pPr>
            <w:r w:rsidRPr="00B57DAB">
              <w:rPr>
                <w:rFonts w:ascii="GHEA Grapalat" w:hAnsi="GHEA Grapalat"/>
                <w:b/>
                <w:sz w:val="18"/>
                <w:szCs w:val="18"/>
              </w:rPr>
              <w:t xml:space="preserve">2,432.4 </w:t>
            </w:r>
          </w:p>
        </w:tc>
      </w:tr>
      <w:tr w:rsidR="005B7DCC" w:rsidRPr="00B57DAB" w:rsidTr="005B2A0B">
        <w:trPr>
          <w:trHeight w:val="331"/>
          <w:jc w:val="center"/>
        </w:trPr>
        <w:tc>
          <w:tcPr>
            <w:tcW w:w="3974"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rPr>
                <w:rFonts w:ascii="GHEA Grapalat" w:hAnsi="GHEA Grapalat" w:cs="Calibri"/>
                <w:color w:val="000000"/>
                <w:sz w:val="18"/>
                <w:szCs w:val="18"/>
              </w:rPr>
            </w:pPr>
            <w:r w:rsidRPr="00B57DAB">
              <w:rPr>
                <w:rFonts w:ascii="GHEA Grapalat" w:hAnsi="GHEA Grapalat" w:cs="Calibri"/>
                <w:color w:val="000000"/>
                <w:sz w:val="18"/>
                <w:szCs w:val="18"/>
              </w:rPr>
              <w:t>Մեծ նվաճումների սպորտ</w:t>
            </w:r>
          </w:p>
        </w:tc>
        <w:tc>
          <w:tcPr>
            <w:tcW w:w="836"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jc w:val="right"/>
              <w:rPr>
                <w:rFonts w:ascii="GHEA Grapalat" w:hAnsi="GHEA Grapalat" w:cs="Calibri"/>
                <w:color w:val="000000"/>
                <w:sz w:val="18"/>
                <w:szCs w:val="18"/>
              </w:rPr>
            </w:pPr>
            <w:r w:rsidRPr="00B57DAB">
              <w:rPr>
                <w:rFonts w:ascii="GHEA Grapalat" w:hAnsi="GHEA Grapalat" w:cs="Calibri"/>
                <w:color w:val="000000"/>
                <w:sz w:val="18"/>
                <w:szCs w:val="18"/>
              </w:rPr>
              <w:t>596.3</w:t>
            </w:r>
          </w:p>
        </w:tc>
        <w:tc>
          <w:tcPr>
            <w:tcW w:w="931"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867.8</w:t>
            </w:r>
          </w:p>
        </w:tc>
        <w:tc>
          <w:tcPr>
            <w:tcW w:w="1006"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689.5</w:t>
            </w:r>
          </w:p>
        </w:tc>
        <w:tc>
          <w:tcPr>
            <w:tcW w:w="1203"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79.5</w:t>
            </w:r>
          </w:p>
        </w:tc>
        <w:tc>
          <w:tcPr>
            <w:tcW w:w="1218"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115.6</w:t>
            </w:r>
          </w:p>
        </w:tc>
        <w:tc>
          <w:tcPr>
            <w:tcW w:w="1048"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 xml:space="preserve">93.2 </w:t>
            </w:r>
          </w:p>
        </w:tc>
      </w:tr>
      <w:tr w:rsidR="005B7DCC" w:rsidRPr="00B57DAB" w:rsidTr="005B2A0B">
        <w:trPr>
          <w:trHeight w:val="300"/>
          <w:jc w:val="center"/>
        </w:trPr>
        <w:tc>
          <w:tcPr>
            <w:tcW w:w="3974"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rPr>
                <w:rFonts w:ascii="GHEA Grapalat" w:hAnsi="GHEA Grapalat" w:cs="Calibri"/>
                <w:color w:val="000000"/>
                <w:sz w:val="18"/>
                <w:szCs w:val="18"/>
              </w:rPr>
            </w:pPr>
            <w:r w:rsidRPr="00B57DAB">
              <w:rPr>
                <w:rFonts w:ascii="GHEA Grapalat" w:hAnsi="GHEA Grapalat" w:cs="Calibri"/>
                <w:color w:val="000000"/>
                <w:sz w:val="18"/>
                <w:szCs w:val="18"/>
              </w:rPr>
              <w:t>Նախնական (արհեստագործական) և միջին մասնագիտական կրթություն</w:t>
            </w:r>
          </w:p>
        </w:tc>
        <w:tc>
          <w:tcPr>
            <w:tcW w:w="836"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jc w:val="right"/>
              <w:rPr>
                <w:rFonts w:ascii="GHEA Grapalat" w:hAnsi="GHEA Grapalat" w:cs="Calibri"/>
                <w:color w:val="000000"/>
                <w:sz w:val="18"/>
                <w:szCs w:val="18"/>
              </w:rPr>
            </w:pPr>
            <w:r w:rsidRPr="00B57DAB">
              <w:rPr>
                <w:rFonts w:ascii="GHEA Grapalat" w:hAnsi="GHEA Grapalat" w:cs="Calibri"/>
                <w:color w:val="000000"/>
                <w:sz w:val="18"/>
                <w:szCs w:val="18"/>
              </w:rPr>
              <w:t>2,150.3</w:t>
            </w:r>
          </w:p>
        </w:tc>
        <w:tc>
          <w:tcPr>
            <w:tcW w:w="931"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2,364.9</w:t>
            </w:r>
          </w:p>
        </w:tc>
        <w:tc>
          <w:tcPr>
            <w:tcW w:w="1006"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2,173.6</w:t>
            </w:r>
          </w:p>
        </w:tc>
        <w:tc>
          <w:tcPr>
            <w:tcW w:w="1203"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91.9</w:t>
            </w:r>
          </w:p>
        </w:tc>
        <w:tc>
          <w:tcPr>
            <w:tcW w:w="1218"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101.1</w:t>
            </w:r>
          </w:p>
        </w:tc>
        <w:tc>
          <w:tcPr>
            <w:tcW w:w="1048"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 xml:space="preserve">23.3 </w:t>
            </w:r>
          </w:p>
        </w:tc>
      </w:tr>
      <w:tr w:rsidR="005B7DCC" w:rsidRPr="00B57DAB" w:rsidTr="005B2A0B">
        <w:trPr>
          <w:trHeight w:val="300"/>
          <w:jc w:val="center"/>
        </w:trPr>
        <w:tc>
          <w:tcPr>
            <w:tcW w:w="3974"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rPr>
                <w:rFonts w:ascii="GHEA Grapalat" w:hAnsi="GHEA Grapalat" w:cs="Calibri"/>
                <w:color w:val="000000"/>
                <w:sz w:val="18"/>
                <w:szCs w:val="18"/>
              </w:rPr>
            </w:pPr>
            <w:r w:rsidRPr="00B57DAB">
              <w:rPr>
                <w:rFonts w:ascii="GHEA Grapalat" w:hAnsi="GHEA Grapalat" w:cs="Calibri"/>
                <w:color w:val="000000"/>
                <w:sz w:val="18"/>
                <w:szCs w:val="18"/>
              </w:rPr>
              <w:t>Բարձրագույն և հետբուհական մասնագիտական կրթության ծրագիր</w:t>
            </w:r>
          </w:p>
        </w:tc>
        <w:tc>
          <w:tcPr>
            <w:tcW w:w="836"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jc w:val="right"/>
              <w:rPr>
                <w:rFonts w:ascii="GHEA Grapalat" w:hAnsi="GHEA Grapalat" w:cs="Calibri"/>
                <w:color w:val="000000"/>
                <w:sz w:val="18"/>
                <w:szCs w:val="18"/>
              </w:rPr>
            </w:pPr>
            <w:r w:rsidRPr="00B57DAB">
              <w:rPr>
                <w:rFonts w:ascii="GHEA Grapalat" w:hAnsi="GHEA Grapalat" w:cs="Calibri"/>
                <w:color w:val="000000"/>
                <w:sz w:val="18"/>
                <w:szCs w:val="18"/>
              </w:rPr>
              <w:t>2,538.6</w:t>
            </w:r>
          </w:p>
        </w:tc>
        <w:tc>
          <w:tcPr>
            <w:tcW w:w="931"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2,730.9</w:t>
            </w:r>
          </w:p>
        </w:tc>
        <w:tc>
          <w:tcPr>
            <w:tcW w:w="1006"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2,692.2</w:t>
            </w:r>
          </w:p>
        </w:tc>
        <w:tc>
          <w:tcPr>
            <w:tcW w:w="1203"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98.6</w:t>
            </w:r>
          </w:p>
        </w:tc>
        <w:tc>
          <w:tcPr>
            <w:tcW w:w="1218"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106.1</w:t>
            </w:r>
          </w:p>
        </w:tc>
        <w:tc>
          <w:tcPr>
            <w:tcW w:w="1048" w:type="dxa"/>
            <w:tcBorders>
              <w:top w:val="single" w:sz="4" w:space="0" w:color="auto"/>
              <w:left w:val="single" w:sz="4" w:space="0" w:color="auto"/>
              <w:bottom w:val="single" w:sz="4" w:space="0" w:color="auto"/>
              <w:right w:val="single" w:sz="4" w:space="0" w:color="auto"/>
            </w:tcBorders>
            <w:vAlign w:val="bottom"/>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 xml:space="preserve">153.6 </w:t>
            </w:r>
          </w:p>
        </w:tc>
      </w:tr>
      <w:tr w:rsidR="005B7DCC" w:rsidRPr="00B57DAB" w:rsidTr="005B2A0B">
        <w:trPr>
          <w:trHeight w:val="300"/>
          <w:jc w:val="center"/>
        </w:trPr>
        <w:tc>
          <w:tcPr>
            <w:tcW w:w="3974"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rPr>
                <w:rFonts w:ascii="GHEA Grapalat" w:hAnsi="GHEA Grapalat" w:cs="Calibri"/>
                <w:color w:val="000000"/>
                <w:sz w:val="18"/>
                <w:szCs w:val="18"/>
              </w:rPr>
            </w:pPr>
            <w:r w:rsidRPr="00B57DAB">
              <w:rPr>
                <w:rFonts w:ascii="GHEA Grapalat" w:hAnsi="GHEA Grapalat" w:cs="Calibri"/>
                <w:color w:val="000000"/>
                <w:sz w:val="18"/>
                <w:szCs w:val="18"/>
              </w:rPr>
              <w:t>Հանրակրթության ծրագիր</w:t>
            </w:r>
          </w:p>
        </w:tc>
        <w:tc>
          <w:tcPr>
            <w:tcW w:w="836"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jc w:val="right"/>
              <w:rPr>
                <w:rFonts w:ascii="GHEA Grapalat" w:hAnsi="GHEA Grapalat" w:cs="Calibri"/>
                <w:color w:val="000000"/>
                <w:sz w:val="18"/>
                <w:szCs w:val="18"/>
              </w:rPr>
            </w:pPr>
            <w:r w:rsidRPr="00B57DAB">
              <w:rPr>
                <w:rFonts w:ascii="GHEA Grapalat" w:hAnsi="GHEA Grapalat" w:cs="Calibri"/>
                <w:color w:val="000000"/>
                <w:sz w:val="18"/>
                <w:szCs w:val="18"/>
              </w:rPr>
              <w:t>19,180.1</w:t>
            </w:r>
          </w:p>
        </w:tc>
        <w:tc>
          <w:tcPr>
            <w:tcW w:w="931"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21,093.3</w:t>
            </w:r>
          </w:p>
        </w:tc>
        <w:tc>
          <w:tcPr>
            <w:tcW w:w="1006"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19,580.4</w:t>
            </w:r>
          </w:p>
        </w:tc>
        <w:tc>
          <w:tcPr>
            <w:tcW w:w="1203"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92.8</w:t>
            </w:r>
          </w:p>
        </w:tc>
        <w:tc>
          <w:tcPr>
            <w:tcW w:w="1218"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102.1</w:t>
            </w:r>
          </w:p>
        </w:tc>
        <w:tc>
          <w:tcPr>
            <w:tcW w:w="1048" w:type="dxa"/>
            <w:tcBorders>
              <w:top w:val="single" w:sz="4" w:space="0" w:color="auto"/>
              <w:left w:val="single" w:sz="4" w:space="0" w:color="auto"/>
              <w:bottom w:val="single" w:sz="4" w:space="0" w:color="auto"/>
              <w:right w:val="single" w:sz="4" w:space="0" w:color="auto"/>
            </w:tcBorders>
            <w:vAlign w:val="bottom"/>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 xml:space="preserve">400.3 </w:t>
            </w:r>
          </w:p>
        </w:tc>
      </w:tr>
      <w:tr w:rsidR="005B7DCC" w:rsidRPr="00B57DAB" w:rsidTr="005B2A0B">
        <w:trPr>
          <w:trHeight w:val="300"/>
          <w:jc w:val="center"/>
        </w:trPr>
        <w:tc>
          <w:tcPr>
            <w:tcW w:w="3974"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rPr>
                <w:rFonts w:ascii="GHEA Grapalat" w:hAnsi="GHEA Grapalat" w:cs="Calibri"/>
                <w:color w:val="000000"/>
                <w:sz w:val="18"/>
                <w:szCs w:val="18"/>
              </w:rPr>
            </w:pPr>
            <w:r w:rsidRPr="00B57DAB">
              <w:rPr>
                <w:rFonts w:ascii="GHEA Grapalat" w:hAnsi="GHEA Grapalat" w:cs="Calibri"/>
                <w:color w:val="000000"/>
                <w:sz w:val="18"/>
                <w:szCs w:val="18"/>
              </w:rPr>
              <w:t>Գիտական և գիտատեխնիկական հետազոտությունների ծրագիր</w:t>
            </w:r>
          </w:p>
        </w:tc>
        <w:tc>
          <w:tcPr>
            <w:tcW w:w="836"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jc w:val="right"/>
              <w:rPr>
                <w:rFonts w:ascii="GHEA Grapalat" w:hAnsi="GHEA Grapalat" w:cs="Calibri"/>
                <w:color w:val="000000"/>
                <w:sz w:val="18"/>
                <w:szCs w:val="18"/>
              </w:rPr>
            </w:pPr>
            <w:r w:rsidRPr="00B57DAB">
              <w:rPr>
                <w:rFonts w:ascii="GHEA Grapalat" w:hAnsi="GHEA Grapalat" w:cs="Calibri"/>
                <w:color w:val="000000"/>
                <w:sz w:val="18"/>
                <w:szCs w:val="18"/>
              </w:rPr>
              <w:t>2,207.4</w:t>
            </w:r>
          </w:p>
        </w:tc>
        <w:tc>
          <w:tcPr>
            <w:tcW w:w="931"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4,026.5</w:t>
            </w:r>
          </w:p>
        </w:tc>
        <w:tc>
          <w:tcPr>
            <w:tcW w:w="1006"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3,447.4</w:t>
            </w:r>
          </w:p>
        </w:tc>
        <w:tc>
          <w:tcPr>
            <w:tcW w:w="1203"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85.6</w:t>
            </w:r>
          </w:p>
        </w:tc>
        <w:tc>
          <w:tcPr>
            <w:tcW w:w="1218" w:type="dxa"/>
            <w:tcBorders>
              <w:top w:val="single" w:sz="4" w:space="0" w:color="auto"/>
              <w:left w:val="single" w:sz="4" w:space="0" w:color="auto"/>
              <w:bottom w:val="single" w:sz="4" w:space="0" w:color="auto"/>
              <w:right w:val="single" w:sz="4" w:space="0" w:color="auto"/>
            </w:tcBorders>
            <w:vAlign w:val="bottom"/>
            <w:hideMark/>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156.2</w:t>
            </w:r>
          </w:p>
        </w:tc>
        <w:tc>
          <w:tcPr>
            <w:tcW w:w="1048" w:type="dxa"/>
            <w:tcBorders>
              <w:top w:val="single" w:sz="4" w:space="0" w:color="auto"/>
              <w:left w:val="single" w:sz="4" w:space="0" w:color="auto"/>
              <w:bottom w:val="single" w:sz="4" w:space="0" w:color="auto"/>
              <w:right w:val="single" w:sz="4" w:space="0" w:color="auto"/>
            </w:tcBorders>
            <w:vAlign w:val="bottom"/>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 xml:space="preserve">1,240.0 </w:t>
            </w:r>
          </w:p>
        </w:tc>
      </w:tr>
      <w:tr w:rsidR="005B7DCC" w:rsidRPr="00B57DAB" w:rsidTr="005B2A0B">
        <w:trPr>
          <w:trHeight w:val="300"/>
          <w:jc w:val="center"/>
        </w:trPr>
        <w:tc>
          <w:tcPr>
            <w:tcW w:w="3974" w:type="dxa"/>
            <w:tcBorders>
              <w:top w:val="single" w:sz="4" w:space="0" w:color="auto"/>
              <w:left w:val="single" w:sz="4" w:space="0" w:color="auto"/>
              <w:bottom w:val="single" w:sz="4" w:space="0" w:color="auto"/>
              <w:right w:val="single" w:sz="4" w:space="0" w:color="auto"/>
            </w:tcBorders>
            <w:vAlign w:val="bottom"/>
          </w:tcPr>
          <w:p w:rsidR="005B7DCC" w:rsidRPr="00B57DAB" w:rsidRDefault="005B7DCC" w:rsidP="005B2A0B">
            <w:pPr>
              <w:rPr>
                <w:rFonts w:ascii="GHEA Grapalat" w:hAnsi="GHEA Grapalat" w:cs="Calibri"/>
                <w:color w:val="000000"/>
                <w:sz w:val="18"/>
                <w:szCs w:val="18"/>
              </w:rPr>
            </w:pPr>
            <w:r w:rsidRPr="00B57DAB">
              <w:rPr>
                <w:rFonts w:ascii="GHEA Grapalat" w:hAnsi="GHEA Grapalat" w:cs="Calibri"/>
                <w:color w:val="000000"/>
                <w:sz w:val="18"/>
                <w:szCs w:val="18"/>
              </w:rPr>
              <w:t>Արվեստների ծրագիր</w:t>
            </w:r>
          </w:p>
        </w:tc>
        <w:tc>
          <w:tcPr>
            <w:tcW w:w="836" w:type="dxa"/>
            <w:tcBorders>
              <w:top w:val="single" w:sz="4" w:space="0" w:color="auto"/>
              <w:left w:val="single" w:sz="4" w:space="0" w:color="auto"/>
              <w:bottom w:val="single" w:sz="4" w:space="0" w:color="auto"/>
              <w:right w:val="single" w:sz="4" w:space="0" w:color="auto"/>
            </w:tcBorders>
            <w:vAlign w:val="bottom"/>
          </w:tcPr>
          <w:p w:rsidR="005B7DCC" w:rsidRPr="00B57DAB" w:rsidRDefault="005B7DCC" w:rsidP="005B2A0B">
            <w:pPr>
              <w:jc w:val="right"/>
              <w:rPr>
                <w:rFonts w:ascii="GHEA Grapalat" w:hAnsi="GHEA Grapalat" w:cs="Calibri"/>
                <w:color w:val="000000"/>
                <w:sz w:val="18"/>
                <w:szCs w:val="18"/>
              </w:rPr>
            </w:pPr>
            <w:r w:rsidRPr="00B57DAB">
              <w:rPr>
                <w:rFonts w:ascii="GHEA Grapalat" w:hAnsi="GHEA Grapalat" w:cs="Calibri"/>
                <w:color w:val="000000"/>
                <w:sz w:val="18"/>
                <w:szCs w:val="18"/>
              </w:rPr>
              <w:t>1,929.8</w:t>
            </w:r>
          </w:p>
        </w:tc>
        <w:tc>
          <w:tcPr>
            <w:tcW w:w="931" w:type="dxa"/>
            <w:tcBorders>
              <w:top w:val="single" w:sz="4" w:space="0" w:color="auto"/>
              <w:left w:val="single" w:sz="4" w:space="0" w:color="auto"/>
              <w:bottom w:val="single" w:sz="4" w:space="0" w:color="auto"/>
              <w:right w:val="single" w:sz="4" w:space="0" w:color="auto"/>
            </w:tcBorders>
            <w:vAlign w:val="bottom"/>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2,802.3</w:t>
            </w:r>
          </w:p>
        </w:tc>
        <w:tc>
          <w:tcPr>
            <w:tcW w:w="1006" w:type="dxa"/>
            <w:tcBorders>
              <w:top w:val="single" w:sz="4" w:space="0" w:color="auto"/>
              <w:left w:val="single" w:sz="4" w:space="0" w:color="auto"/>
              <w:bottom w:val="single" w:sz="4" w:space="0" w:color="auto"/>
              <w:right w:val="single" w:sz="4" w:space="0" w:color="auto"/>
            </w:tcBorders>
            <w:vAlign w:val="bottom"/>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2,073.6</w:t>
            </w:r>
          </w:p>
        </w:tc>
        <w:tc>
          <w:tcPr>
            <w:tcW w:w="1203" w:type="dxa"/>
            <w:tcBorders>
              <w:top w:val="single" w:sz="4" w:space="0" w:color="auto"/>
              <w:left w:val="single" w:sz="4" w:space="0" w:color="auto"/>
              <w:bottom w:val="single" w:sz="4" w:space="0" w:color="auto"/>
              <w:right w:val="single" w:sz="4" w:space="0" w:color="auto"/>
            </w:tcBorders>
            <w:vAlign w:val="bottom"/>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74.0</w:t>
            </w:r>
          </w:p>
        </w:tc>
        <w:tc>
          <w:tcPr>
            <w:tcW w:w="1218" w:type="dxa"/>
            <w:tcBorders>
              <w:top w:val="single" w:sz="4" w:space="0" w:color="auto"/>
              <w:left w:val="single" w:sz="4" w:space="0" w:color="auto"/>
              <w:bottom w:val="single" w:sz="4" w:space="0" w:color="auto"/>
              <w:right w:val="single" w:sz="4" w:space="0" w:color="auto"/>
            </w:tcBorders>
            <w:vAlign w:val="bottom"/>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107.4</w:t>
            </w:r>
          </w:p>
        </w:tc>
        <w:tc>
          <w:tcPr>
            <w:tcW w:w="1048" w:type="dxa"/>
            <w:tcBorders>
              <w:top w:val="single" w:sz="4" w:space="0" w:color="auto"/>
              <w:left w:val="single" w:sz="4" w:space="0" w:color="auto"/>
              <w:bottom w:val="single" w:sz="4" w:space="0" w:color="auto"/>
              <w:right w:val="single" w:sz="4" w:space="0" w:color="auto"/>
            </w:tcBorders>
            <w:vAlign w:val="bottom"/>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 xml:space="preserve">143.7 </w:t>
            </w:r>
          </w:p>
        </w:tc>
      </w:tr>
      <w:tr w:rsidR="005B7DCC" w:rsidRPr="00B57DAB" w:rsidTr="005B2A0B">
        <w:trPr>
          <w:trHeight w:val="300"/>
          <w:jc w:val="center"/>
        </w:trPr>
        <w:tc>
          <w:tcPr>
            <w:tcW w:w="3974" w:type="dxa"/>
            <w:tcBorders>
              <w:top w:val="single" w:sz="4" w:space="0" w:color="auto"/>
              <w:left w:val="single" w:sz="4" w:space="0" w:color="auto"/>
              <w:bottom w:val="single" w:sz="4" w:space="0" w:color="auto"/>
              <w:right w:val="single" w:sz="4" w:space="0" w:color="auto"/>
            </w:tcBorders>
            <w:vAlign w:val="bottom"/>
          </w:tcPr>
          <w:p w:rsidR="005B7DCC" w:rsidRPr="00B57DAB" w:rsidRDefault="005B7DCC" w:rsidP="005B2A0B">
            <w:pPr>
              <w:rPr>
                <w:rFonts w:ascii="GHEA Grapalat" w:hAnsi="GHEA Grapalat"/>
                <w:b/>
                <w:bCs/>
                <w:color w:val="0070C0"/>
                <w:sz w:val="18"/>
                <w:szCs w:val="18"/>
              </w:rPr>
            </w:pPr>
            <w:r w:rsidRPr="00B57DAB">
              <w:rPr>
                <w:rFonts w:ascii="GHEA Grapalat" w:hAnsi="GHEA Grapalat" w:cs="Calibri"/>
                <w:color w:val="000000"/>
                <w:sz w:val="18"/>
                <w:szCs w:val="18"/>
              </w:rPr>
              <w:lastRenderedPageBreak/>
              <w:t>Ապահով դպրոց</w:t>
            </w:r>
          </w:p>
        </w:tc>
        <w:tc>
          <w:tcPr>
            <w:tcW w:w="836" w:type="dxa"/>
            <w:tcBorders>
              <w:top w:val="single" w:sz="4" w:space="0" w:color="auto"/>
              <w:left w:val="single" w:sz="4" w:space="0" w:color="auto"/>
              <w:bottom w:val="single" w:sz="4" w:space="0" w:color="auto"/>
              <w:right w:val="single" w:sz="4" w:space="0" w:color="auto"/>
            </w:tcBorders>
            <w:vAlign w:val="bottom"/>
          </w:tcPr>
          <w:p w:rsidR="005B7DCC" w:rsidRPr="00B57DAB" w:rsidRDefault="005B7DCC" w:rsidP="005B2A0B">
            <w:pPr>
              <w:jc w:val="right"/>
              <w:rPr>
                <w:rFonts w:ascii="GHEA Grapalat" w:hAnsi="GHEA Grapalat" w:cs="Calibri"/>
                <w:color w:val="000000"/>
                <w:sz w:val="18"/>
                <w:szCs w:val="18"/>
              </w:rPr>
            </w:pPr>
            <w:r w:rsidRPr="00B57DAB">
              <w:rPr>
                <w:rFonts w:ascii="GHEA Grapalat" w:hAnsi="GHEA Grapalat" w:cs="Calibri"/>
                <w:color w:val="000000"/>
                <w:sz w:val="18"/>
                <w:szCs w:val="18"/>
              </w:rPr>
              <w:t>12.1</w:t>
            </w:r>
          </w:p>
        </w:tc>
        <w:tc>
          <w:tcPr>
            <w:tcW w:w="931" w:type="dxa"/>
            <w:tcBorders>
              <w:top w:val="single" w:sz="4" w:space="0" w:color="auto"/>
              <w:left w:val="single" w:sz="4" w:space="0" w:color="auto"/>
              <w:bottom w:val="single" w:sz="4" w:space="0" w:color="auto"/>
              <w:right w:val="single" w:sz="4" w:space="0" w:color="auto"/>
            </w:tcBorders>
            <w:vAlign w:val="bottom"/>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1,323.1</w:t>
            </w:r>
          </w:p>
        </w:tc>
        <w:tc>
          <w:tcPr>
            <w:tcW w:w="1006" w:type="dxa"/>
            <w:tcBorders>
              <w:top w:val="single" w:sz="4" w:space="0" w:color="auto"/>
              <w:left w:val="single" w:sz="4" w:space="0" w:color="auto"/>
              <w:bottom w:val="single" w:sz="4" w:space="0" w:color="auto"/>
              <w:right w:val="single" w:sz="4" w:space="0" w:color="auto"/>
            </w:tcBorders>
            <w:vAlign w:val="bottom"/>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77.5</w:t>
            </w:r>
          </w:p>
        </w:tc>
        <w:tc>
          <w:tcPr>
            <w:tcW w:w="1203" w:type="dxa"/>
            <w:tcBorders>
              <w:top w:val="single" w:sz="4" w:space="0" w:color="auto"/>
              <w:left w:val="single" w:sz="4" w:space="0" w:color="auto"/>
              <w:bottom w:val="single" w:sz="4" w:space="0" w:color="auto"/>
              <w:right w:val="single" w:sz="4" w:space="0" w:color="auto"/>
            </w:tcBorders>
            <w:vAlign w:val="bottom"/>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5.9</w:t>
            </w:r>
          </w:p>
        </w:tc>
        <w:tc>
          <w:tcPr>
            <w:tcW w:w="1218" w:type="dxa"/>
            <w:tcBorders>
              <w:top w:val="single" w:sz="4" w:space="0" w:color="auto"/>
              <w:left w:val="single" w:sz="4" w:space="0" w:color="auto"/>
              <w:bottom w:val="single" w:sz="4" w:space="0" w:color="auto"/>
              <w:right w:val="single" w:sz="4" w:space="0" w:color="auto"/>
            </w:tcBorders>
            <w:vAlign w:val="bottom"/>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642.9</w:t>
            </w:r>
          </w:p>
        </w:tc>
        <w:tc>
          <w:tcPr>
            <w:tcW w:w="1048" w:type="dxa"/>
            <w:tcBorders>
              <w:top w:val="single" w:sz="4" w:space="0" w:color="auto"/>
              <w:left w:val="single" w:sz="4" w:space="0" w:color="auto"/>
              <w:bottom w:val="single" w:sz="4" w:space="0" w:color="auto"/>
              <w:right w:val="single" w:sz="4" w:space="0" w:color="auto"/>
            </w:tcBorders>
            <w:vAlign w:val="bottom"/>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 xml:space="preserve">65.4 </w:t>
            </w:r>
          </w:p>
        </w:tc>
      </w:tr>
      <w:tr w:rsidR="005B7DCC" w:rsidRPr="00B57DAB" w:rsidTr="005B2A0B">
        <w:trPr>
          <w:trHeight w:val="300"/>
          <w:jc w:val="center"/>
        </w:trPr>
        <w:tc>
          <w:tcPr>
            <w:tcW w:w="3974" w:type="dxa"/>
            <w:tcBorders>
              <w:top w:val="single" w:sz="4" w:space="0" w:color="auto"/>
              <w:left w:val="single" w:sz="4" w:space="0" w:color="auto"/>
              <w:bottom w:val="single" w:sz="4" w:space="0" w:color="auto"/>
              <w:right w:val="single" w:sz="4" w:space="0" w:color="auto"/>
            </w:tcBorders>
            <w:vAlign w:val="bottom"/>
          </w:tcPr>
          <w:p w:rsidR="005B7DCC" w:rsidRPr="00B57DAB" w:rsidRDefault="005B7DCC" w:rsidP="005B2A0B">
            <w:pPr>
              <w:rPr>
                <w:rFonts w:ascii="GHEA Grapalat" w:hAnsi="GHEA Grapalat" w:cs="Calibri"/>
                <w:color w:val="000000"/>
                <w:sz w:val="18"/>
                <w:szCs w:val="18"/>
              </w:rPr>
            </w:pPr>
            <w:r w:rsidRPr="00B57DAB">
              <w:rPr>
                <w:rFonts w:ascii="GHEA Grapalat" w:hAnsi="GHEA Grapalat" w:cs="Calibri"/>
                <w:color w:val="000000"/>
                <w:sz w:val="18"/>
                <w:szCs w:val="18"/>
              </w:rPr>
              <w:t>Կրթության որակի ապահովում</w:t>
            </w:r>
          </w:p>
        </w:tc>
        <w:tc>
          <w:tcPr>
            <w:tcW w:w="836" w:type="dxa"/>
            <w:tcBorders>
              <w:top w:val="single" w:sz="4" w:space="0" w:color="auto"/>
              <w:left w:val="single" w:sz="4" w:space="0" w:color="auto"/>
              <w:bottom w:val="single" w:sz="4" w:space="0" w:color="auto"/>
              <w:right w:val="single" w:sz="4" w:space="0" w:color="auto"/>
            </w:tcBorders>
            <w:vAlign w:val="bottom"/>
          </w:tcPr>
          <w:p w:rsidR="005B7DCC" w:rsidRPr="00B57DAB" w:rsidRDefault="005B7DCC" w:rsidP="005B2A0B">
            <w:pPr>
              <w:jc w:val="right"/>
              <w:rPr>
                <w:rFonts w:ascii="GHEA Grapalat" w:hAnsi="GHEA Grapalat" w:cs="Calibri"/>
                <w:color w:val="000000"/>
                <w:sz w:val="18"/>
                <w:szCs w:val="18"/>
              </w:rPr>
            </w:pPr>
            <w:r w:rsidRPr="00B57DAB">
              <w:rPr>
                <w:rFonts w:ascii="GHEA Grapalat" w:hAnsi="GHEA Grapalat" w:cs="Calibri"/>
                <w:color w:val="000000"/>
                <w:sz w:val="18"/>
                <w:szCs w:val="18"/>
              </w:rPr>
              <w:t>663.4</w:t>
            </w:r>
          </w:p>
        </w:tc>
        <w:tc>
          <w:tcPr>
            <w:tcW w:w="931" w:type="dxa"/>
            <w:tcBorders>
              <w:top w:val="single" w:sz="4" w:space="0" w:color="auto"/>
              <w:left w:val="single" w:sz="4" w:space="0" w:color="auto"/>
              <w:bottom w:val="single" w:sz="4" w:space="0" w:color="auto"/>
              <w:right w:val="single" w:sz="4" w:space="0" w:color="auto"/>
            </w:tcBorders>
            <w:vAlign w:val="bottom"/>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2,262.2</w:t>
            </w:r>
          </w:p>
        </w:tc>
        <w:tc>
          <w:tcPr>
            <w:tcW w:w="1006" w:type="dxa"/>
            <w:tcBorders>
              <w:top w:val="single" w:sz="4" w:space="0" w:color="auto"/>
              <w:left w:val="single" w:sz="4" w:space="0" w:color="auto"/>
              <w:bottom w:val="single" w:sz="4" w:space="0" w:color="auto"/>
              <w:right w:val="single" w:sz="4" w:space="0" w:color="auto"/>
            </w:tcBorders>
            <w:vAlign w:val="bottom"/>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320.2</w:t>
            </w:r>
          </w:p>
        </w:tc>
        <w:tc>
          <w:tcPr>
            <w:tcW w:w="1203" w:type="dxa"/>
            <w:tcBorders>
              <w:top w:val="single" w:sz="4" w:space="0" w:color="auto"/>
              <w:left w:val="single" w:sz="4" w:space="0" w:color="auto"/>
              <w:bottom w:val="single" w:sz="4" w:space="0" w:color="auto"/>
              <w:right w:val="single" w:sz="4" w:space="0" w:color="auto"/>
            </w:tcBorders>
            <w:vAlign w:val="bottom"/>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14.2</w:t>
            </w:r>
          </w:p>
        </w:tc>
        <w:tc>
          <w:tcPr>
            <w:tcW w:w="1218" w:type="dxa"/>
            <w:tcBorders>
              <w:top w:val="single" w:sz="4" w:space="0" w:color="auto"/>
              <w:left w:val="single" w:sz="4" w:space="0" w:color="auto"/>
              <w:bottom w:val="single" w:sz="4" w:space="0" w:color="auto"/>
              <w:right w:val="single" w:sz="4" w:space="0" w:color="auto"/>
            </w:tcBorders>
            <w:vAlign w:val="bottom"/>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48.3</w:t>
            </w:r>
          </w:p>
        </w:tc>
        <w:tc>
          <w:tcPr>
            <w:tcW w:w="1048" w:type="dxa"/>
            <w:tcBorders>
              <w:top w:val="single" w:sz="4" w:space="0" w:color="auto"/>
              <w:left w:val="single" w:sz="4" w:space="0" w:color="auto"/>
              <w:bottom w:val="single" w:sz="4" w:space="0" w:color="auto"/>
              <w:right w:val="single" w:sz="4" w:space="0" w:color="auto"/>
            </w:tcBorders>
            <w:vAlign w:val="bottom"/>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(343.2)</w:t>
            </w:r>
          </w:p>
        </w:tc>
      </w:tr>
      <w:tr w:rsidR="005B7DCC" w:rsidRPr="00B57DAB" w:rsidTr="005B2A0B">
        <w:trPr>
          <w:trHeight w:val="300"/>
          <w:jc w:val="center"/>
        </w:trPr>
        <w:tc>
          <w:tcPr>
            <w:tcW w:w="3974" w:type="dxa"/>
            <w:tcBorders>
              <w:top w:val="single" w:sz="4" w:space="0" w:color="auto"/>
              <w:left w:val="single" w:sz="4" w:space="0" w:color="auto"/>
              <w:bottom w:val="single" w:sz="4" w:space="0" w:color="auto"/>
              <w:right w:val="single" w:sz="4" w:space="0" w:color="auto"/>
            </w:tcBorders>
            <w:vAlign w:val="bottom"/>
          </w:tcPr>
          <w:p w:rsidR="005B7DCC" w:rsidRPr="00B57DAB" w:rsidRDefault="005B7DCC" w:rsidP="005B2A0B">
            <w:pPr>
              <w:rPr>
                <w:rFonts w:ascii="GHEA Grapalat" w:hAnsi="GHEA Grapalat" w:cs="Calibri"/>
                <w:color w:val="000000"/>
                <w:sz w:val="18"/>
                <w:szCs w:val="18"/>
              </w:rPr>
            </w:pPr>
            <w:r w:rsidRPr="00B57DAB">
              <w:rPr>
                <w:rFonts w:ascii="GHEA Grapalat" w:hAnsi="GHEA Grapalat" w:cs="Calibri"/>
                <w:color w:val="000000"/>
                <w:sz w:val="18"/>
                <w:szCs w:val="18"/>
              </w:rPr>
              <w:t>Այլ ծրագրեր</w:t>
            </w:r>
          </w:p>
        </w:tc>
        <w:tc>
          <w:tcPr>
            <w:tcW w:w="836" w:type="dxa"/>
            <w:tcBorders>
              <w:top w:val="single" w:sz="4" w:space="0" w:color="auto"/>
              <w:left w:val="single" w:sz="4" w:space="0" w:color="auto"/>
              <w:bottom w:val="single" w:sz="4" w:space="0" w:color="auto"/>
              <w:right w:val="single" w:sz="4" w:space="0" w:color="auto"/>
            </w:tcBorders>
            <w:vAlign w:val="bottom"/>
          </w:tcPr>
          <w:p w:rsidR="005B7DCC" w:rsidRPr="00B57DAB" w:rsidRDefault="005B7DCC" w:rsidP="005B2A0B">
            <w:pPr>
              <w:jc w:val="right"/>
              <w:rPr>
                <w:rFonts w:ascii="GHEA Grapalat" w:hAnsi="GHEA Grapalat" w:cs="Calibri"/>
                <w:color w:val="000000"/>
                <w:sz w:val="18"/>
                <w:szCs w:val="18"/>
              </w:rPr>
            </w:pPr>
            <w:r w:rsidRPr="00B57DAB">
              <w:rPr>
                <w:rFonts w:ascii="GHEA Grapalat" w:hAnsi="GHEA Grapalat" w:cs="Calibri"/>
                <w:color w:val="000000"/>
                <w:sz w:val="18"/>
                <w:szCs w:val="18"/>
              </w:rPr>
              <w:t>2,973.4</w:t>
            </w:r>
          </w:p>
        </w:tc>
        <w:tc>
          <w:tcPr>
            <w:tcW w:w="931" w:type="dxa"/>
            <w:tcBorders>
              <w:top w:val="single" w:sz="4" w:space="0" w:color="auto"/>
              <w:left w:val="single" w:sz="4" w:space="0" w:color="auto"/>
              <w:bottom w:val="single" w:sz="4" w:space="0" w:color="auto"/>
              <w:right w:val="single" w:sz="4" w:space="0" w:color="auto"/>
            </w:tcBorders>
            <w:vAlign w:val="bottom"/>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4,253.7</w:t>
            </w:r>
          </w:p>
        </w:tc>
        <w:tc>
          <w:tcPr>
            <w:tcW w:w="1006" w:type="dxa"/>
            <w:tcBorders>
              <w:top w:val="single" w:sz="4" w:space="0" w:color="auto"/>
              <w:left w:val="single" w:sz="4" w:space="0" w:color="auto"/>
              <w:bottom w:val="single" w:sz="4" w:space="0" w:color="auto"/>
              <w:right w:val="single" w:sz="4" w:space="0" w:color="auto"/>
            </w:tcBorders>
            <w:vAlign w:val="bottom"/>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3,629.4</w:t>
            </w:r>
          </w:p>
        </w:tc>
        <w:tc>
          <w:tcPr>
            <w:tcW w:w="1203" w:type="dxa"/>
            <w:tcBorders>
              <w:top w:val="single" w:sz="4" w:space="0" w:color="auto"/>
              <w:left w:val="single" w:sz="4" w:space="0" w:color="auto"/>
              <w:bottom w:val="single" w:sz="4" w:space="0" w:color="auto"/>
              <w:right w:val="single" w:sz="4" w:space="0" w:color="auto"/>
            </w:tcBorders>
            <w:vAlign w:val="bottom"/>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85.3</w:t>
            </w:r>
          </w:p>
        </w:tc>
        <w:tc>
          <w:tcPr>
            <w:tcW w:w="1218" w:type="dxa"/>
            <w:tcBorders>
              <w:top w:val="single" w:sz="4" w:space="0" w:color="auto"/>
              <w:left w:val="single" w:sz="4" w:space="0" w:color="auto"/>
              <w:bottom w:val="single" w:sz="4" w:space="0" w:color="auto"/>
              <w:right w:val="single" w:sz="4" w:space="0" w:color="auto"/>
            </w:tcBorders>
            <w:vAlign w:val="bottom"/>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122.1</w:t>
            </w:r>
          </w:p>
        </w:tc>
        <w:tc>
          <w:tcPr>
            <w:tcW w:w="1048" w:type="dxa"/>
            <w:tcBorders>
              <w:top w:val="single" w:sz="4" w:space="0" w:color="auto"/>
              <w:left w:val="single" w:sz="4" w:space="0" w:color="auto"/>
              <w:bottom w:val="single" w:sz="4" w:space="0" w:color="auto"/>
              <w:right w:val="single" w:sz="4" w:space="0" w:color="auto"/>
            </w:tcBorders>
            <w:vAlign w:val="bottom"/>
          </w:tcPr>
          <w:p w:rsidR="005B7DCC" w:rsidRPr="00B57DAB" w:rsidRDefault="005B7DCC" w:rsidP="005B2A0B">
            <w:pPr>
              <w:jc w:val="right"/>
              <w:rPr>
                <w:rFonts w:ascii="GHEA Grapalat" w:hAnsi="GHEA Grapalat"/>
                <w:sz w:val="18"/>
                <w:szCs w:val="18"/>
              </w:rPr>
            </w:pPr>
            <w:r w:rsidRPr="00B57DAB">
              <w:rPr>
                <w:rFonts w:ascii="GHEA Grapalat" w:hAnsi="GHEA Grapalat"/>
                <w:sz w:val="18"/>
                <w:szCs w:val="18"/>
              </w:rPr>
              <w:t xml:space="preserve">656.0 </w:t>
            </w:r>
          </w:p>
        </w:tc>
      </w:tr>
    </w:tbl>
    <w:p w:rsidR="005B7DCC" w:rsidRPr="00B57DAB" w:rsidRDefault="005B7DCC" w:rsidP="005B7DCC">
      <w:pPr>
        <w:autoSpaceDE w:val="0"/>
        <w:autoSpaceDN w:val="0"/>
        <w:adjustRightInd w:val="0"/>
        <w:spacing w:line="360" w:lineRule="auto"/>
        <w:ind w:firstLine="567"/>
        <w:jc w:val="both"/>
        <w:rPr>
          <w:rFonts w:ascii="GHEA Grapalat" w:hAnsi="GHEA Grapalat" w:cs="Sylfaen"/>
          <w:sz w:val="22"/>
          <w:szCs w:val="22"/>
        </w:rPr>
      </w:pPr>
    </w:p>
    <w:p w:rsidR="005B7DCC" w:rsidRPr="00B57DAB" w:rsidRDefault="005B7DCC" w:rsidP="005B7DCC">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 xml:space="preserve">Հաշվետու ժամանակահատվածում </w:t>
      </w:r>
      <w:r w:rsidRPr="00B57DAB">
        <w:rPr>
          <w:rFonts w:ascii="GHEA Grapalat" w:hAnsi="GHEA Grapalat" w:cs="Sylfaen"/>
          <w:i/>
          <w:sz w:val="22"/>
          <w:szCs w:val="22"/>
        </w:rPr>
        <w:t>Մեծ նվաճումների սպորտի</w:t>
      </w:r>
      <w:r w:rsidRPr="00B57DAB">
        <w:rPr>
          <w:rFonts w:ascii="GHEA Grapalat" w:hAnsi="GHEA Grapalat" w:cs="Sylfaen"/>
          <w:sz w:val="22"/>
          <w:szCs w:val="22"/>
        </w:rPr>
        <w:t xml:space="preserve"> ծրագրի շրջանակներում օգտագործվել է նախատեսված միջոցների 79.5%-ը՝ 689.5 մլն դրամ: Շեղումը հիմնականում պայմանավորված է ՀՀ հավաքական թիմերին մարզահագուստով և մարզահանդերձանքով ապահովման համար նախատեսված</w:t>
      </w:r>
      <w:r w:rsidR="003028AE" w:rsidRPr="00B57DAB">
        <w:rPr>
          <w:rFonts w:ascii="GHEA Grapalat" w:hAnsi="GHEA Grapalat" w:cs="Sylfaen"/>
          <w:sz w:val="22"/>
          <w:szCs w:val="22"/>
        </w:rPr>
        <w:t xml:space="preserve"> վճարումները</w:t>
      </w:r>
      <w:r w:rsidRPr="00B57DAB">
        <w:rPr>
          <w:rFonts w:ascii="GHEA Grapalat" w:hAnsi="GHEA Grapalat" w:cs="Sylfaen"/>
          <w:sz w:val="22"/>
          <w:szCs w:val="22"/>
        </w:rPr>
        <w:t xml:space="preserve"> </w:t>
      </w:r>
      <w:r w:rsidR="003028AE" w:rsidRPr="00B57DAB">
        <w:rPr>
          <w:rFonts w:ascii="GHEA Grapalat" w:hAnsi="GHEA Grapalat" w:cs="Sylfaen"/>
          <w:sz w:val="22"/>
          <w:szCs w:val="22"/>
        </w:rPr>
        <w:t>(</w:t>
      </w:r>
      <w:r w:rsidRPr="00B57DAB">
        <w:rPr>
          <w:rFonts w:ascii="GHEA Grapalat" w:hAnsi="GHEA Grapalat" w:cs="Sylfaen"/>
          <w:sz w:val="22"/>
          <w:szCs w:val="22"/>
        </w:rPr>
        <w:t>81.8 մլն դրամ</w:t>
      </w:r>
      <w:r w:rsidR="003028AE" w:rsidRPr="00B57DAB">
        <w:rPr>
          <w:rFonts w:ascii="GHEA Grapalat" w:hAnsi="GHEA Grapalat" w:cs="Sylfaen"/>
          <w:sz w:val="22"/>
          <w:szCs w:val="22"/>
        </w:rPr>
        <w:t>)</w:t>
      </w:r>
      <w:r w:rsidRPr="00B57DAB">
        <w:rPr>
          <w:rFonts w:ascii="GHEA Grapalat" w:hAnsi="GHEA Grapalat" w:cs="Sylfaen"/>
          <w:sz w:val="22"/>
          <w:szCs w:val="22"/>
        </w:rPr>
        <w:t xml:space="preserve"> երկրորդ եռամսյակ</w:t>
      </w:r>
      <w:r w:rsidR="003028AE" w:rsidRPr="00B57DAB">
        <w:rPr>
          <w:rFonts w:ascii="GHEA Grapalat" w:hAnsi="GHEA Grapalat" w:cs="Sylfaen"/>
          <w:sz w:val="22"/>
          <w:szCs w:val="22"/>
        </w:rPr>
        <w:t>ում կատարելու հանգամանքով</w:t>
      </w:r>
      <w:r w:rsidRPr="00B57DAB">
        <w:rPr>
          <w:rFonts w:ascii="GHEA Grapalat" w:hAnsi="GHEA Grapalat" w:cs="Sylfaen"/>
          <w:sz w:val="22"/>
          <w:szCs w:val="22"/>
        </w:rPr>
        <w:t>՝ համաձայն կնքված պայմանագրեր</w:t>
      </w:r>
      <w:r w:rsidR="003028AE" w:rsidRPr="00B57DAB">
        <w:rPr>
          <w:rFonts w:ascii="GHEA Grapalat" w:hAnsi="GHEA Grapalat" w:cs="Sylfaen"/>
          <w:sz w:val="22"/>
          <w:szCs w:val="22"/>
        </w:rPr>
        <w:t>ով նախատեսված</w:t>
      </w:r>
      <w:r w:rsidRPr="00B57DAB">
        <w:rPr>
          <w:rFonts w:ascii="GHEA Grapalat" w:hAnsi="GHEA Grapalat" w:cs="Sylfaen"/>
          <w:sz w:val="22"/>
          <w:szCs w:val="22"/>
        </w:rPr>
        <w:t xml:space="preserve"> վճարման ժամանակացույցերի։ Ծրագրի կատարողականը</w:t>
      </w:r>
      <w:r w:rsidR="00D027DA" w:rsidRPr="00B57DAB">
        <w:rPr>
          <w:rFonts w:ascii="GHEA Grapalat" w:hAnsi="GHEA Grapalat" w:cs="Sylfaen"/>
          <w:sz w:val="22"/>
          <w:szCs w:val="22"/>
        </w:rPr>
        <w:t xml:space="preserve"> </w:t>
      </w:r>
      <w:r w:rsidRPr="00B57DAB">
        <w:rPr>
          <w:rFonts w:ascii="GHEA Grapalat" w:hAnsi="GHEA Grapalat" w:cs="Sylfaen"/>
          <w:sz w:val="22"/>
          <w:szCs w:val="22"/>
        </w:rPr>
        <w:t xml:space="preserve">պայմանավորված է նաև ՀՀ առաջնություններին և միջազգային միջոցառումներին մասնակցության ապահովման համար մարզիկների նախապատրաստման ու առաջնությունների անցկացման ծախսերով: Միջոցառման շրջանակներում առաջին եռամսյակի ընթացքում Հայաստանում գործող ֆեդերացիաների կողմից նախատեսվել և կազմակերպվել են ՀՀ 35 առաջնություններ, որոնց մասնակցել է 3680 մասնակից՝ կանխատեսված 4185-ի դիմաց: Նախատեսվել և կազմակերպվել </w:t>
      </w:r>
      <w:r w:rsidR="009F457C" w:rsidRPr="00B57DAB">
        <w:rPr>
          <w:rFonts w:ascii="GHEA Grapalat" w:hAnsi="GHEA Grapalat" w:cs="Sylfaen"/>
          <w:sz w:val="22"/>
          <w:szCs w:val="22"/>
        </w:rPr>
        <w:t>է</w:t>
      </w:r>
      <w:r w:rsidRPr="00B57DAB">
        <w:rPr>
          <w:rFonts w:ascii="GHEA Grapalat" w:hAnsi="GHEA Grapalat" w:cs="Sylfaen"/>
          <w:sz w:val="22"/>
          <w:szCs w:val="22"/>
        </w:rPr>
        <w:t xml:space="preserve"> նաև 30 ուսումնամարզական հավաք 551 մասնակցով՝ կանխատեսված 763-ի դիմաց, 27 միջազգային միջոցառում 268 մասնակցով՝ կանխատեսված համապատասխան</w:t>
      </w:r>
      <w:r w:rsidR="009F457C" w:rsidRPr="00B57DAB">
        <w:rPr>
          <w:rFonts w:ascii="GHEA Grapalat" w:hAnsi="GHEA Grapalat" w:cs="Sylfaen"/>
          <w:sz w:val="22"/>
          <w:szCs w:val="22"/>
        </w:rPr>
        <w:t>աբար</w:t>
      </w:r>
      <w:r w:rsidRPr="00B57DAB">
        <w:rPr>
          <w:rFonts w:ascii="GHEA Grapalat" w:hAnsi="GHEA Grapalat" w:cs="Sylfaen"/>
          <w:sz w:val="22"/>
          <w:szCs w:val="22"/>
        </w:rPr>
        <w:t xml:space="preserve"> 42-ի և 630-ի դիմաց: Նախատեսվածի համեմատ</w:t>
      </w:r>
      <w:r w:rsidR="00D027DA" w:rsidRPr="00B57DAB">
        <w:rPr>
          <w:rFonts w:ascii="GHEA Grapalat" w:hAnsi="GHEA Grapalat" w:cs="Sylfaen"/>
          <w:sz w:val="22"/>
          <w:szCs w:val="22"/>
        </w:rPr>
        <w:t xml:space="preserve"> </w:t>
      </w:r>
      <w:r w:rsidRPr="00B57DAB">
        <w:rPr>
          <w:rFonts w:ascii="GHEA Grapalat" w:hAnsi="GHEA Grapalat" w:cs="Sylfaen"/>
          <w:sz w:val="22"/>
          <w:szCs w:val="22"/>
        </w:rPr>
        <w:t>միջազգային միջոցառումների փաստացի փ</w:t>
      </w:r>
      <w:r w:rsidR="009F457C" w:rsidRPr="00B57DAB">
        <w:rPr>
          <w:rFonts w:ascii="GHEA Grapalat" w:hAnsi="GHEA Grapalat" w:cs="Sylfaen"/>
          <w:sz w:val="22"/>
          <w:szCs w:val="22"/>
        </w:rPr>
        <w:t>ոքր թիվը պայմանավորված է օրացու</w:t>
      </w:r>
      <w:r w:rsidRPr="00B57DAB">
        <w:rPr>
          <w:rFonts w:ascii="GHEA Grapalat" w:hAnsi="GHEA Grapalat" w:cs="Sylfaen"/>
          <w:sz w:val="22"/>
          <w:szCs w:val="22"/>
        </w:rPr>
        <w:t>ցային պլանի փոփոխության արդյունքում որոշ միջոցառումների հետաձգմամբ: ՀՀ առաջնություններին և միջազգային միջոցառումներին մասնակցության ապահովման համար մարզիկների նախապատրաստման և առաջնությունների անցկացման ծախսերի կատարողականը կազմել է 88.5% կամ 377.4 մլն դրամ, որը պայմանավորված է օրացույցային պլանի փոփոխության հետ կապված՝ մարզաձևերի միջազգային ֆեդերացիաների կողմից միջոցառումների հետաձգմամբ, ինչպես նաև վճարման հայտերի մի մասը մարտ ամսվա վերջում ներկայացվելու հանգամանքով, որի արդյունքում վճարումները տեղափոխվել են երկրորդ եռամսյակ: Ծրագրում ընդգրկված միջոցառումներից 5-ի գծով նախատեսված 160.3 մլն դրամն օգտագործվել է ամբողջությամբ</w:t>
      </w:r>
      <w:r w:rsidR="00D24373" w:rsidRPr="00B57DAB">
        <w:rPr>
          <w:rFonts w:ascii="GHEA Grapalat" w:hAnsi="GHEA Grapalat" w:cs="Sylfaen"/>
          <w:sz w:val="22"/>
          <w:szCs w:val="22"/>
        </w:rPr>
        <w:t>, որոնց</w:t>
      </w:r>
      <w:r w:rsidRPr="00B57DAB">
        <w:rPr>
          <w:rFonts w:ascii="GHEA Grapalat" w:hAnsi="GHEA Grapalat" w:cs="Sylfaen"/>
          <w:sz w:val="22"/>
          <w:szCs w:val="22"/>
        </w:rPr>
        <w:t xml:space="preserve"> շրջանակներում գրեթե ամբողջությամբ ապահովվել են նախատեսված արդյունքային չափորոշիչները:</w:t>
      </w:r>
    </w:p>
    <w:p w:rsidR="005B7DCC" w:rsidRPr="00B57DAB" w:rsidRDefault="005B7DCC" w:rsidP="005B7DCC">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Մեծ նվաճումների սպորտի ծրագրի շրջանակներում կատարված ծախսերը 15.6%-ով (93.2 մլն դրամով) գերազանցել են նախորդ տարվա առաջին եռամսյակի ցուցանիշը՝ հիմնականում պայմանավորված Օլիմպիական խաղերում, աշխարհի և Եվրոպայի առաջնություններում բարձր արդյունքների հասած ՀՀ հավաքական թիմերի մարզիկներին և նրանց մարզիչներին</w:t>
      </w:r>
      <w:r w:rsidR="00D027DA" w:rsidRPr="00B57DAB">
        <w:rPr>
          <w:rFonts w:ascii="GHEA Grapalat" w:hAnsi="GHEA Grapalat" w:cs="Sylfaen"/>
          <w:sz w:val="22"/>
          <w:szCs w:val="22"/>
        </w:rPr>
        <w:t xml:space="preserve"> </w:t>
      </w:r>
      <w:r w:rsidRPr="00B57DAB">
        <w:rPr>
          <w:rFonts w:ascii="GHEA Grapalat" w:hAnsi="GHEA Grapalat" w:cs="Sylfaen"/>
          <w:sz w:val="22"/>
          <w:szCs w:val="22"/>
        </w:rPr>
        <w:t>անվանական թոշակի հատկացման ծախսերի 5.9 անգամ (70.9 մլն դրամ) աճով, ինչպես նաև 2022 թ</w:t>
      </w:r>
      <w:r w:rsidR="002C1518" w:rsidRPr="00B57DAB">
        <w:rPr>
          <w:rFonts w:ascii="GHEA Grapalat" w:hAnsi="GHEA Grapalat" w:cs="Sylfaen"/>
          <w:sz w:val="22"/>
          <w:szCs w:val="22"/>
        </w:rPr>
        <w:t>վականին</w:t>
      </w:r>
      <w:r w:rsidRPr="00B57DAB">
        <w:rPr>
          <w:rFonts w:ascii="GHEA Grapalat" w:hAnsi="GHEA Grapalat" w:cs="Sylfaen"/>
          <w:sz w:val="22"/>
          <w:szCs w:val="22"/>
        </w:rPr>
        <w:t xml:space="preserve"> </w:t>
      </w:r>
      <w:r w:rsidRPr="00B57DAB">
        <w:rPr>
          <w:rFonts w:ascii="GHEA Grapalat" w:hAnsi="GHEA Grapalat" w:cs="Sylfaen"/>
          <w:sz w:val="22"/>
          <w:szCs w:val="22"/>
        </w:rPr>
        <w:lastRenderedPageBreak/>
        <w:t>Երևանում կայանալիք բռնցքամարտի Եվրոպայի առաջնության անցկացման ապահովման նպատակով միջոցների հատկացմամբ</w:t>
      </w:r>
      <w:r w:rsidR="0090367B" w:rsidRPr="00B57DAB">
        <w:rPr>
          <w:rFonts w:ascii="GHEA Grapalat" w:hAnsi="GHEA Grapalat" w:cs="Sylfaen"/>
          <w:sz w:val="22"/>
          <w:szCs w:val="22"/>
        </w:rPr>
        <w:t xml:space="preserve"> 77.8 մլն դրամի չափով</w:t>
      </w:r>
      <w:r w:rsidRPr="00B57DAB">
        <w:rPr>
          <w:rFonts w:ascii="GHEA Grapalat" w:hAnsi="GHEA Grapalat" w:cs="Sylfaen"/>
          <w:sz w:val="22"/>
          <w:szCs w:val="22"/>
        </w:rPr>
        <w:t>:</w:t>
      </w:r>
    </w:p>
    <w:p w:rsidR="005B7DCC" w:rsidRPr="00B57DAB" w:rsidRDefault="005B7DCC" w:rsidP="005B7DCC">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 xml:space="preserve">Հաշվետու ժամանակահատվածում շուրջ 2.2 մլրդ դրամ է տրամադրվել </w:t>
      </w:r>
      <w:r w:rsidRPr="00B57DAB">
        <w:rPr>
          <w:rFonts w:ascii="GHEA Grapalat" w:hAnsi="GHEA Grapalat" w:cs="Sylfaen"/>
          <w:i/>
          <w:sz w:val="22"/>
          <w:szCs w:val="22"/>
        </w:rPr>
        <w:t>Նախնական (արհեստագործական) և միջին մասնագիտական կրթության</w:t>
      </w:r>
      <w:r w:rsidRPr="00B57DAB">
        <w:rPr>
          <w:rFonts w:ascii="GHEA Grapalat" w:hAnsi="GHEA Grapalat" w:cs="Sylfaen"/>
          <w:sz w:val="22"/>
          <w:szCs w:val="22"/>
        </w:rPr>
        <w:t xml:space="preserve"> ծրագրին՝ ապահովելով 91.9% կատարողական: Չեն օգտագործվել ծրագրում ընդգրկված երկու միջոցառումների համար նախատեսված միջոցները: Մասնավորապես՝</w:t>
      </w:r>
      <w:r w:rsidR="00D027DA" w:rsidRPr="00B57DAB">
        <w:rPr>
          <w:rFonts w:ascii="GHEA Grapalat" w:hAnsi="GHEA Grapalat" w:cs="Sylfaen"/>
          <w:sz w:val="22"/>
          <w:szCs w:val="22"/>
        </w:rPr>
        <w:t xml:space="preserve"> </w:t>
      </w:r>
      <w:r w:rsidRPr="00B57DAB">
        <w:rPr>
          <w:rFonts w:ascii="GHEA Grapalat" w:hAnsi="GHEA Grapalat" w:cs="Sylfaen"/>
          <w:sz w:val="22"/>
          <w:szCs w:val="22"/>
        </w:rPr>
        <w:t>նախնական մասնագիտական (արհեստագործական) և միջին մասնագիտական ուսումնական հաստատությունների շենքային պայմանների բարելավման նպատակով ծրագրված 101.3 մլն դրամը</w:t>
      </w:r>
      <w:r w:rsidR="0090367B" w:rsidRPr="00B57DAB">
        <w:rPr>
          <w:rFonts w:ascii="GHEA Grapalat" w:hAnsi="GHEA Grapalat" w:cs="Sylfaen"/>
          <w:sz w:val="22"/>
          <w:szCs w:val="22"/>
        </w:rPr>
        <w:t xml:space="preserve"> չի օգտագործվել</w:t>
      </w:r>
      <w:r w:rsidRPr="00B57DAB">
        <w:rPr>
          <w:rFonts w:ascii="GHEA Grapalat" w:hAnsi="GHEA Grapalat" w:cs="Sylfaen"/>
          <w:sz w:val="22"/>
          <w:szCs w:val="22"/>
        </w:rPr>
        <w:t>` պայմանավորված</w:t>
      </w:r>
      <w:r w:rsidR="00D027DA" w:rsidRPr="00B57DAB">
        <w:rPr>
          <w:rFonts w:ascii="GHEA Grapalat" w:hAnsi="GHEA Grapalat" w:cs="Sylfaen"/>
          <w:sz w:val="22"/>
          <w:szCs w:val="22"/>
        </w:rPr>
        <w:t xml:space="preserve"> </w:t>
      </w:r>
      <w:r w:rsidRPr="00B57DAB">
        <w:rPr>
          <w:rFonts w:ascii="GHEA Grapalat" w:hAnsi="GHEA Grapalat" w:cs="Sylfaen"/>
          <w:sz w:val="22"/>
          <w:szCs w:val="22"/>
        </w:rPr>
        <w:t>կատարված աշխատանքների դիմաց կատարողական ակտեր ներկայացված չլինելու հանգամանքով։ Նախնական մասնագիտական (արհեստագործական) և միջին մասնագիտական ուսումնական հաստատությունների շենքերի կառուցման համար նախատեսված 23.3 մլն դրամը</w:t>
      </w:r>
      <w:r w:rsidR="0090367B" w:rsidRPr="00B57DAB">
        <w:rPr>
          <w:rFonts w:ascii="GHEA Grapalat" w:hAnsi="GHEA Grapalat" w:cs="Sylfaen"/>
          <w:sz w:val="22"/>
          <w:szCs w:val="22"/>
        </w:rPr>
        <w:t xml:space="preserve"> չի տրամադրվել</w:t>
      </w:r>
      <w:r w:rsidRPr="00B57DAB">
        <w:rPr>
          <w:rFonts w:ascii="GHEA Grapalat" w:hAnsi="GHEA Grapalat" w:cs="Sylfaen"/>
          <w:sz w:val="22"/>
          <w:szCs w:val="22"/>
        </w:rPr>
        <w:t>՝ պայմանավորված գնման գործընթացի բողոքարկմամբ, որի արդյունքում շինարարական աշխատանքների գնման պայմանագիր չի կնք</w:t>
      </w:r>
      <w:r w:rsidR="00B625ED" w:rsidRPr="00B57DAB">
        <w:rPr>
          <w:rFonts w:ascii="GHEA Grapalat" w:hAnsi="GHEA Grapalat" w:cs="Sylfaen"/>
          <w:sz w:val="22"/>
          <w:szCs w:val="22"/>
        </w:rPr>
        <w:t>վել: Ամբողջությամբ օգտագործվել է</w:t>
      </w:r>
      <w:r w:rsidRPr="00B57DAB">
        <w:rPr>
          <w:rFonts w:ascii="GHEA Grapalat" w:hAnsi="GHEA Grapalat" w:cs="Sylfaen"/>
          <w:sz w:val="22"/>
          <w:szCs w:val="22"/>
        </w:rPr>
        <w:t xml:space="preserve"> ծրագրում ընդգրկված միջոցառումներից 3-ի գծով նախատեսված 223.1 մլն դրամը: </w:t>
      </w:r>
    </w:p>
    <w:p w:rsidR="005B7DCC" w:rsidRPr="00B57DAB" w:rsidRDefault="005B7DCC" w:rsidP="005B7DCC">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Հաշվետու ժամանակա</w:t>
      </w:r>
      <w:r w:rsidR="00B625ED" w:rsidRPr="00B57DAB">
        <w:rPr>
          <w:rFonts w:ascii="GHEA Grapalat" w:hAnsi="GHEA Grapalat" w:cs="Sylfaen"/>
          <w:sz w:val="22"/>
          <w:szCs w:val="22"/>
        </w:rPr>
        <w:t>հատված</w:t>
      </w:r>
      <w:r w:rsidRPr="00B57DAB">
        <w:rPr>
          <w:rFonts w:ascii="GHEA Grapalat" w:hAnsi="GHEA Grapalat" w:cs="Sylfaen"/>
          <w:sz w:val="22"/>
          <w:szCs w:val="22"/>
        </w:rPr>
        <w:t>ում միջին մասնագիտական կրթության գծով ուսանողական նպաստների տրամադրման միջոցառման շրջանակներում նպաստ է տրամադրվել 16463 ուսանողի՝ կանխատեսված 21604-ի դիմաց: Հանրապետությունում 2022 թվականի</w:t>
      </w:r>
      <w:r w:rsidR="00D027DA" w:rsidRPr="00B57DAB">
        <w:rPr>
          <w:rFonts w:ascii="GHEA Grapalat" w:hAnsi="GHEA Grapalat" w:cs="Sylfaen"/>
          <w:sz w:val="22"/>
          <w:szCs w:val="22"/>
        </w:rPr>
        <w:t xml:space="preserve"> </w:t>
      </w:r>
      <w:r w:rsidRPr="00B57DAB">
        <w:rPr>
          <w:rFonts w:ascii="GHEA Grapalat" w:hAnsi="GHEA Grapalat" w:cs="Sylfaen"/>
          <w:sz w:val="22"/>
          <w:szCs w:val="22"/>
        </w:rPr>
        <w:t>առաջին եռամսյակում գործել է 69 միջին մասնագիտական պետական ուսումնական հաստատություն, միջին մասնագիտական կրթական ծրագիր է իրականացվել 78 պետական ուսումնական հաստատությունների կողմից՝ կանխատեսված 77-ի դիմաց, կարիերայի կենտրոնների ծառայություններից օգտվել է 16237 սովորող՝ կանխատեսված 5000-ի դիմաց: 2022 թվական</w:t>
      </w:r>
      <w:r w:rsidR="00B625ED" w:rsidRPr="00B57DAB">
        <w:rPr>
          <w:rFonts w:ascii="GHEA Grapalat" w:hAnsi="GHEA Grapalat" w:cs="Sylfaen"/>
          <w:sz w:val="22"/>
          <w:szCs w:val="22"/>
        </w:rPr>
        <w:t>ի</w:t>
      </w:r>
      <w:r w:rsidR="00D027DA" w:rsidRPr="00B57DAB">
        <w:rPr>
          <w:rFonts w:ascii="GHEA Grapalat" w:hAnsi="GHEA Grapalat" w:cs="Sylfaen"/>
          <w:sz w:val="22"/>
          <w:szCs w:val="22"/>
        </w:rPr>
        <w:t xml:space="preserve"> </w:t>
      </w:r>
      <w:r w:rsidR="00B625ED" w:rsidRPr="00B57DAB">
        <w:rPr>
          <w:rFonts w:ascii="GHEA Grapalat" w:hAnsi="GHEA Grapalat" w:cs="Sylfaen"/>
          <w:sz w:val="22"/>
          <w:szCs w:val="22"/>
        </w:rPr>
        <w:t>առաջին եռամսյակ</w:t>
      </w:r>
      <w:r w:rsidRPr="00B57DAB">
        <w:rPr>
          <w:rFonts w:ascii="GHEA Grapalat" w:hAnsi="GHEA Grapalat" w:cs="Sylfaen"/>
          <w:sz w:val="22"/>
          <w:szCs w:val="22"/>
        </w:rPr>
        <w:t>ում միջին մասնագիտական կրթության գծով ուսանողական նպաստների տրամադրմանն ուղղվել է ավելի քան 1.4 մլրդ դրամ, որը կազմել է նախատեսված հատկացումների 96.1%</w:t>
      </w:r>
      <w:r w:rsidRPr="00B57DAB">
        <w:rPr>
          <w:rFonts w:ascii="GHEA Grapalat" w:hAnsi="GHEA Grapalat" w:cs="Sylfaen"/>
          <w:sz w:val="22"/>
          <w:szCs w:val="22"/>
        </w:rPr>
        <w:noBreakHyphen/>
        <w:t>ը: Շեղումը հիմնականում պայմանավորված է նպաստ ստացող ուսանողների` կանխատեսվածից փոքր թվով:</w:t>
      </w:r>
    </w:p>
    <w:p w:rsidR="005B7DCC" w:rsidRPr="00B57DAB" w:rsidRDefault="005B7DCC" w:rsidP="005B7DCC">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Նախնական մասնագիտական (արհեստագործական) կրթության գծով ուսանողական նպաստների տրամադրման միջոցառման շրջանակներում նպաստ է տրամադրվել 5416 ուսանողի՝ կանխատեսված</w:t>
      </w:r>
      <w:r w:rsidR="00D027DA" w:rsidRPr="00B57DAB">
        <w:rPr>
          <w:rFonts w:ascii="GHEA Grapalat" w:hAnsi="GHEA Grapalat" w:cs="Sylfaen"/>
          <w:sz w:val="22"/>
          <w:szCs w:val="22"/>
        </w:rPr>
        <w:t xml:space="preserve"> </w:t>
      </w:r>
      <w:r w:rsidRPr="00B57DAB">
        <w:rPr>
          <w:rFonts w:ascii="GHEA Grapalat" w:hAnsi="GHEA Grapalat" w:cs="Sylfaen"/>
          <w:sz w:val="22"/>
          <w:szCs w:val="22"/>
        </w:rPr>
        <w:t>7843-ի դիմաց: Հանրապետությունո</w:t>
      </w:r>
      <w:r w:rsidR="00B625ED" w:rsidRPr="00B57DAB">
        <w:rPr>
          <w:rFonts w:ascii="GHEA Grapalat" w:hAnsi="GHEA Grapalat" w:cs="Sylfaen"/>
          <w:sz w:val="22"/>
          <w:szCs w:val="22"/>
        </w:rPr>
        <w:t>ւմ 2022 թվականի առաջին եռամսյակում</w:t>
      </w:r>
      <w:r w:rsidRPr="00B57DAB">
        <w:rPr>
          <w:rFonts w:ascii="GHEA Grapalat" w:hAnsi="GHEA Grapalat" w:cs="Sylfaen"/>
          <w:sz w:val="22"/>
          <w:szCs w:val="22"/>
        </w:rPr>
        <w:t xml:space="preserve"> գործել է 21 նախնական մասնագիտական (արհեստագործական) պետական ուսումնական հաստատություն, նախնական մասնագիտական (արհեստագործական) կրթական ծրագիր իրականացնող 57 պետական ուսումնական հաստատություն՝ կանխատեսված 55-ի դիմաց, կարիերայի կենտրոնների ծառայություններից օգտվել են 3218 սովորողներ՝ կանխատեսված 2000-ի դիմաց: 2022 թվականի առաջին եռամսյակում նախնական մասնագիտական (արհեստագործական) </w:t>
      </w:r>
      <w:r w:rsidRPr="00B57DAB">
        <w:rPr>
          <w:rFonts w:ascii="GHEA Grapalat" w:hAnsi="GHEA Grapalat" w:cs="Sylfaen"/>
          <w:sz w:val="22"/>
          <w:szCs w:val="22"/>
        </w:rPr>
        <w:lastRenderedPageBreak/>
        <w:t>կրթության գծով ուսանողական նպաստների ծախսերը կազմել են ավելի քան 522 մլն դրամ՝ ապահովելով 98.4% կատարողական: Շեղումը պայմանավորված է նպաստ ստացող ուսանողների` կանխատեսվածից փոքր թվով:</w:t>
      </w:r>
    </w:p>
    <w:p w:rsidR="005B7DCC" w:rsidRPr="00B57DAB" w:rsidRDefault="005B7DCC" w:rsidP="005B7DCC">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Նախորդ տարվա նույն ժամանակահատվածի համեմատ նախնական (արհեստագործական) և միջին մասնագիտական կրթության ծրագրի ծախսերն աճել են 1.1%-ով կամ 23.3 մլն դրամով` հիմնականում պայմանավորված միջին մասնագիտական</w:t>
      </w:r>
      <w:r w:rsidR="00D027DA" w:rsidRPr="00B57DAB">
        <w:rPr>
          <w:rFonts w:ascii="GHEA Grapalat" w:hAnsi="GHEA Grapalat" w:cs="Sylfaen"/>
          <w:sz w:val="22"/>
          <w:szCs w:val="22"/>
        </w:rPr>
        <w:t xml:space="preserve"> </w:t>
      </w:r>
      <w:r w:rsidRPr="00B57DAB">
        <w:rPr>
          <w:rFonts w:ascii="GHEA Grapalat" w:hAnsi="GHEA Grapalat" w:cs="Sylfaen"/>
          <w:sz w:val="22"/>
          <w:szCs w:val="22"/>
        </w:rPr>
        <w:t>և նախնական (արհեստագործական) կրթություն ստացող</w:t>
      </w:r>
      <w:r w:rsidR="00D027DA" w:rsidRPr="00B57DAB">
        <w:rPr>
          <w:rFonts w:ascii="GHEA Grapalat" w:hAnsi="GHEA Grapalat" w:cs="Sylfaen"/>
          <w:sz w:val="22"/>
          <w:szCs w:val="22"/>
        </w:rPr>
        <w:t xml:space="preserve"> </w:t>
      </w:r>
      <w:r w:rsidRPr="00B57DAB">
        <w:rPr>
          <w:rFonts w:ascii="GHEA Grapalat" w:hAnsi="GHEA Grapalat" w:cs="Sylfaen"/>
          <w:sz w:val="22"/>
          <w:szCs w:val="22"/>
        </w:rPr>
        <w:t>ուսանողների կրթաթոշակների</w:t>
      </w:r>
      <w:r w:rsidR="00D027DA" w:rsidRPr="00B57DAB">
        <w:rPr>
          <w:rFonts w:ascii="GHEA Grapalat" w:hAnsi="GHEA Grapalat" w:cs="Sylfaen"/>
          <w:sz w:val="22"/>
          <w:szCs w:val="22"/>
        </w:rPr>
        <w:t xml:space="preserve"> </w:t>
      </w:r>
      <w:r w:rsidRPr="00B57DAB">
        <w:rPr>
          <w:rFonts w:ascii="GHEA Grapalat" w:hAnsi="GHEA Grapalat" w:cs="Sylfaen"/>
          <w:sz w:val="22"/>
          <w:szCs w:val="22"/>
        </w:rPr>
        <w:t>ծախսերի</w:t>
      </w:r>
      <w:r w:rsidR="00D027DA" w:rsidRPr="00B57DAB">
        <w:rPr>
          <w:rFonts w:ascii="GHEA Grapalat" w:hAnsi="GHEA Grapalat" w:cs="Sylfaen"/>
          <w:sz w:val="22"/>
          <w:szCs w:val="22"/>
        </w:rPr>
        <w:t xml:space="preserve"> </w:t>
      </w:r>
      <w:r w:rsidRPr="00B57DAB">
        <w:rPr>
          <w:rFonts w:ascii="GHEA Grapalat" w:hAnsi="GHEA Grapalat" w:cs="Sylfaen"/>
          <w:sz w:val="22"/>
          <w:szCs w:val="22"/>
        </w:rPr>
        <w:t>համապատասխանաբար 44.1% (42.4 մլն դրամ) և 24.6% (15.5 մլն դրամ) աճով:</w:t>
      </w:r>
    </w:p>
    <w:p w:rsidR="005B7DCC" w:rsidRPr="00B57DAB" w:rsidRDefault="005B7DCC" w:rsidP="005B7DCC">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 xml:space="preserve">2022 թվականի առաջին եռամսյակի ընթացքում </w:t>
      </w:r>
      <w:r w:rsidRPr="00B57DAB">
        <w:rPr>
          <w:rFonts w:ascii="GHEA Grapalat" w:hAnsi="GHEA Grapalat" w:cs="Sylfaen"/>
          <w:i/>
          <w:sz w:val="22"/>
          <w:szCs w:val="22"/>
        </w:rPr>
        <w:t>Բարձրագույն և հետբուհական մասնագիտական կրթության</w:t>
      </w:r>
      <w:r w:rsidRPr="00B57DAB">
        <w:rPr>
          <w:rFonts w:ascii="GHEA Grapalat" w:hAnsi="GHEA Grapalat" w:cs="Sylfaen"/>
          <w:sz w:val="22"/>
          <w:szCs w:val="22"/>
        </w:rPr>
        <w:t xml:space="preserve"> ծրագրին տրամադրվել է շուրջ 2.7 մլրդ դրամ` ապահովելով ծրագրված ցուցանիշի 98.6% կատարողական: Ծրագրից շեղումը մեծ մասամբ առաջացել է բարձրագույն մասնագիտական կրթություն ստացող ուսանողների կրթաթոշակի գծով ծախսերում</w:t>
      </w:r>
      <w:r w:rsidR="00D027DA" w:rsidRPr="00B57DAB">
        <w:rPr>
          <w:rFonts w:ascii="GHEA Grapalat" w:hAnsi="GHEA Grapalat" w:cs="Sylfaen"/>
          <w:sz w:val="22"/>
          <w:szCs w:val="22"/>
        </w:rPr>
        <w:t>, որոնք</w:t>
      </w:r>
      <w:r w:rsidRPr="00B57DAB">
        <w:rPr>
          <w:rFonts w:ascii="GHEA Grapalat" w:hAnsi="GHEA Grapalat" w:cs="Sylfaen"/>
          <w:sz w:val="22"/>
          <w:szCs w:val="22"/>
        </w:rPr>
        <w:t xml:space="preserve"> կատարվել են 77.3%</w:t>
      </w:r>
      <w:r w:rsidRPr="00B57DAB">
        <w:rPr>
          <w:rFonts w:ascii="GHEA Grapalat" w:hAnsi="GHEA Grapalat" w:cs="Sylfaen"/>
          <w:sz w:val="22"/>
          <w:szCs w:val="22"/>
        </w:rPr>
        <w:noBreakHyphen/>
        <w:t>ով՝ կազմելով 123.8 մլն դրամ</w:t>
      </w:r>
      <w:r w:rsidR="00D027DA" w:rsidRPr="00B57DAB">
        <w:rPr>
          <w:rFonts w:ascii="GHEA Grapalat" w:hAnsi="GHEA Grapalat" w:cs="Sylfaen"/>
          <w:sz w:val="22"/>
          <w:szCs w:val="22"/>
        </w:rPr>
        <w:t>: Շեղումը</w:t>
      </w:r>
      <w:r w:rsidRPr="00B57DAB">
        <w:rPr>
          <w:rFonts w:ascii="GHEA Grapalat" w:hAnsi="GHEA Grapalat" w:cs="Sylfaen"/>
          <w:sz w:val="22"/>
          <w:szCs w:val="22"/>
        </w:rPr>
        <w:t xml:space="preserve"> պայմանավորվա</w:t>
      </w:r>
      <w:r w:rsidR="00D027DA" w:rsidRPr="00B57DAB">
        <w:rPr>
          <w:rFonts w:ascii="GHEA Grapalat" w:hAnsi="GHEA Grapalat" w:cs="Sylfaen"/>
          <w:sz w:val="22"/>
          <w:szCs w:val="22"/>
        </w:rPr>
        <w:t>ծ է բանկային համակարգի խնդիրներով, որոնց</w:t>
      </w:r>
      <w:r w:rsidRPr="00B57DAB">
        <w:rPr>
          <w:rFonts w:ascii="GHEA Grapalat" w:hAnsi="GHEA Grapalat" w:cs="Sylfaen"/>
          <w:sz w:val="22"/>
          <w:szCs w:val="22"/>
        </w:rPr>
        <w:t xml:space="preserve"> պատճառով հնարավոր չի եղել</w:t>
      </w:r>
      <w:r w:rsidR="00D027DA" w:rsidRPr="00B57DAB">
        <w:rPr>
          <w:rFonts w:ascii="GHEA Grapalat" w:hAnsi="GHEA Grapalat" w:cs="Sylfaen"/>
          <w:sz w:val="22"/>
          <w:szCs w:val="22"/>
        </w:rPr>
        <w:t xml:space="preserve"> փոխանցել</w:t>
      </w:r>
      <w:r w:rsidRPr="00B57DAB">
        <w:rPr>
          <w:rFonts w:ascii="GHEA Grapalat" w:hAnsi="GHEA Grapalat" w:cs="Sylfaen"/>
          <w:sz w:val="22"/>
          <w:szCs w:val="22"/>
        </w:rPr>
        <w:t xml:space="preserve"> արտերկրում սովորող ուսանողների առաջին եռամսյակի կրթաթոշակները, որի արդյունքում վճարումը տեղափոխվել է հաջորդ եռամսյակ: 2022 թվականի առաջին եռամսյակի ընթացքում կրթաթոշակ ստացող ուսանողների փաստացի միջին թիվը կազմել է 9078՝ կանխատեսված 9689-ի դիմաց: </w:t>
      </w:r>
    </w:p>
    <w:p w:rsidR="005B7DCC" w:rsidRPr="00B57DAB" w:rsidRDefault="005B7DCC" w:rsidP="005B7DCC">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Բարձրագույն և հետբուհական մասնագիտական կրթության ծրագրի ծախսերում մեծ տեսակարար կշիռ ունեն բարձրագույն մասնագիտական կրթության գծով ուսանողական նպաստների տրամադրման ծախսերը, որոնք կատարվել են նախատեսված ծավալով՝ կազմելով 2.3 մլրդ դրամ։ Միջոցառման շրջանակներում ուսանողական նպաստ է ստացել 10654 ուսանող, որոնցից 695-ը ստացել է ուսման վարձավճարի լրիվ փոխհատուցում:</w:t>
      </w:r>
    </w:p>
    <w:p w:rsidR="005B7DCC" w:rsidRPr="00B57DAB" w:rsidRDefault="005B7DCC" w:rsidP="005B7DCC">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 xml:space="preserve">Ծրագրում ընդգրկված </w:t>
      </w:r>
      <w:r w:rsidR="00832189" w:rsidRPr="00B57DAB">
        <w:rPr>
          <w:rFonts w:ascii="GHEA Grapalat" w:hAnsi="GHEA Grapalat" w:cs="Sylfaen"/>
          <w:sz w:val="22"/>
          <w:szCs w:val="22"/>
        </w:rPr>
        <w:t>6</w:t>
      </w:r>
      <w:r w:rsidRPr="00B57DAB">
        <w:rPr>
          <w:rFonts w:ascii="GHEA Grapalat" w:hAnsi="GHEA Grapalat" w:cs="Sylfaen"/>
          <w:sz w:val="22"/>
          <w:szCs w:val="22"/>
        </w:rPr>
        <w:t xml:space="preserve"> միջոցառումների համար նախատեսված միջոցները նույնպես ամբողջությամբ օգտագործվել են՝ կազմելով 247.6 մլն դրամ:</w:t>
      </w:r>
    </w:p>
    <w:p w:rsidR="005B7DCC" w:rsidRPr="00B57DAB" w:rsidRDefault="005B7DCC" w:rsidP="005B7DCC">
      <w:pPr>
        <w:autoSpaceDE w:val="0"/>
        <w:autoSpaceDN w:val="0"/>
        <w:adjustRightInd w:val="0"/>
        <w:spacing w:line="360" w:lineRule="auto"/>
        <w:ind w:firstLine="567"/>
        <w:jc w:val="both"/>
        <w:rPr>
          <w:rFonts w:ascii="GHEA Grapalat" w:hAnsi="GHEA Grapalat" w:cs="Sylfaen"/>
          <w:sz w:val="22"/>
          <w:szCs w:val="22"/>
        </w:rPr>
      </w:pPr>
      <w:proofErr w:type="gramStart"/>
      <w:r w:rsidRPr="00B57DAB">
        <w:rPr>
          <w:rFonts w:ascii="GHEA Grapalat" w:hAnsi="GHEA Grapalat" w:cs="Sylfaen"/>
          <w:sz w:val="22"/>
          <w:szCs w:val="22"/>
        </w:rPr>
        <w:t xml:space="preserve">Նախորդ տարվա առաջին եռամսյակի համեմատ Բարձրագույն և հետբուհական մասնագիտական կրթության ծրագրի ծախսերն աճել են 6.1%-ով կամ 153.6 մլն դրամով` հիմնականում </w:t>
      </w:r>
      <w:r w:rsidR="00CE2C79" w:rsidRPr="00B57DAB">
        <w:rPr>
          <w:rFonts w:ascii="GHEA Grapalat" w:hAnsi="GHEA Grapalat" w:cs="Sylfaen"/>
          <w:sz w:val="22"/>
          <w:szCs w:val="22"/>
        </w:rPr>
        <w:t xml:space="preserve">պայմանավորված </w:t>
      </w:r>
      <w:r w:rsidRPr="00B57DAB">
        <w:rPr>
          <w:rFonts w:ascii="GHEA Grapalat" w:hAnsi="GHEA Grapalat" w:cs="Sylfaen"/>
          <w:sz w:val="22"/>
          <w:szCs w:val="22"/>
        </w:rPr>
        <w:t>բարձրագույն մասնագիտական կրթության գծով ուսանողական նպաստների տրամադրման գծով ծախսերի 24.7% (455.8 մլն դրամ) աճով:</w:t>
      </w:r>
      <w:proofErr w:type="gramEnd"/>
    </w:p>
    <w:p w:rsidR="005B7DCC" w:rsidRPr="00B57DAB" w:rsidRDefault="005B7DCC" w:rsidP="005B7DCC">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 xml:space="preserve">2022 թվականի առաջին եռամսյակի ընթացքում շուրջ 19.6 մլրդ դրամ է օգտագործվել </w:t>
      </w:r>
      <w:r w:rsidRPr="00B57DAB">
        <w:rPr>
          <w:rFonts w:ascii="GHEA Grapalat" w:hAnsi="GHEA Grapalat" w:cs="Sylfaen"/>
          <w:i/>
          <w:sz w:val="22"/>
          <w:szCs w:val="22"/>
        </w:rPr>
        <w:t>Հանրակրթության</w:t>
      </w:r>
      <w:r w:rsidRPr="00B57DAB">
        <w:rPr>
          <w:rFonts w:ascii="GHEA Grapalat" w:hAnsi="GHEA Grapalat" w:cs="Sylfaen"/>
          <w:sz w:val="22"/>
          <w:szCs w:val="22"/>
        </w:rPr>
        <w:t xml:space="preserve"> ծրագրի շրջանակներում՝ ապահովելով 92.8% կատարողական: Շեղումը հիմնականում պայմանավորված է ծրագրի ծախսերում մեծ տեսակարար կշիռ ունեցող տարրական, հիմնական և միջնակարգ ընդհանուր հանրակրթության միջոցառումների կատարողականով, ինչպես նաև «Մոդուլային» տիպի մանկապարտեզների շենքային ապահովման նպատակով </w:t>
      </w:r>
      <w:r w:rsidRPr="00B57DAB">
        <w:rPr>
          <w:rFonts w:ascii="GHEA Grapalat" w:hAnsi="GHEA Grapalat" w:cs="Sylfaen"/>
          <w:sz w:val="22"/>
          <w:szCs w:val="22"/>
        </w:rPr>
        <w:lastRenderedPageBreak/>
        <w:t>նախատեսված շուրջ 421 մլն դրամը չօգտագործելու</w:t>
      </w:r>
      <w:r w:rsidR="00D027DA" w:rsidRPr="00B57DAB">
        <w:rPr>
          <w:rFonts w:ascii="GHEA Grapalat" w:hAnsi="GHEA Grapalat" w:cs="Sylfaen"/>
          <w:sz w:val="22"/>
          <w:szCs w:val="22"/>
        </w:rPr>
        <w:t xml:space="preserve"> </w:t>
      </w:r>
      <w:r w:rsidRPr="00B57DAB">
        <w:rPr>
          <w:rFonts w:ascii="GHEA Grapalat" w:hAnsi="GHEA Grapalat" w:cs="Sylfaen"/>
          <w:sz w:val="22"/>
          <w:szCs w:val="22"/>
        </w:rPr>
        <w:t xml:space="preserve">հանգամանքով: Վերջինս պայմանավորված է </w:t>
      </w:r>
      <w:r w:rsidR="00CE2C79" w:rsidRPr="00B57DAB">
        <w:rPr>
          <w:rFonts w:ascii="GHEA Grapalat" w:hAnsi="GHEA Grapalat" w:cs="Sylfaen"/>
          <w:sz w:val="22"/>
          <w:szCs w:val="22"/>
        </w:rPr>
        <w:t xml:space="preserve">կառուցվելիք 10 օբյկետից 8-ի նախագծերը պետական համալիր փորձաքննության փուլում գտնվելու, ինչպես նաև </w:t>
      </w:r>
      <w:r w:rsidRPr="00B57DAB">
        <w:rPr>
          <w:rFonts w:ascii="GHEA Grapalat" w:hAnsi="GHEA Grapalat" w:cs="Sylfaen"/>
          <w:sz w:val="22"/>
          <w:szCs w:val="22"/>
        </w:rPr>
        <w:t>կատարված աշխատանքների</w:t>
      </w:r>
      <w:r w:rsidR="00D027DA" w:rsidRPr="00B57DAB">
        <w:rPr>
          <w:rFonts w:ascii="GHEA Grapalat" w:hAnsi="GHEA Grapalat" w:cs="Sylfaen"/>
          <w:sz w:val="22"/>
          <w:szCs w:val="22"/>
        </w:rPr>
        <w:t xml:space="preserve"> </w:t>
      </w:r>
      <w:r w:rsidR="00CE2C79" w:rsidRPr="00B57DAB">
        <w:rPr>
          <w:rFonts w:ascii="GHEA Grapalat" w:hAnsi="GHEA Grapalat" w:cs="Sylfaen"/>
          <w:sz w:val="22"/>
          <w:szCs w:val="22"/>
        </w:rPr>
        <w:t>դիմաց հաշվետու ժամանակահատված</w:t>
      </w:r>
      <w:r w:rsidRPr="00B57DAB">
        <w:rPr>
          <w:rFonts w:ascii="GHEA Grapalat" w:hAnsi="GHEA Grapalat" w:cs="Sylfaen"/>
          <w:sz w:val="22"/>
          <w:szCs w:val="22"/>
        </w:rPr>
        <w:t>ում կատարողական ակտեր չներկայացվելու</w:t>
      </w:r>
      <w:r w:rsidR="00CE2C79" w:rsidRPr="00B57DAB">
        <w:rPr>
          <w:rFonts w:ascii="GHEA Grapalat" w:hAnsi="GHEA Grapalat" w:cs="Sylfaen"/>
          <w:sz w:val="22"/>
          <w:szCs w:val="22"/>
        </w:rPr>
        <w:t xml:space="preserve"> հանգամանքով և</w:t>
      </w:r>
      <w:r w:rsidRPr="00B57DAB">
        <w:rPr>
          <w:rFonts w:ascii="GHEA Grapalat" w:hAnsi="GHEA Grapalat" w:cs="Sylfaen"/>
          <w:sz w:val="22"/>
          <w:szCs w:val="22"/>
        </w:rPr>
        <w:t xml:space="preserve"> հողահատկացման խնդիրներով:</w:t>
      </w:r>
    </w:p>
    <w:p w:rsidR="005B7DCC" w:rsidRPr="00B57DAB" w:rsidRDefault="005B7DCC" w:rsidP="005B7DCC">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Ընդհանուր հանրակրթության</w:t>
      </w:r>
      <w:r w:rsidR="00D027DA" w:rsidRPr="00B57DAB">
        <w:rPr>
          <w:rFonts w:ascii="GHEA Grapalat" w:hAnsi="GHEA Grapalat" w:cs="Sylfaen"/>
          <w:sz w:val="22"/>
          <w:szCs w:val="22"/>
        </w:rPr>
        <w:t xml:space="preserve"> </w:t>
      </w:r>
      <w:r w:rsidRPr="00B57DAB">
        <w:rPr>
          <w:rFonts w:ascii="GHEA Grapalat" w:hAnsi="GHEA Grapalat" w:cs="Sylfaen"/>
          <w:sz w:val="22"/>
          <w:szCs w:val="22"/>
        </w:rPr>
        <w:t>ծախսերը հաշվետու ժամանակա</w:t>
      </w:r>
      <w:r w:rsidR="00CE2C79" w:rsidRPr="00B57DAB">
        <w:rPr>
          <w:rFonts w:ascii="GHEA Grapalat" w:hAnsi="GHEA Grapalat" w:cs="Sylfaen"/>
          <w:sz w:val="22"/>
          <w:szCs w:val="22"/>
        </w:rPr>
        <w:t>հատված</w:t>
      </w:r>
      <w:r w:rsidRPr="00B57DAB">
        <w:rPr>
          <w:rFonts w:ascii="GHEA Grapalat" w:hAnsi="GHEA Grapalat" w:cs="Sylfaen"/>
          <w:sz w:val="22"/>
          <w:szCs w:val="22"/>
        </w:rPr>
        <w:t>ում կատարվել են 94.9%-ով՝ կազմելով 17.8 մլրդ դրամ: Շեղումները հիմնականում պայմանավորված են աշակերտների փաստացի թվով, ինչպես նաև տարեկան հատկացված գումարների եռամսյակային բաշխմամբ:</w:t>
      </w:r>
    </w:p>
    <w:p w:rsidR="005B7DCC" w:rsidRPr="00B57DAB" w:rsidRDefault="005B7DCC" w:rsidP="005B7DCC">
      <w:pPr>
        <w:autoSpaceDE w:val="0"/>
        <w:autoSpaceDN w:val="0"/>
        <w:adjustRightInd w:val="0"/>
        <w:spacing w:line="360" w:lineRule="auto"/>
        <w:ind w:firstLine="567"/>
        <w:jc w:val="both"/>
        <w:rPr>
          <w:rFonts w:ascii="GHEA Grapalat" w:hAnsi="GHEA Grapalat" w:cs="Sylfaen"/>
          <w:sz w:val="22"/>
          <w:szCs w:val="22"/>
        </w:rPr>
      </w:pPr>
    </w:p>
    <w:p w:rsidR="005B7DCC" w:rsidRPr="00B57DAB" w:rsidRDefault="005B7DCC" w:rsidP="00770F24">
      <w:pPr>
        <w:pStyle w:val="Caption"/>
        <w:keepNext/>
        <w:numPr>
          <w:ilvl w:val="0"/>
          <w:numId w:val="8"/>
        </w:numPr>
        <w:tabs>
          <w:tab w:val="left" w:pos="1276"/>
        </w:tabs>
        <w:ind w:left="0" w:firstLine="0"/>
        <w:jc w:val="left"/>
        <w:rPr>
          <w:rFonts w:ascii="GHEA Grapalat" w:hAnsi="GHEA Grapalat"/>
          <w:i/>
          <w:sz w:val="18"/>
          <w:szCs w:val="18"/>
          <w:lang w:val="en-US"/>
        </w:rPr>
      </w:pPr>
      <w:r w:rsidRPr="00B57DAB">
        <w:rPr>
          <w:rFonts w:ascii="GHEA Grapalat" w:hAnsi="GHEA Grapalat"/>
          <w:i/>
          <w:sz w:val="18"/>
          <w:szCs w:val="18"/>
          <w:lang w:val="en-US"/>
        </w:rPr>
        <w:t>Ընդհանուր հանրակրթության համակարգի ցուցանիշները</w:t>
      </w:r>
    </w:p>
    <w:tbl>
      <w:tblPr>
        <w:tblW w:w="10206" w:type="dxa"/>
        <w:tblInd w:w="108" w:type="dxa"/>
        <w:tblLayout w:type="fixed"/>
        <w:tblLook w:val="04A0" w:firstRow="1" w:lastRow="0" w:firstColumn="1" w:lastColumn="0" w:noHBand="0" w:noVBand="1"/>
      </w:tblPr>
      <w:tblGrid>
        <w:gridCol w:w="2835"/>
        <w:gridCol w:w="1276"/>
        <w:gridCol w:w="1276"/>
        <w:gridCol w:w="1276"/>
        <w:gridCol w:w="1134"/>
        <w:gridCol w:w="1134"/>
        <w:gridCol w:w="1275"/>
      </w:tblGrid>
      <w:tr w:rsidR="005B7DCC" w:rsidRPr="00B57DAB" w:rsidTr="005E1FD9">
        <w:trPr>
          <w:trHeight w:val="1089"/>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DCC" w:rsidRPr="00B57DAB" w:rsidRDefault="005B7DCC" w:rsidP="005B7DCC">
            <w:pPr>
              <w:rPr>
                <w:rFonts w:ascii="Calibri" w:hAnsi="Calibri" w:cs="Calibri"/>
                <w:sz w:val="18"/>
                <w:szCs w:val="18"/>
              </w:rPr>
            </w:pPr>
            <w:r w:rsidRPr="00B57DAB">
              <w:rPr>
                <w:rFonts w:ascii="Calibri" w:hAnsi="Calibri" w:cs="Calibri"/>
                <w:sz w:val="18"/>
                <w:szCs w:val="18"/>
              </w:rPr>
              <w:t> </w:t>
            </w:r>
          </w:p>
        </w:tc>
        <w:tc>
          <w:tcPr>
            <w:tcW w:w="1276" w:type="dxa"/>
            <w:tcBorders>
              <w:top w:val="single" w:sz="4" w:space="0" w:color="auto"/>
              <w:left w:val="nil"/>
              <w:bottom w:val="single" w:sz="4" w:space="0" w:color="auto"/>
              <w:right w:val="single" w:sz="4" w:space="0" w:color="auto"/>
            </w:tcBorders>
            <w:shd w:val="clear" w:color="auto" w:fill="auto"/>
            <w:hideMark/>
          </w:tcPr>
          <w:p w:rsidR="005B7DCC" w:rsidRPr="00B57DAB" w:rsidRDefault="005B7DCC" w:rsidP="005E1FD9">
            <w:pPr>
              <w:jc w:val="center"/>
              <w:rPr>
                <w:rFonts w:ascii="GHEA Grapalat" w:hAnsi="GHEA Grapalat"/>
                <w:b/>
                <w:sz w:val="18"/>
                <w:szCs w:val="18"/>
              </w:rPr>
            </w:pPr>
            <w:r w:rsidRPr="00B57DAB">
              <w:rPr>
                <w:rFonts w:ascii="GHEA Grapalat" w:hAnsi="GHEA Grapalat"/>
                <w:b/>
                <w:color w:val="000000"/>
                <w:sz w:val="18"/>
                <w:szCs w:val="18"/>
                <w:lang w:val="hy-AM"/>
              </w:rPr>
              <w:t>2021թ. առաջին եռամս</w:t>
            </w:r>
            <w:r w:rsidR="005E1FD9" w:rsidRPr="00B57DAB">
              <w:rPr>
                <w:rFonts w:ascii="GHEA Grapalat" w:hAnsi="GHEA Grapalat"/>
                <w:b/>
                <w:color w:val="000000"/>
                <w:sz w:val="18"/>
                <w:szCs w:val="18"/>
              </w:rPr>
              <w:t>-</w:t>
            </w:r>
            <w:r w:rsidRPr="00B57DAB">
              <w:rPr>
                <w:rFonts w:ascii="GHEA Grapalat" w:hAnsi="GHEA Grapalat"/>
                <w:b/>
                <w:color w:val="000000"/>
                <w:sz w:val="18"/>
                <w:szCs w:val="18"/>
                <w:lang w:val="hy-AM"/>
              </w:rPr>
              <w:t xml:space="preserve">յակում </w:t>
            </w:r>
            <w:r w:rsidRPr="00B57DAB">
              <w:rPr>
                <w:rFonts w:ascii="GHEA Grapalat" w:hAnsi="GHEA Grapalat"/>
                <w:b/>
                <w:sz w:val="18"/>
                <w:szCs w:val="18"/>
                <w:lang w:val="hy-AM"/>
              </w:rPr>
              <w:t>սովորող</w:t>
            </w:r>
            <w:r w:rsidR="005E1FD9" w:rsidRPr="00B57DAB">
              <w:rPr>
                <w:rFonts w:ascii="GHEA Grapalat" w:hAnsi="GHEA Grapalat"/>
                <w:b/>
                <w:sz w:val="18"/>
                <w:szCs w:val="18"/>
              </w:rPr>
              <w:t>-</w:t>
            </w:r>
            <w:r w:rsidRPr="00B57DAB">
              <w:rPr>
                <w:rFonts w:ascii="GHEA Grapalat" w:hAnsi="GHEA Grapalat"/>
                <w:b/>
                <w:sz w:val="18"/>
                <w:szCs w:val="18"/>
                <w:lang w:val="hy-AM"/>
              </w:rPr>
              <w:t>ների փաստացի թիվ</w:t>
            </w:r>
          </w:p>
        </w:tc>
        <w:tc>
          <w:tcPr>
            <w:tcW w:w="1276" w:type="dxa"/>
            <w:tcBorders>
              <w:top w:val="single" w:sz="4" w:space="0" w:color="auto"/>
              <w:left w:val="nil"/>
              <w:bottom w:val="single" w:sz="4" w:space="0" w:color="auto"/>
              <w:right w:val="single" w:sz="4" w:space="0" w:color="auto"/>
            </w:tcBorders>
            <w:shd w:val="clear" w:color="auto" w:fill="auto"/>
            <w:hideMark/>
          </w:tcPr>
          <w:p w:rsidR="005B7DCC" w:rsidRPr="00B57DAB" w:rsidRDefault="005B7DCC" w:rsidP="005B7DCC">
            <w:pPr>
              <w:jc w:val="center"/>
              <w:rPr>
                <w:rFonts w:ascii="GHEA Grapalat" w:hAnsi="GHEA Grapalat"/>
                <w:b/>
                <w:color w:val="000000"/>
                <w:sz w:val="18"/>
                <w:szCs w:val="18"/>
                <w:lang w:val="hy-AM"/>
              </w:rPr>
            </w:pPr>
            <w:r w:rsidRPr="00B57DAB">
              <w:rPr>
                <w:rFonts w:ascii="GHEA Grapalat" w:hAnsi="GHEA Grapalat"/>
                <w:b/>
                <w:color w:val="000000"/>
                <w:sz w:val="18"/>
                <w:szCs w:val="18"/>
                <w:lang w:val="hy-AM"/>
              </w:rPr>
              <w:t>2022թ. առաջին եռամս</w:t>
            </w:r>
            <w:r w:rsidR="005E1FD9" w:rsidRPr="00B57DAB">
              <w:rPr>
                <w:rFonts w:ascii="GHEA Grapalat" w:hAnsi="GHEA Grapalat"/>
                <w:b/>
                <w:color w:val="000000"/>
                <w:sz w:val="18"/>
                <w:szCs w:val="18"/>
              </w:rPr>
              <w:t>-</w:t>
            </w:r>
            <w:r w:rsidRPr="00B57DAB">
              <w:rPr>
                <w:rFonts w:ascii="GHEA Grapalat" w:hAnsi="GHEA Grapalat"/>
                <w:b/>
                <w:color w:val="000000"/>
                <w:sz w:val="18"/>
                <w:szCs w:val="18"/>
                <w:lang w:val="hy-AM"/>
              </w:rPr>
              <w:t xml:space="preserve">յակում </w:t>
            </w:r>
            <w:r w:rsidRPr="00B57DAB">
              <w:rPr>
                <w:rFonts w:ascii="GHEA Grapalat" w:hAnsi="GHEA Grapalat"/>
                <w:b/>
                <w:sz w:val="18"/>
                <w:szCs w:val="18"/>
                <w:lang w:val="hy-AM"/>
              </w:rPr>
              <w:t>սովորող</w:t>
            </w:r>
            <w:r w:rsidR="005E1FD9" w:rsidRPr="00B57DAB">
              <w:rPr>
                <w:rFonts w:ascii="GHEA Grapalat" w:hAnsi="GHEA Grapalat"/>
                <w:b/>
                <w:sz w:val="18"/>
                <w:szCs w:val="18"/>
              </w:rPr>
              <w:t>-</w:t>
            </w:r>
            <w:r w:rsidRPr="00B57DAB">
              <w:rPr>
                <w:rFonts w:ascii="GHEA Grapalat" w:hAnsi="GHEA Grapalat"/>
                <w:b/>
                <w:sz w:val="18"/>
                <w:szCs w:val="18"/>
                <w:lang w:val="hy-AM"/>
              </w:rPr>
              <w:t>ների փաստացի թիվ</w:t>
            </w:r>
          </w:p>
        </w:tc>
        <w:tc>
          <w:tcPr>
            <w:tcW w:w="1276" w:type="dxa"/>
            <w:tcBorders>
              <w:top w:val="single" w:sz="4" w:space="0" w:color="auto"/>
              <w:left w:val="nil"/>
              <w:bottom w:val="single" w:sz="4" w:space="0" w:color="auto"/>
              <w:right w:val="single" w:sz="4" w:space="0" w:color="auto"/>
            </w:tcBorders>
            <w:shd w:val="clear" w:color="auto" w:fill="auto"/>
            <w:noWrap/>
            <w:hideMark/>
          </w:tcPr>
          <w:p w:rsidR="005B7DCC" w:rsidRPr="00B57DAB" w:rsidRDefault="005B7DCC" w:rsidP="005839B5">
            <w:pPr>
              <w:jc w:val="center"/>
              <w:rPr>
                <w:rFonts w:ascii="GHEA Grapalat" w:hAnsi="GHEA Grapalat"/>
                <w:b/>
                <w:color w:val="000000"/>
                <w:sz w:val="18"/>
                <w:szCs w:val="18"/>
                <w:lang w:val="hy-AM"/>
              </w:rPr>
            </w:pPr>
            <w:r w:rsidRPr="00B57DAB">
              <w:rPr>
                <w:rFonts w:ascii="GHEA Grapalat" w:hAnsi="GHEA Grapalat"/>
                <w:b/>
                <w:color w:val="000000"/>
                <w:sz w:val="18"/>
                <w:szCs w:val="18"/>
                <w:lang w:val="hy-AM"/>
              </w:rPr>
              <w:t>2022թ. առաջին եռամսյակ</w:t>
            </w:r>
            <w:r w:rsidR="005839B5" w:rsidRPr="00B57DAB">
              <w:rPr>
                <w:rFonts w:ascii="GHEA Grapalat" w:hAnsi="GHEA Grapalat"/>
                <w:b/>
                <w:color w:val="000000"/>
                <w:sz w:val="18"/>
                <w:szCs w:val="18"/>
              </w:rPr>
              <w:t>ի</w:t>
            </w:r>
            <w:r w:rsidRPr="00B57DAB">
              <w:rPr>
                <w:rFonts w:ascii="GHEA Grapalat" w:hAnsi="GHEA Grapalat"/>
                <w:b/>
                <w:color w:val="000000"/>
                <w:sz w:val="18"/>
                <w:szCs w:val="18"/>
                <w:lang w:val="hy-AM"/>
              </w:rPr>
              <w:t xml:space="preserve"> և 2021թ. առաջին եռամսյակի տարբե-րությունը</w:t>
            </w:r>
          </w:p>
        </w:tc>
        <w:tc>
          <w:tcPr>
            <w:tcW w:w="1134" w:type="dxa"/>
            <w:tcBorders>
              <w:top w:val="single" w:sz="4" w:space="0" w:color="auto"/>
              <w:left w:val="nil"/>
              <w:bottom w:val="single" w:sz="4" w:space="0" w:color="auto"/>
              <w:right w:val="single" w:sz="4" w:space="0" w:color="auto"/>
            </w:tcBorders>
            <w:shd w:val="clear" w:color="auto" w:fill="auto"/>
            <w:hideMark/>
          </w:tcPr>
          <w:p w:rsidR="005B7DCC" w:rsidRPr="00B57DAB" w:rsidRDefault="005B7DCC" w:rsidP="005B7DCC">
            <w:pPr>
              <w:jc w:val="center"/>
              <w:rPr>
                <w:rFonts w:ascii="GHEA Grapalat" w:hAnsi="GHEA Grapalat"/>
                <w:b/>
                <w:color w:val="000000"/>
                <w:sz w:val="18"/>
                <w:szCs w:val="18"/>
                <w:lang w:val="hy-AM"/>
              </w:rPr>
            </w:pPr>
            <w:r w:rsidRPr="00B57DAB">
              <w:rPr>
                <w:rFonts w:ascii="GHEA Grapalat" w:hAnsi="GHEA Grapalat"/>
                <w:b/>
                <w:color w:val="000000"/>
                <w:sz w:val="18"/>
                <w:szCs w:val="18"/>
                <w:lang w:val="hy-AM"/>
              </w:rPr>
              <w:t>2021թ. առաջին եռամս</w:t>
            </w:r>
            <w:r w:rsidR="005E1FD9" w:rsidRPr="00B57DAB">
              <w:rPr>
                <w:rFonts w:ascii="GHEA Grapalat" w:hAnsi="GHEA Grapalat"/>
                <w:b/>
                <w:color w:val="000000"/>
                <w:sz w:val="18"/>
                <w:szCs w:val="18"/>
              </w:rPr>
              <w:t>-</w:t>
            </w:r>
            <w:r w:rsidRPr="00B57DAB">
              <w:rPr>
                <w:rFonts w:ascii="GHEA Grapalat" w:hAnsi="GHEA Grapalat"/>
                <w:b/>
                <w:color w:val="000000"/>
                <w:sz w:val="18"/>
                <w:szCs w:val="18"/>
                <w:lang w:val="hy-AM"/>
              </w:rPr>
              <w:t>յակի փաստ</w:t>
            </w:r>
          </w:p>
          <w:p w:rsidR="005B7DCC" w:rsidRPr="00B57DAB" w:rsidRDefault="005B7DCC" w:rsidP="005B7DCC">
            <w:pPr>
              <w:jc w:val="center"/>
              <w:rPr>
                <w:rFonts w:ascii="GHEA Grapalat" w:hAnsi="GHEA Grapalat"/>
                <w:b/>
                <w:color w:val="000000"/>
                <w:sz w:val="18"/>
                <w:szCs w:val="18"/>
                <w:lang w:val="hy-AM"/>
              </w:rPr>
            </w:pPr>
            <w:r w:rsidRPr="00B57DAB">
              <w:rPr>
                <w:rFonts w:ascii="GHEA Grapalat" w:hAnsi="GHEA Grapalat"/>
                <w:b/>
                <w:color w:val="000000"/>
                <w:sz w:val="18"/>
                <w:szCs w:val="18"/>
                <w:lang w:val="hy-AM"/>
              </w:rPr>
              <w:t>(մլն դրամ)</w:t>
            </w:r>
          </w:p>
        </w:tc>
        <w:tc>
          <w:tcPr>
            <w:tcW w:w="1134" w:type="dxa"/>
            <w:tcBorders>
              <w:top w:val="single" w:sz="4" w:space="0" w:color="auto"/>
              <w:left w:val="nil"/>
              <w:bottom w:val="single" w:sz="4" w:space="0" w:color="auto"/>
              <w:right w:val="single" w:sz="4" w:space="0" w:color="auto"/>
            </w:tcBorders>
            <w:shd w:val="clear" w:color="auto" w:fill="auto"/>
            <w:hideMark/>
          </w:tcPr>
          <w:p w:rsidR="005B7DCC" w:rsidRPr="00B57DAB" w:rsidRDefault="005B7DCC" w:rsidP="005B7DCC">
            <w:pPr>
              <w:jc w:val="center"/>
              <w:rPr>
                <w:rFonts w:ascii="GHEA Grapalat" w:hAnsi="GHEA Grapalat"/>
                <w:b/>
                <w:color w:val="000000"/>
                <w:sz w:val="18"/>
                <w:szCs w:val="18"/>
                <w:lang w:val="hy-AM"/>
              </w:rPr>
            </w:pPr>
            <w:r w:rsidRPr="00B57DAB">
              <w:rPr>
                <w:rFonts w:ascii="GHEA Grapalat" w:hAnsi="GHEA Grapalat"/>
                <w:b/>
                <w:color w:val="000000"/>
                <w:sz w:val="18"/>
                <w:szCs w:val="18"/>
                <w:lang w:val="hy-AM"/>
              </w:rPr>
              <w:t>2022թ. առաջին եռամս</w:t>
            </w:r>
            <w:r w:rsidR="005E1FD9" w:rsidRPr="00B57DAB">
              <w:rPr>
                <w:rFonts w:ascii="GHEA Grapalat" w:hAnsi="GHEA Grapalat"/>
                <w:b/>
                <w:color w:val="000000"/>
                <w:sz w:val="18"/>
                <w:szCs w:val="18"/>
              </w:rPr>
              <w:t>-</w:t>
            </w:r>
            <w:r w:rsidRPr="00B57DAB">
              <w:rPr>
                <w:rFonts w:ascii="GHEA Grapalat" w:hAnsi="GHEA Grapalat"/>
                <w:b/>
                <w:color w:val="000000"/>
                <w:sz w:val="18"/>
                <w:szCs w:val="18"/>
                <w:lang w:val="hy-AM"/>
              </w:rPr>
              <w:t>յակի փաստ (մլն դրամ)</w:t>
            </w:r>
          </w:p>
        </w:tc>
        <w:tc>
          <w:tcPr>
            <w:tcW w:w="1275" w:type="dxa"/>
            <w:tcBorders>
              <w:top w:val="single" w:sz="4" w:space="0" w:color="auto"/>
              <w:left w:val="nil"/>
              <w:bottom w:val="single" w:sz="4" w:space="0" w:color="auto"/>
              <w:right w:val="single" w:sz="4" w:space="0" w:color="auto"/>
            </w:tcBorders>
            <w:shd w:val="clear" w:color="auto" w:fill="auto"/>
            <w:hideMark/>
          </w:tcPr>
          <w:p w:rsidR="005B7DCC" w:rsidRPr="00B57DAB" w:rsidRDefault="005E1FD9" w:rsidP="005E1FD9">
            <w:pPr>
              <w:jc w:val="center"/>
              <w:rPr>
                <w:rFonts w:ascii="GHEA Grapalat" w:hAnsi="GHEA Grapalat"/>
                <w:b/>
                <w:color w:val="000000"/>
                <w:sz w:val="18"/>
                <w:szCs w:val="18"/>
                <w:lang w:val="hy-AM"/>
              </w:rPr>
            </w:pPr>
            <w:r w:rsidRPr="00B57DAB">
              <w:rPr>
                <w:rFonts w:ascii="GHEA Grapalat" w:hAnsi="GHEA Grapalat"/>
                <w:b/>
                <w:color w:val="000000"/>
                <w:sz w:val="18"/>
                <w:szCs w:val="18"/>
                <w:lang w:val="hy-AM"/>
              </w:rPr>
              <w:t>2022թ.</w:t>
            </w:r>
            <w:r w:rsidR="00D027DA" w:rsidRPr="00B57DAB">
              <w:rPr>
                <w:rFonts w:ascii="GHEA Grapalat" w:hAnsi="GHEA Grapalat"/>
                <w:b/>
                <w:color w:val="000000"/>
                <w:sz w:val="18"/>
                <w:szCs w:val="18"/>
                <w:lang w:val="hy-AM"/>
              </w:rPr>
              <w:t xml:space="preserve"> </w:t>
            </w:r>
            <w:r w:rsidRPr="00B57DAB">
              <w:rPr>
                <w:rFonts w:ascii="GHEA Grapalat" w:hAnsi="GHEA Grapalat"/>
                <w:b/>
                <w:color w:val="000000"/>
                <w:sz w:val="18"/>
                <w:szCs w:val="18"/>
                <w:lang w:val="hy-AM"/>
              </w:rPr>
              <w:t>առաջին եռամսյակը 2021թ.</w:t>
            </w:r>
            <w:r w:rsidR="00D027DA" w:rsidRPr="00B57DAB">
              <w:rPr>
                <w:rFonts w:ascii="GHEA Grapalat" w:hAnsi="GHEA Grapalat"/>
                <w:b/>
                <w:color w:val="000000"/>
                <w:sz w:val="18"/>
                <w:szCs w:val="18"/>
                <w:lang w:val="hy-AM"/>
              </w:rPr>
              <w:t xml:space="preserve"> </w:t>
            </w:r>
            <w:r w:rsidR="005B7DCC" w:rsidRPr="00B57DAB">
              <w:rPr>
                <w:rFonts w:ascii="GHEA Grapalat" w:hAnsi="GHEA Grapalat"/>
                <w:b/>
                <w:color w:val="000000"/>
                <w:sz w:val="18"/>
                <w:szCs w:val="18"/>
                <w:lang w:val="hy-AM"/>
              </w:rPr>
              <w:t>առաջին եռամսյակի</w:t>
            </w:r>
            <w:r w:rsidR="00D027DA" w:rsidRPr="00B57DAB">
              <w:rPr>
                <w:rFonts w:ascii="GHEA Grapalat" w:hAnsi="GHEA Grapalat"/>
                <w:b/>
                <w:color w:val="000000"/>
                <w:sz w:val="18"/>
                <w:szCs w:val="18"/>
                <w:lang w:val="hy-AM"/>
              </w:rPr>
              <w:t xml:space="preserve"> </w:t>
            </w:r>
            <w:r w:rsidR="005B7DCC" w:rsidRPr="00B57DAB">
              <w:rPr>
                <w:rFonts w:ascii="GHEA Grapalat" w:hAnsi="GHEA Grapalat"/>
                <w:b/>
                <w:color w:val="000000"/>
                <w:sz w:val="18"/>
                <w:szCs w:val="18"/>
                <w:lang w:val="hy-AM"/>
              </w:rPr>
              <w:t>նկատմամբ (%)</w:t>
            </w:r>
          </w:p>
        </w:tc>
      </w:tr>
      <w:tr w:rsidR="003944FD" w:rsidRPr="00B57DAB" w:rsidTr="003944FD">
        <w:trPr>
          <w:trHeight w:val="264"/>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3944FD" w:rsidRPr="00B57DAB" w:rsidRDefault="003944FD" w:rsidP="005839B5">
            <w:pPr>
              <w:rPr>
                <w:rFonts w:ascii="GHEA Grapalat" w:hAnsi="GHEA Grapalat"/>
                <w:b/>
                <w:sz w:val="18"/>
                <w:szCs w:val="18"/>
              </w:rPr>
            </w:pPr>
            <w:r w:rsidRPr="00B57DAB">
              <w:rPr>
                <w:rFonts w:ascii="GHEA Grapalat" w:hAnsi="GHEA Grapalat" w:cs="Arial"/>
                <w:b/>
                <w:sz w:val="18"/>
                <w:szCs w:val="18"/>
              </w:rPr>
              <w:t>Ընդհանուր հանրակրթություն</w:t>
            </w:r>
          </w:p>
        </w:tc>
        <w:tc>
          <w:tcPr>
            <w:tcW w:w="1276" w:type="dxa"/>
            <w:tcBorders>
              <w:top w:val="nil"/>
              <w:left w:val="nil"/>
              <w:bottom w:val="single" w:sz="4" w:space="0" w:color="auto"/>
              <w:right w:val="single" w:sz="4" w:space="0" w:color="auto"/>
            </w:tcBorders>
            <w:shd w:val="clear" w:color="auto" w:fill="auto"/>
            <w:vAlign w:val="bottom"/>
          </w:tcPr>
          <w:p w:rsidR="003944FD" w:rsidRPr="00B57DAB" w:rsidRDefault="003944FD" w:rsidP="005839B5">
            <w:pPr>
              <w:jc w:val="right"/>
              <w:rPr>
                <w:rFonts w:ascii="GHEA Grapalat" w:hAnsi="GHEA Grapalat"/>
                <w:b/>
                <w:noProof/>
                <w:color w:val="000000"/>
                <w:sz w:val="18"/>
                <w:szCs w:val="18"/>
                <w:lang w:val="hy-AM"/>
              </w:rPr>
            </w:pPr>
            <w:r w:rsidRPr="00B57DAB">
              <w:rPr>
                <w:rFonts w:ascii="GHEA Grapalat" w:hAnsi="GHEA Grapalat"/>
                <w:b/>
                <w:noProof/>
                <w:color w:val="000000"/>
                <w:sz w:val="18"/>
                <w:szCs w:val="18"/>
                <w:lang w:val="hy-AM"/>
              </w:rPr>
              <w:t>392020</w:t>
            </w:r>
          </w:p>
        </w:tc>
        <w:tc>
          <w:tcPr>
            <w:tcW w:w="1276" w:type="dxa"/>
            <w:tcBorders>
              <w:top w:val="nil"/>
              <w:left w:val="nil"/>
              <w:bottom w:val="single" w:sz="4" w:space="0" w:color="auto"/>
              <w:right w:val="single" w:sz="4" w:space="0" w:color="auto"/>
            </w:tcBorders>
            <w:shd w:val="clear" w:color="auto" w:fill="auto"/>
            <w:vAlign w:val="bottom"/>
          </w:tcPr>
          <w:p w:rsidR="003944FD" w:rsidRPr="00B57DAB" w:rsidRDefault="003944FD" w:rsidP="005839B5">
            <w:pPr>
              <w:jc w:val="right"/>
              <w:rPr>
                <w:rFonts w:ascii="GHEA Grapalat" w:hAnsi="GHEA Grapalat"/>
                <w:b/>
                <w:noProof/>
                <w:color w:val="000000"/>
                <w:sz w:val="18"/>
                <w:szCs w:val="18"/>
                <w:lang w:val="hy-AM"/>
              </w:rPr>
            </w:pPr>
            <w:r w:rsidRPr="00B57DAB">
              <w:rPr>
                <w:rFonts w:ascii="GHEA Grapalat" w:hAnsi="GHEA Grapalat"/>
                <w:b/>
                <w:noProof/>
                <w:color w:val="000000"/>
                <w:sz w:val="18"/>
                <w:szCs w:val="18"/>
                <w:lang w:val="hy-AM"/>
              </w:rPr>
              <w:t>391677</w:t>
            </w:r>
          </w:p>
        </w:tc>
        <w:tc>
          <w:tcPr>
            <w:tcW w:w="1276" w:type="dxa"/>
            <w:tcBorders>
              <w:top w:val="nil"/>
              <w:left w:val="nil"/>
              <w:bottom w:val="single" w:sz="4" w:space="0" w:color="auto"/>
              <w:right w:val="single" w:sz="4" w:space="0" w:color="auto"/>
            </w:tcBorders>
            <w:shd w:val="clear" w:color="auto" w:fill="auto"/>
            <w:vAlign w:val="bottom"/>
          </w:tcPr>
          <w:p w:rsidR="003944FD" w:rsidRPr="00B57DAB" w:rsidRDefault="003944FD" w:rsidP="005839B5">
            <w:pPr>
              <w:jc w:val="right"/>
              <w:rPr>
                <w:rFonts w:ascii="GHEA Grapalat" w:hAnsi="GHEA Grapalat"/>
                <w:b/>
                <w:noProof/>
                <w:color w:val="000000"/>
                <w:sz w:val="18"/>
                <w:szCs w:val="18"/>
                <w:lang w:val="hy-AM"/>
              </w:rPr>
            </w:pPr>
            <w:r w:rsidRPr="00B57DAB">
              <w:rPr>
                <w:rFonts w:ascii="GHEA Grapalat" w:hAnsi="GHEA Grapalat"/>
                <w:b/>
                <w:noProof/>
                <w:color w:val="000000"/>
                <w:sz w:val="18"/>
                <w:szCs w:val="18"/>
                <w:lang w:val="hy-AM"/>
              </w:rPr>
              <w:t>(343)</w:t>
            </w:r>
          </w:p>
        </w:tc>
        <w:tc>
          <w:tcPr>
            <w:tcW w:w="1134" w:type="dxa"/>
            <w:tcBorders>
              <w:top w:val="nil"/>
              <w:left w:val="nil"/>
              <w:bottom w:val="single" w:sz="4" w:space="0" w:color="auto"/>
              <w:right w:val="single" w:sz="4" w:space="0" w:color="auto"/>
            </w:tcBorders>
            <w:shd w:val="clear" w:color="auto" w:fill="auto"/>
            <w:vAlign w:val="bottom"/>
          </w:tcPr>
          <w:p w:rsidR="003944FD" w:rsidRPr="00B57DAB" w:rsidRDefault="003944FD" w:rsidP="005839B5">
            <w:pPr>
              <w:jc w:val="right"/>
              <w:rPr>
                <w:rFonts w:ascii="GHEA Grapalat" w:hAnsi="GHEA Grapalat"/>
                <w:b/>
                <w:sz w:val="18"/>
                <w:szCs w:val="18"/>
              </w:rPr>
            </w:pPr>
            <w:r w:rsidRPr="00B57DAB">
              <w:rPr>
                <w:rFonts w:ascii="GHEA Grapalat" w:hAnsi="GHEA Grapalat"/>
                <w:b/>
                <w:sz w:val="18"/>
                <w:szCs w:val="18"/>
              </w:rPr>
              <w:t>17,515.7</w:t>
            </w:r>
          </w:p>
        </w:tc>
        <w:tc>
          <w:tcPr>
            <w:tcW w:w="1134" w:type="dxa"/>
            <w:tcBorders>
              <w:top w:val="nil"/>
              <w:left w:val="nil"/>
              <w:bottom w:val="single" w:sz="4" w:space="0" w:color="auto"/>
              <w:right w:val="single" w:sz="4" w:space="0" w:color="auto"/>
            </w:tcBorders>
            <w:shd w:val="clear" w:color="auto" w:fill="auto"/>
            <w:vAlign w:val="bottom"/>
          </w:tcPr>
          <w:p w:rsidR="003944FD" w:rsidRPr="00B57DAB" w:rsidRDefault="003944FD" w:rsidP="005839B5">
            <w:pPr>
              <w:jc w:val="right"/>
              <w:rPr>
                <w:rFonts w:ascii="GHEA Grapalat" w:hAnsi="GHEA Grapalat"/>
                <w:b/>
                <w:sz w:val="18"/>
                <w:szCs w:val="18"/>
              </w:rPr>
            </w:pPr>
            <w:r w:rsidRPr="00B57DAB">
              <w:rPr>
                <w:rFonts w:ascii="GHEA Grapalat" w:hAnsi="GHEA Grapalat"/>
                <w:b/>
                <w:sz w:val="18"/>
                <w:szCs w:val="18"/>
              </w:rPr>
              <w:t>17,756.8</w:t>
            </w:r>
          </w:p>
        </w:tc>
        <w:tc>
          <w:tcPr>
            <w:tcW w:w="1275" w:type="dxa"/>
            <w:tcBorders>
              <w:top w:val="nil"/>
              <w:left w:val="nil"/>
              <w:bottom w:val="single" w:sz="4" w:space="0" w:color="auto"/>
              <w:right w:val="single" w:sz="4" w:space="0" w:color="auto"/>
            </w:tcBorders>
            <w:shd w:val="clear" w:color="auto" w:fill="auto"/>
            <w:vAlign w:val="bottom"/>
          </w:tcPr>
          <w:p w:rsidR="003944FD" w:rsidRPr="00B57DAB" w:rsidRDefault="003944FD" w:rsidP="003944FD">
            <w:pPr>
              <w:jc w:val="right"/>
              <w:rPr>
                <w:rFonts w:ascii="GHEA Grapalat" w:hAnsi="GHEA Grapalat"/>
                <w:b/>
                <w:sz w:val="18"/>
                <w:szCs w:val="18"/>
              </w:rPr>
            </w:pPr>
            <w:r w:rsidRPr="00B57DAB">
              <w:rPr>
                <w:rFonts w:ascii="GHEA Grapalat" w:hAnsi="GHEA Grapalat"/>
                <w:b/>
                <w:sz w:val="18"/>
                <w:szCs w:val="18"/>
              </w:rPr>
              <w:t>101.4</w:t>
            </w:r>
          </w:p>
        </w:tc>
      </w:tr>
      <w:tr w:rsidR="003944FD" w:rsidRPr="00B57DAB" w:rsidTr="003944FD">
        <w:trPr>
          <w:trHeight w:val="281"/>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3944FD" w:rsidRPr="00B57DAB" w:rsidRDefault="003944FD" w:rsidP="005839B5">
            <w:pPr>
              <w:rPr>
                <w:rFonts w:ascii="GHEA Grapalat" w:hAnsi="GHEA Grapalat"/>
                <w:sz w:val="18"/>
                <w:szCs w:val="18"/>
              </w:rPr>
            </w:pPr>
            <w:r w:rsidRPr="00B57DAB">
              <w:rPr>
                <w:rFonts w:ascii="GHEA Grapalat" w:hAnsi="GHEA Grapalat" w:cs="Arial"/>
                <w:sz w:val="18"/>
                <w:szCs w:val="18"/>
              </w:rPr>
              <w:t>Տարրական</w:t>
            </w:r>
          </w:p>
        </w:tc>
        <w:tc>
          <w:tcPr>
            <w:tcW w:w="1276" w:type="dxa"/>
            <w:tcBorders>
              <w:top w:val="nil"/>
              <w:left w:val="nil"/>
              <w:bottom w:val="single" w:sz="4" w:space="0" w:color="auto"/>
              <w:right w:val="single" w:sz="4" w:space="0" w:color="auto"/>
            </w:tcBorders>
            <w:shd w:val="clear" w:color="auto" w:fill="auto"/>
            <w:vAlign w:val="bottom"/>
          </w:tcPr>
          <w:p w:rsidR="003944FD" w:rsidRPr="00B57DAB" w:rsidRDefault="003944FD" w:rsidP="005839B5">
            <w:pPr>
              <w:jc w:val="right"/>
              <w:rPr>
                <w:rFonts w:ascii="GHEA Grapalat" w:hAnsi="GHEA Grapalat"/>
                <w:noProof/>
                <w:color w:val="000000"/>
                <w:sz w:val="18"/>
                <w:szCs w:val="18"/>
                <w:lang w:val="hy-AM"/>
              </w:rPr>
            </w:pPr>
            <w:r w:rsidRPr="00B57DAB">
              <w:rPr>
                <w:rFonts w:ascii="GHEA Grapalat" w:hAnsi="GHEA Grapalat"/>
                <w:noProof/>
                <w:color w:val="000000"/>
                <w:sz w:val="18"/>
                <w:szCs w:val="18"/>
                <w:lang w:val="hy-AM"/>
              </w:rPr>
              <w:t>153302</w:t>
            </w:r>
          </w:p>
        </w:tc>
        <w:tc>
          <w:tcPr>
            <w:tcW w:w="1276" w:type="dxa"/>
            <w:tcBorders>
              <w:top w:val="nil"/>
              <w:left w:val="nil"/>
              <w:bottom w:val="single" w:sz="4" w:space="0" w:color="auto"/>
              <w:right w:val="single" w:sz="4" w:space="0" w:color="auto"/>
            </w:tcBorders>
            <w:shd w:val="clear" w:color="auto" w:fill="auto"/>
            <w:vAlign w:val="bottom"/>
          </w:tcPr>
          <w:p w:rsidR="003944FD" w:rsidRPr="00B57DAB" w:rsidRDefault="003944FD" w:rsidP="005839B5">
            <w:pPr>
              <w:jc w:val="right"/>
              <w:rPr>
                <w:rFonts w:ascii="GHEA Grapalat" w:hAnsi="GHEA Grapalat"/>
                <w:noProof/>
                <w:color w:val="000000"/>
                <w:sz w:val="18"/>
                <w:szCs w:val="18"/>
                <w:lang w:val="hy-AM"/>
              </w:rPr>
            </w:pPr>
            <w:r w:rsidRPr="00B57DAB">
              <w:rPr>
                <w:rFonts w:ascii="GHEA Grapalat" w:hAnsi="GHEA Grapalat"/>
                <w:noProof/>
                <w:color w:val="000000"/>
                <w:sz w:val="18"/>
                <w:szCs w:val="18"/>
                <w:lang w:val="hy-AM"/>
              </w:rPr>
              <w:t>151832</w:t>
            </w:r>
          </w:p>
        </w:tc>
        <w:tc>
          <w:tcPr>
            <w:tcW w:w="1276" w:type="dxa"/>
            <w:tcBorders>
              <w:top w:val="nil"/>
              <w:left w:val="nil"/>
              <w:bottom w:val="single" w:sz="4" w:space="0" w:color="auto"/>
              <w:right w:val="single" w:sz="4" w:space="0" w:color="auto"/>
            </w:tcBorders>
            <w:shd w:val="clear" w:color="auto" w:fill="auto"/>
            <w:vAlign w:val="bottom"/>
          </w:tcPr>
          <w:p w:rsidR="003944FD" w:rsidRPr="00B57DAB" w:rsidRDefault="003944FD" w:rsidP="005839B5">
            <w:pPr>
              <w:jc w:val="right"/>
              <w:rPr>
                <w:rFonts w:ascii="GHEA Grapalat" w:hAnsi="GHEA Grapalat"/>
                <w:noProof/>
                <w:color w:val="000000"/>
                <w:sz w:val="18"/>
                <w:szCs w:val="18"/>
                <w:lang w:val="hy-AM"/>
              </w:rPr>
            </w:pPr>
            <w:r w:rsidRPr="00B57DAB">
              <w:rPr>
                <w:rFonts w:ascii="GHEA Grapalat" w:hAnsi="GHEA Grapalat"/>
                <w:noProof/>
                <w:color w:val="000000"/>
                <w:sz w:val="18"/>
                <w:szCs w:val="18"/>
                <w:lang w:val="hy-AM"/>
              </w:rPr>
              <w:t>(1,470)</w:t>
            </w:r>
          </w:p>
        </w:tc>
        <w:tc>
          <w:tcPr>
            <w:tcW w:w="1134" w:type="dxa"/>
            <w:tcBorders>
              <w:top w:val="nil"/>
              <w:left w:val="nil"/>
              <w:bottom w:val="single" w:sz="4" w:space="0" w:color="auto"/>
              <w:right w:val="single" w:sz="4" w:space="0" w:color="auto"/>
            </w:tcBorders>
            <w:shd w:val="clear" w:color="auto" w:fill="auto"/>
            <w:vAlign w:val="bottom"/>
          </w:tcPr>
          <w:p w:rsidR="003944FD" w:rsidRPr="00B57DAB" w:rsidRDefault="003944FD" w:rsidP="005839B5">
            <w:pPr>
              <w:jc w:val="right"/>
              <w:rPr>
                <w:rFonts w:ascii="GHEA Grapalat" w:hAnsi="GHEA Grapalat"/>
                <w:color w:val="000000"/>
                <w:sz w:val="18"/>
                <w:szCs w:val="18"/>
              </w:rPr>
            </w:pPr>
            <w:r w:rsidRPr="00B57DAB">
              <w:rPr>
                <w:rFonts w:ascii="GHEA Grapalat" w:hAnsi="GHEA Grapalat"/>
                <w:color w:val="000000"/>
                <w:sz w:val="18"/>
                <w:szCs w:val="18"/>
              </w:rPr>
              <w:t>6,467.7</w:t>
            </w:r>
          </w:p>
        </w:tc>
        <w:tc>
          <w:tcPr>
            <w:tcW w:w="1134" w:type="dxa"/>
            <w:tcBorders>
              <w:top w:val="nil"/>
              <w:left w:val="nil"/>
              <w:bottom w:val="single" w:sz="4" w:space="0" w:color="auto"/>
              <w:right w:val="single" w:sz="4" w:space="0" w:color="auto"/>
            </w:tcBorders>
            <w:shd w:val="clear" w:color="auto" w:fill="auto"/>
            <w:vAlign w:val="bottom"/>
          </w:tcPr>
          <w:p w:rsidR="003944FD" w:rsidRPr="00B57DAB" w:rsidRDefault="003944FD" w:rsidP="005839B5">
            <w:pPr>
              <w:jc w:val="right"/>
              <w:rPr>
                <w:rFonts w:ascii="GHEA Grapalat" w:hAnsi="GHEA Grapalat"/>
                <w:color w:val="000000"/>
                <w:sz w:val="18"/>
                <w:szCs w:val="18"/>
              </w:rPr>
            </w:pPr>
            <w:r w:rsidRPr="00B57DAB">
              <w:rPr>
                <w:rFonts w:ascii="GHEA Grapalat" w:hAnsi="GHEA Grapalat"/>
                <w:color w:val="000000"/>
                <w:sz w:val="18"/>
                <w:szCs w:val="18"/>
              </w:rPr>
              <w:t>6,501.6</w:t>
            </w:r>
          </w:p>
        </w:tc>
        <w:tc>
          <w:tcPr>
            <w:tcW w:w="1275" w:type="dxa"/>
            <w:tcBorders>
              <w:top w:val="nil"/>
              <w:left w:val="nil"/>
              <w:bottom w:val="single" w:sz="4" w:space="0" w:color="auto"/>
              <w:right w:val="single" w:sz="4" w:space="0" w:color="auto"/>
            </w:tcBorders>
            <w:shd w:val="clear" w:color="auto" w:fill="auto"/>
            <w:vAlign w:val="bottom"/>
          </w:tcPr>
          <w:p w:rsidR="003944FD" w:rsidRPr="00B57DAB" w:rsidRDefault="003944FD" w:rsidP="003944FD">
            <w:pPr>
              <w:jc w:val="right"/>
              <w:rPr>
                <w:rFonts w:ascii="GHEA Grapalat" w:hAnsi="GHEA Grapalat"/>
                <w:color w:val="000000"/>
                <w:sz w:val="18"/>
                <w:szCs w:val="18"/>
              </w:rPr>
            </w:pPr>
            <w:r w:rsidRPr="00B57DAB">
              <w:rPr>
                <w:rFonts w:ascii="GHEA Grapalat" w:hAnsi="GHEA Grapalat"/>
                <w:color w:val="000000"/>
                <w:sz w:val="18"/>
                <w:szCs w:val="18"/>
              </w:rPr>
              <w:t>100.5</w:t>
            </w:r>
          </w:p>
        </w:tc>
      </w:tr>
      <w:tr w:rsidR="003944FD" w:rsidRPr="00B57DAB" w:rsidTr="003944FD">
        <w:trPr>
          <w:trHeight w:val="258"/>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3944FD" w:rsidRPr="00B57DAB" w:rsidRDefault="003944FD" w:rsidP="005839B5">
            <w:pPr>
              <w:rPr>
                <w:rFonts w:ascii="GHEA Grapalat" w:hAnsi="GHEA Grapalat"/>
                <w:sz w:val="18"/>
                <w:szCs w:val="18"/>
              </w:rPr>
            </w:pPr>
            <w:r w:rsidRPr="00B57DAB">
              <w:rPr>
                <w:rFonts w:ascii="GHEA Grapalat" w:hAnsi="GHEA Grapalat" w:cs="Arial"/>
                <w:sz w:val="18"/>
                <w:szCs w:val="18"/>
              </w:rPr>
              <w:t>Հիմնական</w:t>
            </w:r>
          </w:p>
        </w:tc>
        <w:tc>
          <w:tcPr>
            <w:tcW w:w="1276" w:type="dxa"/>
            <w:tcBorders>
              <w:top w:val="nil"/>
              <w:left w:val="nil"/>
              <w:bottom w:val="single" w:sz="4" w:space="0" w:color="auto"/>
              <w:right w:val="single" w:sz="4" w:space="0" w:color="auto"/>
            </w:tcBorders>
            <w:shd w:val="clear" w:color="auto" w:fill="auto"/>
            <w:vAlign w:val="bottom"/>
          </w:tcPr>
          <w:p w:rsidR="003944FD" w:rsidRPr="00B57DAB" w:rsidRDefault="003944FD" w:rsidP="005839B5">
            <w:pPr>
              <w:jc w:val="right"/>
              <w:rPr>
                <w:rFonts w:ascii="GHEA Grapalat" w:hAnsi="GHEA Grapalat"/>
                <w:noProof/>
                <w:color w:val="000000"/>
                <w:sz w:val="18"/>
                <w:szCs w:val="18"/>
                <w:lang w:val="hy-AM"/>
              </w:rPr>
            </w:pPr>
            <w:r w:rsidRPr="00B57DAB">
              <w:rPr>
                <w:rFonts w:ascii="GHEA Grapalat" w:hAnsi="GHEA Grapalat"/>
                <w:noProof/>
                <w:color w:val="000000"/>
                <w:sz w:val="18"/>
                <w:szCs w:val="18"/>
                <w:lang w:val="hy-AM"/>
              </w:rPr>
              <w:t>176788</w:t>
            </w:r>
          </w:p>
        </w:tc>
        <w:tc>
          <w:tcPr>
            <w:tcW w:w="1276" w:type="dxa"/>
            <w:tcBorders>
              <w:top w:val="nil"/>
              <w:left w:val="nil"/>
              <w:bottom w:val="single" w:sz="4" w:space="0" w:color="auto"/>
              <w:right w:val="single" w:sz="4" w:space="0" w:color="auto"/>
            </w:tcBorders>
            <w:shd w:val="clear" w:color="auto" w:fill="auto"/>
            <w:vAlign w:val="bottom"/>
          </w:tcPr>
          <w:p w:rsidR="003944FD" w:rsidRPr="00B57DAB" w:rsidRDefault="003944FD" w:rsidP="005839B5">
            <w:pPr>
              <w:jc w:val="right"/>
              <w:rPr>
                <w:rFonts w:ascii="GHEA Grapalat" w:hAnsi="GHEA Grapalat"/>
                <w:noProof/>
                <w:color w:val="000000"/>
                <w:sz w:val="18"/>
                <w:szCs w:val="18"/>
                <w:lang w:val="hy-AM"/>
              </w:rPr>
            </w:pPr>
            <w:r w:rsidRPr="00B57DAB">
              <w:rPr>
                <w:rFonts w:ascii="GHEA Grapalat" w:hAnsi="GHEA Grapalat"/>
                <w:noProof/>
                <w:color w:val="000000"/>
                <w:sz w:val="18"/>
                <w:szCs w:val="18"/>
                <w:lang w:val="hy-AM"/>
              </w:rPr>
              <w:t>180685</w:t>
            </w:r>
          </w:p>
        </w:tc>
        <w:tc>
          <w:tcPr>
            <w:tcW w:w="1276" w:type="dxa"/>
            <w:tcBorders>
              <w:top w:val="nil"/>
              <w:left w:val="nil"/>
              <w:bottom w:val="single" w:sz="4" w:space="0" w:color="auto"/>
              <w:right w:val="single" w:sz="4" w:space="0" w:color="auto"/>
            </w:tcBorders>
            <w:shd w:val="clear" w:color="auto" w:fill="auto"/>
            <w:vAlign w:val="bottom"/>
          </w:tcPr>
          <w:p w:rsidR="003944FD" w:rsidRPr="00B57DAB" w:rsidRDefault="003944FD" w:rsidP="005839B5">
            <w:pPr>
              <w:jc w:val="right"/>
              <w:rPr>
                <w:rFonts w:ascii="GHEA Grapalat" w:hAnsi="GHEA Grapalat"/>
                <w:noProof/>
                <w:color w:val="000000"/>
                <w:sz w:val="18"/>
                <w:szCs w:val="18"/>
                <w:lang w:val="hy-AM"/>
              </w:rPr>
            </w:pPr>
            <w:r w:rsidRPr="00B57DAB">
              <w:rPr>
                <w:rFonts w:ascii="GHEA Grapalat" w:hAnsi="GHEA Grapalat"/>
                <w:noProof/>
                <w:color w:val="000000"/>
                <w:sz w:val="18"/>
                <w:szCs w:val="18"/>
                <w:lang w:val="hy-AM"/>
              </w:rPr>
              <w:t xml:space="preserve">3,897 </w:t>
            </w:r>
          </w:p>
        </w:tc>
        <w:tc>
          <w:tcPr>
            <w:tcW w:w="1134" w:type="dxa"/>
            <w:tcBorders>
              <w:top w:val="nil"/>
              <w:left w:val="nil"/>
              <w:bottom w:val="single" w:sz="4" w:space="0" w:color="auto"/>
              <w:right w:val="single" w:sz="4" w:space="0" w:color="auto"/>
            </w:tcBorders>
            <w:shd w:val="clear" w:color="auto" w:fill="auto"/>
            <w:vAlign w:val="bottom"/>
          </w:tcPr>
          <w:p w:rsidR="003944FD" w:rsidRPr="00B57DAB" w:rsidRDefault="003944FD" w:rsidP="005839B5">
            <w:pPr>
              <w:jc w:val="right"/>
              <w:rPr>
                <w:rFonts w:ascii="GHEA Grapalat" w:hAnsi="GHEA Grapalat"/>
                <w:color w:val="000000"/>
                <w:sz w:val="18"/>
                <w:szCs w:val="18"/>
              </w:rPr>
            </w:pPr>
            <w:r w:rsidRPr="00B57DAB">
              <w:rPr>
                <w:rFonts w:ascii="GHEA Grapalat" w:hAnsi="GHEA Grapalat"/>
                <w:color w:val="000000"/>
                <w:sz w:val="18"/>
                <w:szCs w:val="18"/>
              </w:rPr>
              <w:t>7,819.3</w:t>
            </w:r>
          </w:p>
        </w:tc>
        <w:tc>
          <w:tcPr>
            <w:tcW w:w="1134" w:type="dxa"/>
            <w:tcBorders>
              <w:top w:val="nil"/>
              <w:left w:val="nil"/>
              <w:bottom w:val="single" w:sz="4" w:space="0" w:color="auto"/>
              <w:right w:val="single" w:sz="4" w:space="0" w:color="auto"/>
            </w:tcBorders>
            <w:shd w:val="clear" w:color="auto" w:fill="auto"/>
            <w:vAlign w:val="bottom"/>
          </w:tcPr>
          <w:p w:rsidR="003944FD" w:rsidRPr="00B57DAB" w:rsidRDefault="003944FD" w:rsidP="005839B5">
            <w:pPr>
              <w:jc w:val="right"/>
              <w:rPr>
                <w:rFonts w:ascii="GHEA Grapalat" w:hAnsi="GHEA Grapalat"/>
                <w:color w:val="000000"/>
                <w:sz w:val="18"/>
                <w:szCs w:val="18"/>
              </w:rPr>
            </w:pPr>
            <w:r w:rsidRPr="00B57DAB">
              <w:rPr>
                <w:rFonts w:ascii="GHEA Grapalat" w:hAnsi="GHEA Grapalat"/>
                <w:color w:val="000000"/>
                <w:sz w:val="18"/>
                <w:szCs w:val="18"/>
              </w:rPr>
              <w:t>7,785.8</w:t>
            </w:r>
          </w:p>
        </w:tc>
        <w:tc>
          <w:tcPr>
            <w:tcW w:w="1275" w:type="dxa"/>
            <w:tcBorders>
              <w:top w:val="nil"/>
              <w:left w:val="nil"/>
              <w:bottom w:val="single" w:sz="4" w:space="0" w:color="auto"/>
              <w:right w:val="single" w:sz="4" w:space="0" w:color="auto"/>
            </w:tcBorders>
            <w:shd w:val="clear" w:color="auto" w:fill="auto"/>
            <w:vAlign w:val="bottom"/>
          </w:tcPr>
          <w:p w:rsidR="003944FD" w:rsidRPr="00B57DAB" w:rsidRDefault="003944FD" w:rsidP="003944FD">
            <w:pPr>
              <w:jc w:val="right"/>
              <w:rPr>
                <w:rFonts w:ascii="GHEA Grapalat" w:hAnsi="GHEA Grapalat"/>
                <w:color w:val="000000"/>
                <w:sz w:val="18"/>
                <w:szCs w:val="18"/>
              </w:rPr>
            </w:pPr>
            <w:r w:rsidRPr="00B57DAB">
              <w:rPr>
                <w:rFonts w:ascii="GHEA Grapalat" w:hAnsi="GHEA Grapalat"/>
                <w:color w:val="000000"/>
                <w:sz w:val="18"/>
                <w:szCs w:val="18"/>
              </w:rPr>
              <w:t>99.6</w:t>
            </w:r>
          </w:p>
        </w:tc>
      </w:tr>
      <w:tr w:rsidR="003944FD" w:rsidRPr="00B57DAB" w:rsidTr="003944FD">
        <w:trPr>
          <w:trHeight w:val="147"/>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3944FD" w:rsidRPr="00B57DAB" w:rsidRDefault="003944FD" w:rsidP="005839B5">
            <w:pPr>
              <w:rPr>
                <w:rFonts w:ascii="GHEA Grapalat" w:hAnsi="GHEA Grapalat"/>
                <w:sz w:val="18"/>
                <w:szCs w:val="18"/>
              </w:rPr>
            </w:pPr>
            <w:r w:rsidRPr="00B57DAB">
              <w:rPr>
                <w:rFonts w:ascii="GHEA Grapalat" w:hAnsi="GHEA Grapalat" w:cs="Arial"/>
                <w:sz w:val="18"/>
                <w:szCs w:val="18"/>
              </w:rPr>
              <w:t>Միջնակարգ</w:t>
            </w:r>
          </w:p>
        </w:tc>
        <w:tc>
          <w:tcPr>
            <w:tcW w:w="1276" w:type="dxa"/>
            <w:tcBorders>
              <w:top w:val="nil"/>
              <w:left w:val="nil"/>
              <w:bottom w:val="single" w:sz="4" w:space="0" w:color="auto"/>
              <w:right w:val="single" w:sz="4" w:space="0" w:color="auto"/>
            </w:tcBorders>
            <w:shd w:val="clear" w:color="auto" w:fill="auto"/>
            <w:vAlign w:val="bottom"/>
          </w:tcPr>
          <w:p w:rsidR="003944FD" w:rsidRPr="00B57DAB" w:rsidRDefault="003944FD" w:rsidP="005839B5">
            <w:pPr>
              <w:jc w:val="right"/>
              <w:rPr>
                <w:rFonts w:ascii="GHEA Grapalat" w:hAnsi="GHEA Grapalat"/>
                <w:noProof/>
                <w:color w:val="000000"/>
                <w:sz w:val="18"/>
                <w:szCs w:val="18"/>
                <w:lang w:val="hy-AM"/>
              </w:rPr>
            </w:pPr>
            <w:r w:rsidRPr="00B57DAB">
              <w:rPr>
                <w:rFonts w:ascii="GHEA Grapalat" w:hAnsi="GHEA Grapalat"/>
                <w:noProof/>
                <w:color w:val="000000"/>
                <w:sz w:val="18"/>
                <w:szCs w:val="18"/>
                <w:lang w:val="hy-AM"/>
              </w:rPr>
              <w:t>61930</w:t>
            </w:r>
          </w:p>
        </w:tc>
        <w:tc>
          <w:tcPr>
            <w:tcW w:w="1276" w:type="dxa"/>
            <w:tcBorders>
              <w:top w:val="nil"/>
              <w:left w:val="nil"/>
              <w:bottom w:val="single" w:sz="4" w:space="0" w:color="auto"/>
              <w:right w:val="single" w:sz="4" w:space="0" w:color="auto"/>
            </w:tcBorders>
            <w:shd w:val="clear" w:color="auto" w:fill="auto"/>
            <w:vAlign w:val="bottom"/>
          </w:tcPr>
          <w:p w:rsidR="003944FD" w:rsidRPr="00B57DAB" w:rsidRDefault="003944FD" w:rsidP="005839B5">
            <w:pPr>
              <w:jc w:val="right"/>
              <w:rPr>
                <w:rFonts w:ascii="GHEA Grapalat" w:hAnsi="GHEA Grapalat"/>
                <w:noProof/>
                <w:color w:val="000000"/>
                <w:sz w:val="18"/>
                <w:szCs w:val="18"/>
                <w:lang w:val="hy-AM"/>
              </w:rPr>
            </w:pPr>
            <w:r w:rsidRPr="00B57DAB">
              <w:rPr>
                <w:rFonts w:ascii="GHEA Grapalat" w:hAnsi="GHEA Grapalat"/>
                <w:noProof/>
                <w:color w:val="000000"/>
                <w:sz w:val="18"/>
                <w:szCs w:val="18"/>
                <w:lang w:val="hy-AM"/>
              </w:rPr>
              <w:t>59160</w:t>
            </w:r>
          </w:p>
        </w:tc>
        <w:tc>
          <w:tcPr>
            <w:tcW w:w="1276" w:type="dxa"/>
            <w:tcBorders>
              <w:top w:val="nil"/>
              <w:left w:val="nil"/>
              <w:bottom w:val="single" w:sz="4" w:space="0" w:color="auto"/>
              <w:right w:val="single" w:sz="4" w:space="0" w:color="auto"/>
            </w:tcBorders>
            <w:shd w:val="clear" w:color="auto" w:fill="auto"/>
            <w:vAlign w:val="bottom"/>
          </w:tcPr>
          <w:p w:rsidR="003944FD" w:rsidRPr="00B57DAB" w:rsidRDefault="003944FD" w:rsidP="005839B5">
            <w:pPr>
              <w:jc w:val="right"/>
              <w:rPr>
                <w:rFonts w:ascii="GHEA Grapalat" w:hAnsi="GHEA Grapalat"/>
                <w:noProof/>
                <w:color w:val="000000"/>
                <w:sz w:val="18"/>
                <w:szCs w:val="18"/>
                <w:lang w:val="hy-AM"/>
              </w:rPr>
            </w:pPr>
            <w:r w:rsidRPr="00B57DAB">
              <w:rPr>
                <w:rFonts w:ascii="GHEA Grapalat" w:hAnsi="GHEA Grapalat"/>
                <w:noProof/>
                <w:color w:val="000000"/>
                <w:sz w:val="18"/>
                <w:szCs w:val="18"/>
                <w:lang w:val="hy-AM"/>
              </w:rPr>
              <w:t>(2,770)</w:t>
            </w:r>
          </w:p>
        </w:tc>
        <w:tc>
          <w:tcPr>
            <w:tcW w:w="1134" w:type="dxa"/>
            <w:tcBorders>
              <w:top w:val="nil"/>
              <w:left w:val="nil"/>
              <w:bottom w:val="single" w:sz="4" w:space="0" w:color="auto"/>
              <w:right w:val="single" w:sz="4" w:space="0" w:color="auto"/>
            </w:tcBorders>
            <w:shd w:val="clear" w:color="auto" w:fill="auto"/>
            <w:vAlign w:val="bottom"/>
          </w:tcPr>
          <w:p w:rsidR="003944FD" w:rsidRPr="00B57DAB" w:rsidRDefault="003944FD" w:rsidP="005839B5">
            <w:pPr>
              <w:jc w:val="right"/>
              <w:rPr>
                <w:rFonts w:ascii="GHEA Grapalat" w:hAnsi="GHEA Grapalat"/>
                <w:color w:val="000000"/>
                <w:sz w:val="18"/>
                <w:szCs w:val="18"/>
              </w:rPr>
            </w:pPr>
            <w:r w:rsidRPr="00B57DAB">
              <w:rPr>
                <w:rFonts w:ascii="GHEA Grapalat" w:hAnsi="GHEA Grapalat"/>
                <w:color w:val="000000"/>
                <w:sz w:val="18"/>
                <w:szCs w:val="18"/>
              </w:rPr>
              <w:t>3,228.7</w:t>
            </w:r>
          </w:p>
        </w:tc>
        <w:tc>
          <w:tcPr>
            <w:tcW w:w="1134" w:type="dxa"/>
            <w:tcBorders>
              <w:top w:val="nil"/>
              <w:left w:val="nil"/>
              <w:bottom w:val="single" w:sz="4" w:space="0" w:color="auto"/>
              <w:right w:val="single" w:sz="4" w:space="0" w:color="auto"/>
            </w:tcBorders>
            <w:shd w:val="clear" w:color="auto" w:fill="auto"/>
            <w:vAlign w:val="bottom"/>
          </w:tcPr>
          <w:p w:rsidR="003944FD" w:rsidRPr="00B57DAB" w:rsidRDefault="003944FD" w:rsidP="005839B5">
            <w:pPr>
              <w:jc w:val="right"/>
              <w:rPr>
                <w:rFonts w:ascii="GHEA Grapalat" w:hAnsi="GHEA Grapalat"/>
                <w:color w:val="000000"/>
                <w:sz w:val="18"/>
                <w:szCs w:val="18"/>
              </w:rPr>
            </w:pPr>
            <w:r w:rsidRPr="00B57DAB">
              <w:rPr>
                <w:rFonts w:ascii="GHEA Grapalat" w:hAnsi="GHEA Grapalat"/>
                <w:color w:val="000000"/>
                <w:sz w:val="18"/>
                <w:szCs w:val="18"/>
              </w:rPr>
              <w:t>3,469.4</w:t>
            </w:r>
          </w:p>
        </w:tc>
        <w:tc>
          <w:tcPr>
            <w:tcW w:w="1275" w:type="dxa"/>
            <w:tcBorders>
              <w:top w:val="nil"/>
              <w:left w:val="nil"/>
              <w:bottom w:val="single" w:sz="4" w:space="0" w:color="auto"/>
              <w:right w:val="single" w:sz="4" w:space="0" w:color="auto"/>
            </w:tcBorders>
            <w:shd w:val="clear" w:color="auto" w:fill="auto"/>
            <w:vAlign w:val="bottom"/>
          </w:tcPr>
          <w:p w:rsidR="003944FD" w:rsidRPr="00B57DAB" w:rsidRDefault="003944FD" w:rsidP="003944FD">
            <w:pPr>
              <w:jc w:val="right"/>
              <w:rPr>
                <w:rFonts w:ascii="GHEA Grapalat" w:hAnsi="GHEA Grapalat"/>
                <w:color w:val="000000"/>
                <w:sz w:val="18"/>
                <w:szCs w:val="18"/>
              </w:rPr>
            </w:pPr>
            <w:r w:rsidRPr="00B57DAB">
              <w:rPr>
                <w:rFonts w:ascii="GHEA Grapalat" w:hAnsi="GHEA Grapalat"/>
                <w:color w:val="000000"/>
                <w:sz w:val="18"/>
                <w:szCs w:val="18"/>
              </w:rPr>
              <w:t>107.5</w:t>
            </w:r>
          </w:p>
        </w:tc>
      </w:tr>
    </w:tbl>
    <w:p w:rsidR="005B7DCC" w:rsidRPr="00B57DAB" w:rsidRDefault="005B7DCC" w:rsidP="005B7DCC">
      <w:pPr>
        <w:autoSpaceDE w:val="0"/>
        <w:autoSpaceDN w:val="0"/>
        <w:adjustRightInd w:val="0"/>
        <w:spacing w:line="360" w:lineRule="auto"/>
        <w:ind w:firstLine="567"/>
        <w:jc w:val="both"/>
        <w:rPr>
          <w:rFonts w:ascii="GHEA Grapalat" w:hAnsi="GHEA Grapalat" w:cs="Sylfaen"/>
          <w:sz w:val="22"/>
          <w:szCs w:val="22"/>
        </w:rPr>
      </w:pPr>
    </w:p>
    <w:p w:rsidR="005B7DCC" w:rsidRPr="00B57DAB" w:rsidRDefault="00D52EE8" w:rsidP="005B7DCC">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Հատուկ հանրակրթությանը</w:t>
      </w:r>
      <w:r w:rsidR="005B7DCC" w:rsidRPr="00B57DAB">
        <w:rPr>
          <w:rFonts w:ascii="GHEA Grapalat" w:hAnsi="GHEA Grapalat" w:cs="Sylfaen"/>
          <w:sz w:val="22"/>
          <w:szCs w:val="22"/>
        </w:rPr>
        <w:t xml:space="preserve"> հատկացված 248.5 մլն դրամ</w:t>
      </w:r>
      <w:r w:rsidRPr="00B57DAB">
        <w:rPr>
          <w:rFonts w:ascii="GHEA Grapalat" w:hAnsi="GHEA Grapalat" w:cs="Sylfaen"/>
          <w:sz w:val="22"/>
          <w:szCs w:val="22"/>
        </w:rPr>
        <w:t>ն ամբողջությամբ օգտագործվել է</w:t>
      </w:r>
      <w:r w:rsidR="005B7DCC" w:rsidRPr="00B57DAB">
        <w:rPr>
          <w:rFonts w:ascii="GHEA Grapalat" w:hAnsi="GHEA Grapalat" w:cs="Sylfaen"/>
          <w:sz w:val="22"/>
          <w:szCs w:val="22"/>
        </w:rPr>
        <w:t>:</w:t>
      </w:r>
    </w:p>
    <w:p w:rsidR="005E1FD9" w:rsidRPr="00B57DAB" w:rsidRDefault="005E1FD9" w:rsidP="005B7DCC">
      <w:pPr>
        <w:autoSpaceDE w:val="0"/>
        <w:autoSpaceDN w:val="0"/>
        <w:adjustRightInd w:val="0"/>
        <w:spacing w:line="360" w:lineRule="auto"/>
        <w:ind w:firstLine="567"/>
        <w:jc w:val="both"/>
        <w:rPr>
          <w:rFonts w:ascii="GHEA Grapalat" w:hAnsi="GHEA Grapalat" w:cs="Sylfaen"/>
          <w:sz w:val="22"/>
          <w:szCs w:val="22"/>
        </w:rPr>
      </w:pPr>
    </w:p>
    <w:p w:rsidR="005B7DCC" w:rsidRPr="00B57DAB" w:rsidRDefault="005B7DCC" w:rsidP="00770F24">
      <w:pPr>
        <w:pStyle w:val="Caption"/>
        <w:keepNext/>
        <w:numPr>
          <w:ilvl w:val="0"/>
          <w:numId w:val="8"/>
        </w:numPr>
        <w:tabs>
          <w:tab w:val="left" w:pos="1276"/>
        </w:tabs>
        <w:ind w:left="0" w:firstLine="0"/>
        <w:jc w:val="left"/>
        <w:rPr>
          <w:rFonts w:ascii="GHEA Grapalat" w:hAnsi="GHEA Grapalat"/>
          <w:i/>
          <w:sz w:val="18"/>
          <w:szCs w:val="18"/>
          <w:lang w:val="en-US"/>
        </w:rPr>
      </w:pPr>
      <w:r w:rsidRPr="00B57DAB">
        <w:rPr>
          <w:rFonts w:ascii="GHEA Grapalat" w:hAnsi="GHEA Grapalat"/>
          <w:i/>
          <w:sz w:val="18"/>
          <w:szCs w:val="18"/>
          <w:lang w:val="en-US"/>
        </w:rPr>
        <w:t>Հատուկ հանրակրթության համակարգի ցուցանիշները</w:t>
      </w:r>
    </w:p>
    <w:tbl>
      <w:tblPr>
        <w:tblW w:w="10206" w:type="dxa"/>
        <w:tblInd w:w="108" w:type="dxa"/>
        <w:tblLayout w:type="fixed"/>
        <w:tblLook w:val="04A0" w:firstRow="1" w:lastRow="0" w:firstColumn="1" w:lastColumn="0" w:noHBand="0" w:noVBand="1"/>
      </w:tblPr>
      <w:tblGrid>
        <w:gridCol w:w="2835"/>
        <w:gridCol w:w="1276"/>
        <w:gridCol w:w="1276"/>
        <w:gridCol w:w="1276"/>
        <w:gridCol w:w="1134"/>
        <w:gridCol w:w="1134"/>
        <w:gridCol w:w="1275"/>
      </w:tblGrid>
      <w:tr w:rsidR="005E1FD9" w:rsidRPr="00B57DAB" w:rsidTr="005E1FD9">
        <w:trPr>
          <w:trHeight w:val="1331"/>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FD9" w:rsidRPr="00B57DAB" w:rsidRDefault="005E1FD9" w:rsidP="005B7DCC">
            <w:pPr>
              <w:rPr>
                <w:rFonts w:ascii="Calibri" w:hAnsi="Calibri" w:cs="Calibri"/>
                <w:sz w:val="18"/>
                <w:szCs w:val="18"/>
              </w:rPr>
            </w:pPr>
            <w:r w:rsidRPr="00B57DAB">
              <w:rPr>
                <w:rFonts w:ascii="Calibri" w:hAnsi="Calibri" w:cs="Calibri"/>
                <w:sz w:val="18"/>
                <w:szCs w:val="18"/>
              </w:rPr>
              <w:t> </w:t>
            </w:r>
          </w:p>
        </w:tc>
        <w:tc>
          <w:tcPr>
            <w:tcW w:w="1276" w:type="dxa"/>
            <w:tcBorders>
              <w:top w:val="single" w:sz="4" w:space="0" w:color="auto"/>
              <w:left w:val="nil"/>
              <w:bottom w:val="single" w:sz="4" w:space="0" w:color="auto"/>
              <w:right w:val="single" w:sz="4" w:space="0" w:color="auto"/>
            </w:tcBorders>
            <w:shd w:val="clear" w:color="auto" w:fill="auto"/>
            <w:hideMark/>
          </w:tcPr>
          <w:p w:rsidR="005E1FD9" w:rsidRPr="00B57DAB" w:rsidRDefault="005E1FD9" w:rsidP="00D43FE6">
            <w:pPr>
              <w:jc w:val="center"/>
              <w:rPr>
                <w:rFonts w:ascii="GHEA Grapalat" w:hAnsi="GHEA Grapalat"/>
                <w:b/>
                <w:sz w:val="18"/>
                <w:szCs w:val="18"/>
              </w:rPr>
            </w:pPr>
            <w:r w:rsidRPr="00B57DAB">
              <w:rPr>
                <w:rFonts w:ascii="GHEA Grapalat" w:hAnsi="GHEA Grapalat"/>
                <w:b/>
                <w:color w:val="000000"/>
                <w:sz w:val="18"/>
                <w:szCs w:val="18"/>
                <w:lang w:val="hy-AM"/>
              </w:rPr>
              <w:t>2021թ. առաջին եռամս</w:t>
            </w:r>
            <w:r w:rsidRPr="00B57DAB">
              <w:rPr>
                <w:rFonts w:ascii="GHEA Grapalat" w:hAnsi="GHEA Grapalat"/>
                <w:b/>
                <w:color w:val="000000"/>
                <w:sz w:val="18"/>
                <w:szCs w:val="18"/>
              </w:rPr>
              <w:t>-</w:t>
            </w:r>
            <w:r w:rsidRPr="00B57DAB">
              <w:rPr>
                <w:rFonts w:ascii="GHEA Grapalat" w:hAnsi="GHEA Grapalat"/>
                <w:b/>
                <w:color w:val="000000"/>
                <w:sz w:val="18"/>
                <w:szCs w:val="18"/>
                <w:lang w:val="hy-AM"/>
              </w:rPr>
              <w:t xml:space="preserve">յակում </w:t>
            </w:r>
            <w:r w:rsidRPr="00B57DAB">
              <w:rPr>
                <w:rFonts w:ascii="GHEA Grapalat" w:hAnsi="GHEA Grapalat"/>
                <w:b/>
                <w:sz w:val="18"/>
                <w:szCs w:val="18"/>
                <w:lang w:val="hy-AM"/>
              </w:rPr>
              <w:t>սովորող</w:t>
            </w:r>
            <w:r w:rsidRPr="00B57DAB">
              <w:rPr>
                <w:rFonts w:ascii="GHEA Grapalat" w:hAnsi="GHEA Grapalat"/>
                <w:b/>
                <w:sz w:val="18"/>
                <w:szCs w:val="18"/>
              </w:rPr>
              <w:t>-</w:t>
            </w:r>
            <w:r w:rsidRPr="00B57DAB">
              <w:rPr>
                <w:rFonts w:ascii="GHEA Grapalat" w:hAnsi="GHEA Grapalat"/>
                <w:b/>
                <w:sz w:val="18"/>
                <w:szCs w:val="18"/>
                <w:lang w:val="hy-AM"/>
              </w:rPr>
              <w:t>ների փաստացի թիվ</w:t>
            </w:r>
          </w:p>
        </w:tc>
        <w:tc>
          <w:tcPr>
            <w:tcW w:w="1276" w:type="dxa"/>
            <w:tcBorders>
              <w:top w:val="single" w:sz="4" w:space="0" w:color="auto"/>
              <w:left w:val="nil"/>
              <w:bottom w:val="single" w:sz="4" w:space="0" w:color="auto"/>
              <w:right w:val="single" w:sz="4" w:space="0" w:color="auto"/>
            </w:tcBorders>
            <w:shd w:val="clear" w:color="auto" w:fill="auto"/>
            <w:hideMark/>
          </w:tcPr>
          <w:p w:rsidR="005E1FD9" w:rsidRPr="00B57DAB" w:rsidRDefault="005E1FD9" w:rsidP="00D43FE6">
            <w:pPr>
              <w:jc w:val="center"/>
              <w:rPr>
                <w:rFonts w:ascii="GHEA Grapalat" w:hAnsi="GHEA Grapalat"/>
                <w:b/>
                <w:color w:val="000000"/>
                <w:sz w:val="18"/>
                <w:szCs w:val="18"/>
                <w:lang w:val="hy-AM"/>
              </w:rPr>
            </w:pPr>
            <w:r w:rsidRPr="00B57DAB">
              <w:rPr>
                <w:rFonts w:ascii="GHEA Grapalat" w:hAnsi="GHEA Grapalat"/>
                <w:b/>
                <w:color w:val="000000"/>
                <w:sz w:val="18"/>
                <w:szCs w:val="18"/>
                <w:lang w:val="hy-AM"/>
              </w:rPr>
              <w:t>2022թ. առաջին եռամս</w:t>
            </w:r>
            <w:r w:rsidRPr="00B57DAB">
              <w:rPr>
                <w:rFonts w:ascii="GHEA Grapalat" w:hAnsi="GHEA Grapalat"/>
                <w:b/>
                <w:color w:val="000000"/>
                <w:sz w:val="18"/>
                <w:szCs w:val="18"/>
              </w:rPr>
              <w:t>-</w:t>
            </w:r>
            <w:r w:rsidRPr="00B57DAB">
              <w:rPr>
                <w:rFonts w:ascii="GHEA Grapalat" w:hAnsi="GHEA Grapalat"/>
                <w:b/>
                <w:color w:val="000000"/>
                <w:sz w:val="18"/>
                <w:szCs w:val="18"/>
                <w:lang w:val="hy-AM"/>
              </w:rPr>
              <w:t xml:space="preserve">յակում </w:t>
            </w:r>
            <w:r w:rsidRPr="00B57DAB">
              <w:rPr>
                <w:rFonts w:ascii="GHEA Grapalat" w:hAnsi="GHEA Grapalat"/>
                <w:b/>
                <w:sz w:val="18"/>
                <w:szCs w:val="18"/>
                <w:lang w:val="hy-AM"/>
              </w:rPr>
              <w:t>սովորող</w:t>
            </w:r>
            <w:r w:rsidRPr="00B57DAB">
              <w:rPr>
                <w:rFonts w:ascii="GHEA Grapalat" w:hAnsi="GHEA Grapalat"/>
                <w:b/>
                <w:sz w:val="18"/>
                <w:szCs w:val="18"/>
              </w:rPr>
              <w:t>-</w:t>
            </w:r>
            <w:r w:rsidRPr="00B57DAB">
              <w:rPr>
                <w:rFonts w:ascii="GHEA Grapalat" w:hAnsi="GHEA Grapalat"/>
                <w:b/>
                <w:sz w:val="18"/>
                <w:szCs w:val="18"/>
                <w:lang w:val="hy-AM"/>
              </w:rPr>
              <w:t>ների փաստացի թիվ</w:t>
            </w:r>
          </w:p>
        </w:tc>
        <w:tc>
          <w:tcPr>
            <w:tcW w:w="1276" w:type="dxa"/>
            <w:tcBorders>
              <w:top w:val="single" w:sz="4" w:space="0" w:color="auto"/>
              <w:left w:val="nil"/>
              <w:bottom w:val="single" w:sz="4" w:space="0" w:color="auto"/>
              <w:right w:val="single" w:sz="4" w:space="0" w:color="auto"/>
            </w:tcBorders>
            <w:shd w:val="clear" w:color="auto" w:fill="auto"/>
            <w:noWrap/>
            <w:hideMark/>
          </w:tcPr>
          <w:p w:rsidR="005E1FD9" w:rsidRPr="00B57DAB" w:rsidRDefault="005E1FD9" w:rsidP="00D43FE6">
            <w:pPr>
              <w:jc w:val="center"/>
              <w:rPr>
                <w:rFonts w:ascii="GHEA Grapalat" w:hAnsi="GHEA Grapalat"/>
                <w:b/>
                <w:color w:val="000000"/>
                <w:sz w:val="18"/>
                <w:szCs w:val="18"/>
                <w:lang w:val="hy-AM"/>
              </w:rPr>
            </w:pPr>
            <w:r w:rsidRPr="00B57DAB">
              <w:rPr>
                <w:rFonts w:ascii="GHEA Grapalat" w:hAnsi="GHEA Grapalat"/>
                <w:b/>
                <w:color w:val="000000"/>
                <w:sz w:val="18"/>
                <w:szCs w:val="18"/>
                <w:lang w:val="hy-AM"/>
              </w:rPr>
              <w:t>2022թ. առաջին եռամսյակ</w:t>
            </w:r>
            <w:r w:rsidRPr="00B57DAB">
              <w:rPr>
                <w:rFonts w:ascii="GHEA Grapalat" w:hAnsi="GHEA Grapalat"/>
                <w:b/>
                <w:color w:val="000000"/>
                <w:sz w:val="18"/>
                <w:szCs w:val="18"/>
              </w:rPr>
              <w:t>ի</w:t>
            </w:r>
            <w:r w:rsidRPr="00B57DAB">
              <w:rPr>
                <w:rFonts w:ascii="GHEA Grapalat" w:hAnsi="GHEA Grapalat"/>
                <w:b/>
                <w:color w:val="000000"/>
                <w:sz w:val="18"/>
                <w:szCs w:val="18"/>
                <w:lang w:val="hy-AM"/>
              </w:rPr>
              <w:t xml:space="preserve"> և 2021թ. առաջին եռամսյակի տարբե-րությունը</w:t>
            </w:r>
          </w:p>
        </w:tc>
        <w:tc>
          <w:tcPr>
            <w:tcW w:w="1134" w:type="dxa"/>
            <w:tcBorders>
              <w:top w:val="single" w:sz="4" w:space="0" w:color="auto"/>
              <w:left w:val="nil"/>
              <w:bottom w:val="single" w:sz="4" w:space="0" w:color="auto"/>
              <w:right w:val="single" w:sz="4" w:space="0" w:color="auto"/>
            </w:tcBorders>
            <w:shd w:val="clear" w:color="auto" w:fill="auto"/>
            <w:hideMark/>
          </w:tcPr>
          <w:p w:rsidR="005E1FD9" w:rsidRPr="00B57DAB" w:rsidRDefault="005E1FD9" w:rsidP="00D43FE6">
            <w:pPr>
              <w:jc w:val="center"/>
              <w:rPr>
                <w:rFonts w:ascii="GHEA Grapalat" w:hAnsi="GHEA Grapalat"/>
                <w:b/>
                <w:color w:val="000000"/>
                <w:sz w:val="18"/>
                <w:szCs w:val="18"/>
                <w:lang w:val="hy-AM"/>
              </w:rPr>
            </w:pPr>
            <w:r w:rsidRPr="00B57DAB">
              <w:rPr>
                <w:rFonts w:ascii="GHEA Grapalat" w:hAnsi="GHEA Grapalat"/>
                <w:b/>
                <w:color w:val="000000"/>
                <w:sz w:val="18"/>
                <w:szCs w:val="18"/>
                <w:lang w:val="hy-AM"/>
              </w:rPr>
              <w:t>2021թ. առաջին եռամս</w:t>
            </w:r>
            <w:r w:rsidRPr="00B57DAB">
              <w:rPr>
                <w:rFonts w:ascii="GHEA Grapalat" w:hAnsi="GHEA Grapalat"/>
                <w:b/>
                <w:color w:val="000000"/>
                <w:sz w:val="18"/>
                <w:szCs w:val="18"/>
              </w:rPr>
              <w:t>-</w:t>
            </w:r>
            <w:r w:rsidRPr="00B57DAB">
              <w:rPr>
                <w:rFonts w:ascii="GHEA Grapalat" w:hAnsi="GHEA Grapalat"/>
                <w:b/>
                <w:color w:val="000000"/>
                <w:sz w:val="18"/>
                <w:szCs w:val="18"/>
                <w:lang w:val="hy-AM"/>
              </w:rPr>
              <w:t>յակի փաստ</w:t>
            </w:r>
          </w:p>
          <w:p w:rsidR="005E1FD9" w:rsidRPr="00B57DAB" w:rsidRDefault="005E1FD9" w:rsidP="00D43FE6">
            <w:pPr>
              <w:jc w:val="center"/>
              <w:rPr>
                <w:rFonts w:ascii="GHEA Grapalat" w:hAnsi="GHEA Grapalat"/>
                <w:b/>
                <w:color w:val="000000"/>
                <w:sz w:val="18"/>
                <w:szCs w:val="18"/>
                <w:lang w:val="hy-AM"/>
              </w:rPr>
            </w:pPr>
            <w:r w:rsidRPr="00B57DAB">
              <w:rPr>
                <w:rFonts w:ascii="GHEA Grapalat" w:hAnsi="GHEA Grapalat"/>
                <w:b/>
                <w:color w:val="000000"/>
                <w:sz w:val="18"/>
                <w:szCs w:val="18"/>
                <w:lang w:val="hy-AM"/>
              </w:rPr>
              <w:t>(մլն դրամ)</w:t>
            </w:r>
          </w:p>
        </w:tc>
        <w:tc>
          <w:tcPr>
            <w:tcW w:w="1134" w:type="dxa"/>
            <w:tcBorders>
              <w:top w:val="single" w:sz="4" w:space="0" w:color="auto"/>
              <w:left w:val="nil"/>
              <w:bottom w:val="single" w:sz="4" w:space="0" w:color="auto"/>
              <w:right w:val="single" w:sz="4" w:space="0" w:color="auto"/>
            </w:tcBorders>
            <w:shd w:val="clear" w:color="auto" w:fill="auto"/>
            <w:hideMark/>
          </w:tcPr>
          <w:p w:rsidR="005E1FD9" w:rsidRPr="00B57DAB" w:rsidRDefault="005E1FD9" w:rsidP="00D43FE6">
            <w:pPr>
              <w:jc w:val="center"/>
              <w:rPr>
                <w:rFonts w:ascii="GHEA Grapalat" w:hAnsi="GHEA Grapalat"/>
                <w:b/>
                <w:color w:val="000000"/>
                <w:sz w:val="18"/>
                <w:szCs w:val="18"/>
                <w:lang w:val="hy-AM"/>
              </w:rPr>
            </w:pPr>
            <w:r w:rsidRPr="00B57DAB">
              <w:rPr>
                <w:rFonts w:ascii="GHEA Grapalat" w:hAnsi="GHEA Grapalat"/>
                <w:b/>
                <w:color w:val="000000"/>
                <w:sz w:val="18"/>
                <w:szCs w:val="18"/>
                <w:lang w:val="hy-AM"/>
              </w:rPr>
              <w:t>2022թ. առաջին եռամս</w:t>
            </w:r>
            <w:r w:rsidRPr="00B57DAB">
              <w:rPr>
                <w:rFonts w:ascii="GHEA Grapalat" w:hAnsi="GHEA Grapalat"/>
                <w:b/>
                <w:color w:val="000000"/>
                <w:sz w:val="18"/>
                <w:szCs w:val="18"/>
              </w:rPr>
              <w:t>-</w:t>
            </w:r>
            <w:r w:rsidRPr="00B57DAB">
              <w:rPr>
                <w:rFonts w:ascii="GHEA Grapalat" w:hAnsi="GHEA Grapalat"/>
                <w:b/>
                <w:color w:val="000000"/>
                <w:sz w:val="18"/>
                <w:szCs w:val="18"/>
                <w:lang w:val="hy-AM"/>
              </w:rPr>
              <w:t>յակի փաստ (մլն դրամ)</w:t>
            </w:r>
          </w:p>
        </w:tc>
        <w:tc>
          <w:tcPr>
            <w:tcW w:w="1275" w:type="dxa"/>
            <w:tcBorders>
              <w:top w:val="single" w:sz="4" w:space="0" w:color="auto"/>
              <w:left w:val="nil"/>
              <w:bottom w:val="single" w:sz="4" w:space="0" w:color="auto"/>
              <w:right w:val="single" w:sz="4" w:space="0" w:color="auto"/>
            </w:tcBorders>
            <w:shd w:val="clear" w:color="auto" w:fill="auto"/>
            <w:hideMark/>
          </w:tcPr>
          <w:p w:rsidR="005E1FD9" w:rsidRPr="00B57DAB" w:rsidRDefault="005E1FD9" w:rsidP="00D43FE6">
            <w:pPr>
              <w:jc w:val="center"/>
              <w:rPr>
                <w:rFonts w:ascii="GHEA Grapalat" w:hAnsi="GHEA Grapalat"/>
                <w:b/>
                <w:color w:val="000000"/>
                <w:sz w:val="18"/>
                <w:szCs w:val="18"/>
                <w:lang w:val="hy-AM"/>
              </w:rPr>
            </w:pPr>
            <w:r w:rsidRPr="00B57DAB">
              <w:rPr>
                <w:rFonts w:ascii="GHEA Grapalat" w:hAnsi="GHEA Grapalat"/>
                <w:b/>
                <w:color w:val="000000"/>
                <w:sz w:val="18"/>
                <w:szCs w:val="18"/>
                <w:lang w:val="hy-AM"/>
              </w:rPr>
              <w:t>2022թ.</w:t>
            </w:r>
            <w:r w:rsidR="00D027DA" w:rsidRPr="00B57DAB">
              <w:rPr>
                <w:rFonts w:ascii="GHEA Grapalat" w:hAnsi="GHEA Grapalat"/>
                <w:b/>
                <w:color w:val="000000"/>
                <w:sz w:val="18"/>
                <w:szCs w:val="18"/>
                <w:lang w:val="hy-AM"/>
              </w:rPr>
              <w:t xml:space="preserve"> </w:t>
            </w:r>
            <w:r w:rsidRPr="00B57DAB">
              <w:rPr>
                <w:rFonts w:ascii="GHEA Grapalat" w:hAnsi="GHEA Grapalat"/>
                <w:b/>
                <w:color w:val="000000"/>
                <w:sz w:val="18"/>
                <w:szCs w:val="18"/>
                <w:lang w:val="hy-AM"/>
              </w:rPr>
              <w:t>առաջին եռամսյակը 2021թ.</w:t>
            </w:r>
            <w:r w:rsidR="00D027DA" w:rsidRPr="00B57DAB">
              <w:rPr>
                <w:rFonts w:ascii="GHEA Grapalat" w:hAnsi="GHEA Grapalat"/>
                <w:b/>
                <w:color w:val="000000"/>
                <w:sz w:val="18"/>
                <w:szCs w:val="18"/>
                <w:lang w:val="hy-AM"/>
              </w:rPr>
              <w:t xml:space="preserve"> </w:t>
            </w:r>
            <w:r w:rsidRPr="00B57DAB">
              <w:rPr>
                <w:rFonts w:ascii="GHEA Grapalat" w:hAnsi="GHEA Grapalat"/>
                <w:b/>
                <w:color w:val="000000"/>
                <w:sz w:val="18"/>
                <w:szCs w:val="18"/>
                <w:lang w:val="hy-AM"/>
              </w:rPr>
              <w:t>առաջին եռամսյակի</w:t>
            </w:r>
            <w:r w:rsidR="00D027DA" w:rsidRPr="00B57DAB">
              <w:rPr>
                <w:rFonts w:ascii="GHEA Grapalat" w:hAnsi="GHEA Grapalat"/>
                <w:b/>
                <w:color w:val="000000"/>
                <w:sz w:val="18"/>
                <w:szCs w:val="18"/>
                <w:lang w:val="hy-AM"/>
              </w:rPr>
              <w:t xml:space="preserve"> </w:t>
            </w:r>
            <w:r w:rsidRPr="00B57DAB">
              <w:rPr>
                <w:rFonts w:ascii="GHEA Grapalat" w:hAnsi="GHEA Grapalat"/>
                <w:b/>
                <w:color w:val="000000"/>
                <w:sz w:val="18"/>
                <w:szCs w:val="18"/>
                <w:lang w:val="hy-AM"/>
              </w:rPr>
              <w:t>նկատմամբ (%)</w:t>
            </w:r>
          </w:p>
        </w:tc>
      </w:tr>
      <w:tr w:rsidR="003944FD" w:rsidRPr="00B57DAB" w:rsidTr="003944FD">
        <w:trPr>
          <w:trHeight w:val="239"/>
        </w:trPr>
        <w:tc>
          <w:tcPr>
            <w:tcW w:w="2835" w:type="dxa"/>
            <w:tcBorders>
              <w:top w:val="nil"/>
              <w:left w:val="single" w:sz="4" w:space="0" w:color="auto"/>
              <w:bottom w:val="single" w:sz="4" w:space="0" w:color="auto"/>
              <w:right w:val="single" w:sz="4" w:space="0" w:color="auto"/>
            </w:tcBorders>
            <w:shd w:val="clear" w:color="auto" w:fill="auto"/>
            <w:hideMark/>
          </w:tcPr>
          <w:p w:rsidR="003944FD" w:rsidRPr="00B57DAB" w:rsidRDefault="003944FD" w:rsidP="005B7DCC">
            <w:pPr>
              <w:rPr>
                <w:rFonts w:ascii="GHEA Grapalat" w:hAnsi="GHEA Grapalat"/>
                <w:b/>
                <w:sz w:val="18"/>
                <w:szCs w:val="18"/>
              </w:rPr>
            </w:pPr>
            <w:r w:rsidRPr="00B57DAB">
              <w:rPr>
                <w:rFonts w:ascii="GHEA Grapalat" w:hAnsi="GHEA Grapalat" w:cs="Arial"/>
                <w:b/>
                <w:sz w:val="18"/>
                <w:szCs w:val="18"/>
              </w:rPr>
              <w:t>Հատուկ հանրակրթություն</w:t>
            </w:r>
          </w:p>
        </w:tc>
        <w:tc>
          <w:tcPr>
            <w:tcW w:w="1276" w:type="dxa"/>
            <w:tcBorders>
              <w:top w:val="nil"/>
              <w:left w:val="nil"/>
              <w:bottom w:val="single" w:sz="4" w:space="0" w:color="auto"/>
              <w:right w:val="single" w:sz="4" w:space="0" w:color="auto"/>
            </w:tcBorders>
            <w:shd w:val="clear" w:color="auto" w:fill="auto"/>
          </w:tcPr>
          <w:p w:rsidR="003944FD" w:rsidRPr="00B57DAB" w:rsidRDefault="003944FD" w:rsidP="005B7DCC">
            <w:pPr>
              <w:jc w:val="right"/>
              <w:rPr>
                <w:rFonts w:ascii="GHEA Grapalat" w:hAnsi="GHEA Grapalat"/>
                <w:b/>
                <w:color w:val="000000"/>
                <w:sz w:val="18"/>
                <w:szCs w:val="18"/>
              </w:rPr>
            </w:pPr>
            <w:r w:rsidRPr="00B57DAB">
              <w:rPr>
                <w:rFonts w:ascii="GHEA Grapalat" w:hAnsi="GHEA Grapalat"/>
                <w:b/>
                <w:color w:val="000000"/>
                <w:sz w:val="18"/>
                <w:szCs w:val="18"/>
              </w:rPr>
              <w:t>505</w:t>
            </w:r>
          </w:p>
        </w:tc>
        <w:tc>
          <w:tcPr>
            <w:tcW w:w="1276" w:type="dxa"/>
            <w:tcBorders>
              <w:top w:val="nil"/>
              <w:left w:val="nil"/>
              <w:bottom w:val="single" w:sz="4" w:space="0" w:color="auto"/>
              <w:right w:val="single" w:sz="4" w:space="0" w:color="auto"/>
            </w:tcBorders>
            <w:shd w:val="clear" w:color="auto" w:fill="auto"/>
          </w:tcPr>
          <w:p w:rsidR="003944FD" w:rsidRPr="00B57DAB" w:rsidRDefault="003944FD" w:rsidP="005B7DCC">
            <w:pPr>
              <w:jc w:val="right"/>
              <w:rPr>
                <w:rFonts w:ascii="GHEA Grapalat" w:hAnsi="GHEA Grapalat"/>
                <w:b/>
                <w:color w:val="000000"/>
                <w:sz w:val="18"/>
                <w:szCs w:val="18"/>
              </w:rPr>
            </w:pPr>
            <w:r w:rsidRPr="00B57DAB">
              <w:rPr>
                <w:rFonts w:ascii="GHEA Grapalat" w:hAnsi="GHEA Grapalat"/>
                <w:b/>
                <w:color w:val="000000"/>
                <w:sz w:val="18"/>
                <w:szCs w:val="18"/>
              </w:rPr>
              <w:t>533</w:t>
            </w:r>
          </w:p>
        </w:tc>
        <w:tc>
          <w:tcPr>
            <w:tcW w:w="1276" w:type="dxa"/>
            <w:tcBorders>
              <w:top w:val="nil"/>
              <w:left w:val="nil"/>
              <w:bottom w:val="single" w:sz="4" w:space="0" w:color="auto"/>
              <w:right w:val="single" w:sz="4" w:space="0" w:color="auto"/>
            </w:tcBorders>
            <w:shd w:val="clear" w:color="auto" w:fill="auto"/>
          </w:tcPr>
          <w:p w:rsidR="003944FD" w:rsidRPr="00B57DAB" w:rsidRDefault="003944FD" w:rsidP="005B7DCC">
            <w:pPr>
              <w:jc w:val="right"/>
              <w:rPr>
                <w:rFonts w:ascii="GHEA Grapalat" w:hAnsi="GHEA Grapalat"/>
                <w:b/>
                <w:sz w:val="18"/>
                <w:szCs w:val="18"/>
              </w:rPr>
            </w:pPr>
            <w:r w:rsidRPr="00B57DAB">
              <w:rPr>
                <w:rFonts w:ascii="GHEA Grapalat" w:hAnsi="GHEA Grapalat"/>
                <w:b/>
                <w:sz w:val="18"/>
                <w:szCs w:val="18"/>
              </w:rPr>
              <w:t xml:space="preserve">28 </w:t>
            </w:r>
          </w:p>
        </w:tc>
        <w:tc>
          <w:tcPr>
            <w:tcW w:w="1134" w:type="dxa"/>
            <w:tcBorders>
              <w:top w:val="nil"/>
              <w:left w:val="nil"/>
              <w:bottom w:val="single" w:sz="4" w:space="0" w:color="auto"/>
              <w:right w:val="single" w:sz="4" w:space="0" w:color="auto"/>
            </w:tcBorders>
            <w:shd w:val="clear" w:color="auto" w:fill="auto"/>
          </w:tcPr>
          <w:p w:rsidR="003944FD" w:rsidRPr="00B57DAB" w:rsidRDefault="003944FD" w:rsidP="005B7DCC">
            <w:pPr>
              <w:jc w:val="right"/>
              <w:rPr>
                <w:rFonts w:ascii="GHEA Grapalat" w:hAnsi="GHEA Grapalat"/>
                <w:b/>
                <w:color w:val="000000"/>
                <w:sz w:val="18"/>
                <w:szCs w:val="18"/>
              </w:rPr>
            </w:pPr>
            <w:r w:rsidRPr="00B57DAB">
              <w:rPr>
                <w:rFonts w:ascii="GHEA Grapalat" w:hAnsi="GHEA Grapalat"/>
                <w:b/>
                <w:color w:val="000000"/>
                <w:sz w:val="18"/>
                <w:szCs w:val="18"/>
              </w:rPr>
              <w:t>224.3</w:t>
            </w:r>
          </w:p>
        </w:tc>
        <w:tc>
          <w:tcPr>
            <w:tcW w:w="1134" w:type="dxa"/>
            <w:tcBorders>
              <w:top w:val="nil"/>
              <w:left w:val="nil"/>
              <w:bottom w:val="single" w:sz="4" w:space="0" w:color="auto"/>
              <w:right w:val="single" w:sz="4" w:space="0" w:color="auto"/>
            </w:tcBorders>
            <w:shd w:val="clear" w:color="auto" w:fill="auto"/>
          </w:tcPr>
          <w:p w:rsidR="003944FD" w:rsidRPr="00B57DAB" w:rsidRDefault="003944FD" w:rsidP="005B7DCC">
            <w:pPr>
              <w:jc w:val="right"/>
              <w:rPr>
                <w:rFonts w:ascii="GHEA Grapalat" w:hAnsi="GHEA Grapalat"/>
                <w:b/>
                <w:color w:val="000000"/>
                <w:sz w:val="18"/>
                <w:szCs w:val="18"/>
              </w:rPr>
            </w:pPr>
            <w:r w:rsidRPr="00B57DAB">
              <w:rPr>
                <w:rFonts w:ascii="GHEA Grapalat" w:hAnsi="GHEA Grapalat"/>
                <w:b/>
                <w:color w:val="000000"/>
                <w:sz w:val="18"/>
                <w:szCs w:val="18"/>
              </w:rPr>
              <w:t>248.5</w:t>
            </w:r>
          </w:p>
        </w:tc>
        <w:tc>
          <w:tcPr>
            <w:tcW w:w="1275" w:type="dxa"/>
            <w:tcBorders>
              <w:top w:val="nil"/>
              <w:left w:val="nil"/>
              <w:bottom w:val="single" w:sz="4" w:space="0" w:color="auto"/>
              <w:right w:val="single" w:sz="4" w:space="0" w:color="auto"/>
            </w:tcBorders>
            <w:shd w:val="clear" w:color="auto" w:fill="auto"/>
            <w:vAlign w:val="bottom"/>
          </w:tcPr>
          <w:p w:rsidR="003944FD" w:rsidRPr="00B57DAB" w:rsidRDefault="003944FD" w:rsidP="003944FD">
            <w:pPr>
              <w:jc w:val="right"/>
              <w:rPr>
                <w:rFonts w:ascii="GHEA Grapalat" w:hAnsi="GHEA Grapalat"/>
                <w:b/>
                <w:color w:val="000000"/>
                <w:sz w:val="18"/>
                <w:szCs w:val="18"/>
              </w:rPr>
            </w:pPr>
            <w:r w:rsidRPr="00B57DAB">
              <w:rPr>
                <w:rFonts w:ascii="GHEA Grapalat" w:hAnsi="GHEA Grapalat"/>
                <w:b/>
                <w:color w:val="000000"/>
                <w:sz w:val="18"/>
                <w:szCs w:val="18"/>
              </w:rPr>
              <w:t>110.8</w:t>
            </w:r>
          </w:p>
        </w:tc>
      </w:tr>
      <w:tr w:rsidR="003944FD" w:rsidRPr="00B57DAB" w:rsidTr="003944FD">
        <w:trPr>
          <w:trHeight w:val="271"/>
        </w:trPr>
        <w:tc>
          <w:tcPr>
            <w:tcW w:w="2835" w:type="dxa"/>
            <w:tcBorders>
              <w:top w:val="nil"/>
              <w:left w:val="single" w:sz="4" w:space="0" w:color="auto"/>
              <w:bottom w:val="single" w:sz="4" w:space="0" w:color="auto"/>
              <w:right w:val="single" w:sz="4" w:space="0" w:color="auto"/>
            </w:tcBorders>
            <w:shd w:val="clear" w:color="auto" w:fill="auto"/>
            <w:hideMark/>
          </w:tcPr>
          <w:p w:rsidR="003944FD" w:rsidRPr="00B57DAB" w:rsidRDefault="003944FD" w:rsidP="005B7DCC">
            <w:pPr>
              <w:rPr>
                <w:rFonts w:ascii="GHEA Grapalat" w:hAnsi="GHEA Grapalat"/>
                <w:sz w:val="18"/>
                <w:szCs w:val="18"/>
              </w:rPr>
            </w:pPr>
            <w:r w:rsidRPr="00B57DAB">
              <w:rPr>
                <w:rFonts w:ascii="GHEA Grapalat" w:hAnsi="GHEA Grapalat" w:cs="Arial"/>
                <w:sz w:val="18"/>
                <w:szCs w:val="18"/>
              </w:rPr>
              <w:t>Տարրական</w:t>
            </w:r>
          </w:p>
        </w:tc>
        <w:tc>
          <w:tcPr>
            <w:tcW w:w="1276" w:type="dxa"/>
            <w:tcBorders>
              <w:top w:val="nil"/>
              <w:left w:val="nil"/>
              <w:bottom w:val="single" w:sz="4" w:space="0" w:color="auto"/>
              <w:right w:val="single" w:sz="4" w:space="0" w:color="auto"/>
            </w:tcBorders>
            <w:shd w:val="clear" w:color="auto" w:fill="auto"/>
          </w:tcPr>
          <w:p w:rsidR="003944FD" w:rsidRPr="00B57DAB" w:rsidRDefault="003944FD" w:rsidP="005B7DCC">
            <w:pPr>
              <w:jc w:val="right"/>
              <w:rPr>
                <w:rFonts w:ascii="GHEA Grapalat" w:hAnsi="GHEA Grapalat"/>
                <w:color w:val="000000"/>
                <w:sz w:val="18"/>
                <w:szCs w:val="18"/>
              </w:rPr>
            </w:pPr>
            <w:r w:rsidRPr="00B57DAB">
              <w:rPr>
                <w:rFonts w:ascii="GHEA Grapalat" w:hAnsi="GHEA Grapalat"/>
                <w:color w:val="000000"/>
                <w:sz w:val="18"/>
                <w:szCs w:val="18"/>
              </w:rPr>
              <w:t>162</w:t>
            </w:r>
          </w:p>
        </w:tc>
        <w:tc>
          <w:tcPr>
            <w:tcW w:w="1276" w:type="dxa"/>
            <w:tcBorders>
              <w:top w:val="nil"/>
              <w:left w:val="nil"/>
              <w:bottom w:val="single" w:sz="4" w:space="0" w:color="auto"/>
              <w:right w:val="single" w:sz="4" w:space="0" w:color="auto"/>
            </w:tcBorders>
            <w:shd w:val="clear" w:color="auto" w:fill="auto"/>
          </w:tcPr>
          <w:p w:rsidR="003944FD" w:rsidRPr="00B57DAB" w:rsidRDefault="003944FD" w:rsidP="005B7DCC">
            <w:pPr>
              <w:jc w:val="right"/>
              <w:rPr>
                <w:rFonts w:ascii="GHEA Grapalat" w:hAnsi="GHEA Grapalat"/>
                <w:color w:val="000000"/>
                <w:sz w:val="18"/>
                <w:szCs w:val="18"/>
              </w:rPr>
            </w:pPr>
            <w:r w:rsidRPr="00B57DAB">
              <w:rPr>
                <w:rFonts w:ascii="GHEA Grapalat" w:hAnsi="GHEA Grapalat"/>
                <w:color w:val="000000"/>
                <w:sz w:val="18"/>
                <w:szCs w:val="18"/>
              </w:rPr>
              <w:t>159</w:t>
            </w:r>
          </w:p>
        </w:tc>
        <w:tc>
          <w:tcPr>
            <w:tcW w:w="1276" w:type="dxa"/>
            <w:tcBorders>
              <w:top w:val="nil"/>
              <w:left w:val="nil"/>
              <w:bottom w:val="single" w:sz="4" w:space="0" w:color="auto"/>
              <w:right w:val="single" w:sz="4" w:space="0" w:color="auto"/>
            </w:tcBorders>
            <w:shd w:val="clear" w:color="auto" w:fill="auto"/>
          </w:tcPr>
          <w:p w:rsidR="003944FD" w:rsidRPr="00B57DAB" w:rsidRDefault="003944FD" w:rsidP="005B7DCC">
            <w:pPr>
              <w:jc w:val="right"/>
              <w:rPr>
                <w:rFonts w:ascii="GHEA Grapalat" w:hAnsi="GHEA Grapalat"/>
                <w:sz w:val="18"/>
                <w:szCs w:val="18"/>
              </w:rPr>
            </w:pPr>
            <w:r w:rsidRPr="00B57DAB">
              <w:rPr>
                <w:rFonts w:ascii="GHEA Grapalat" w:hAnsi="GHEA Grapalat"/>
                <w:sz w:val="18"/>
                <w:szCs w:val="18"/>
              </w:rPr>
              <w:t>(3)</w:t>
            </w:r>
          </w:p>
        </w:tc>
        <w:tc>
          <w:tcPr>
            <w:tcW w:w="1134" w:type="dxa"/>
            <w:tcBorders>
              <w:top w:val="nil"/>
              <w:left w:val="nil"/>
              <w:bottom w:val="single" w:sz="4" w:space="0" w:color="auto"/>
              <w:right w:val="single" w:sz="4" w:space="0" w:color="auto"/>
            </w:tcBorders>
            <w:shd w:val="clear" w:color="auto" w:fill="auto"/>
          </w:tcPr>
          <w:p w:rsidR="003944FD" w:rsidRPr="00B57DAB" w:rsidRDefault="003944FD" w:rsidP="005B7DCC">
            <w:pPr>
              <w:jc w:val="right"/>
              <w:rPr>
                <w:rFonts w:ascii="GHEA Grapalat" w:hAnsi="GHEA Grapalat"/>
                <w:color w:val="000000"/>
                <w:sz w:val="18"/>
                <w:szCs w:val="18"/>
              </w:rPr>
            </w:pPr>
            <w:r w:rsidRPr="00B57DAB">
              <w:rPr>
                <w:rFonts w:ascii="GHEA Grapalat" w:hAnsi="GHEA Grapalat"/>
                <w:color w:val="000000"/>
                <w:sz w:val="18"/>
                <w:szCs w:val="18"/>
              </w:rPr>
              <w:t>67.6</w:t>
            </w:r>
          </w:p>
        </w:tc>
        <w:tc>
          <w:tcPr>
            <w:tcW w:w="1134" w:type="dxa"/>
            <w:tcBorders>
              <w:top w:val="nil"/>
              <w:left w:val="nil"/>
              <w:bottom w:val="single" w:sz="4" w:space="0" w:color="auto"/>
              <w:right w:val="single" w:sz="4" w:space="0" w:color="auto"/>
            </w:tcBorders>
            <w:shd w:val="clear" w:color="auto" w:fill="auto"/>
          </w:tcPr>
          <w:p w:rsidR="003944FD" w:rsidRPr="00B57DAB" w:rsidRDefault="003944FD" w:rsidP="005B7DCC">
            <w:pPr>
              <w:jc w:val="right"/>
              <w:rPr>
                <w:rFonts w:ascii="GHEA Grapalat" w:hAnsi="GHEA Grapalat"/>
                <w:color w:val="000000"/>
                <w:sz w:val="18"/>
                <w:szCs w:val="18"/>
              </w:rPr>
            </w:pPr>
            <w:r w:rsidRPr="00B57DAB">
              <w:rPr>
                <w:rFonts w:ascii="GHEA Grapalat" w:hAnsi="GHEA Grapalat"/>
                <w:color w:val="000000"/>
                <w:sz w:val="18"/>
                <w:szCs w:val="18"/>
              </w:rPr>
              <w:t>79.3</w:t>
            </w:r>
          </w:p>
        </w:tc>
        <w:tc>
          <w:tcPr>
            <w:tcW w:w="1275" w:type="dxa"/>
            <w:tcBorders>
              <w:top w:val="nil"/>
              <w:left w:val="nil"/>
              <w:bottom w:val="single" w:sz="4" w:space="0" w:color="auto"/>
              <w:right w:val="single" w:sz="4" w:space="0" w:color="auto"/>
            </w:tcBorders>
            <w:shd w:val="clear" w:color="auto" w:fill="auto"/>
            <w:vAlign w:val="bottom"/>
          </w:tcPr>
          <w:p w:rsidR="003944FD" w:rsidRPr="00B57DAB" w:rsidRDefault="003944FD" w:rsidP="003944FD">
            <w:pPr>
              <w:jc w:val="right"/>
              <w:rPr>
                <w:rFonts w:ascii="GHEA Grapalat" w:hAnsi="GHEA Grapalat"/>
                <w:color w:val="000000"/>
                <w:sz w:val="18"/>
                <w:szCs w:val="18"/>
              </w:rPr>
            </w:pPr>
            <w:r w:rsidRPr="00B57DAB">
              <w:rPr>
                <w:rFonts w:ascii="GHEA Grapalat" w:hAnsi="GHEA Grapalat"/>
                <w:color w:val="000000"/>
                <w:sz w:val="18"/>
                <w:szCs w:val="18"/>
              </w:rPr>
              <w:t>117.3</w:t>
            </w:r>
          </w:p>
        </w:tc>
      </w:tr>
      <w:tr w:rsidR="003944FD" w:rsidRPr="00B57DAB" w:rsidTr="003944FD">
        <w:trPr>
          <w:trHeight w:val="148"/>
        </w:trPr>
        <w:tc>
          <w:tcPr>
            <w:tcW w:w="2835" w:type="dxa"/>
            <w:tcBorders>
              <w:top w:val="nil"/>
              <w:left w:val="single" w:sz="4" w:space="0" w:color="auto"/>
              <w:bottom w:val="single" w:sz="4" w:space="0" w:color="auto"/>
              <w:right w:val="single" w:sz="4" w:space="0" w:color="auto"/>
            </w:tcBorders>
            <w:shd w:val="clear" w:color="auto" w:fill="auto"/>
            <w:hideMark/>
          </w:tcPr>
          <w:p w:rsidR="003944FD" w:rsidRPr="00B57DAB" w:rsidRDefault="003944FD" w:rsidP="005B7DCC">
            <w:pPr>
              <w:rPr>
                <w:rFonts w:ascii="GHEA Grapalat" w:hAnsi="GHEA Grapalat"/>
                <w:sz w:val="18"/>
                <w:szCs w:val="18"/>
              </w:rPr>
            </w:pPr>
            <w:r w:rsidRPr="00B57DAB">
              <w:rPr>
                <w:rFonts w:ascii="GHEA Grapalat" w:hAnsi="GHEA Grapalat" w:cs="Arial"/>
                <w:sz w:val="18"/>
                <w:szCs w:val="18"/>
              </w:rPr>
              <w:t>Հիմնական</w:t>
            </w:r>
          </w:p>
        </w:tc>
        <w:tc>
          <w:tcPr>
            <w:tcW w:w="1276" w:type="dxa"/>
            <w:tcBorders>
              <w:top w:val="nil"/>
              <w:left w:val="nil"/>
              <w:bottom w:val="single" w:sz="4" w:space="0" w:color="auto"/>
              <w:right w:val="single" w:sz="4" w:space="0" w:color="auto"/>
            </w:tcBorders>
            <w:shd w:val="clear" w:color="auto" w:fill="auto"/>
          </w:tcPr>
          <w:p w:rsidR="003944FD" w:rsidRPr="00B57DAB" w:rsidRDefault="003944FD" w:rsidP="005B7DCC">
            <w:pPr>
              <w:jc w:val="right"/>
              <w:rPr>
                <w:rFonts w:ascii="GHEA Grapalat" w:hAnsi="GHEA Grapalat"/>
                <w:color w:val="000000"/>
                <w:sz w:val="18"/>
                <w:szCs w:val="18"/>
              </w:rPr>
            </w:pPr>
            <w:r w:rsidRPr="00B57DAB">
              <w:rPr>
                <w:rFonts w:ascii="GHEA Grapalat" w:hAnsi="GHEA Grapalat"/>
                <w:color w:val="000000"/>
                <w:sz w:val="18"/>
                <w:szCs w:val="18"/>
              </w:rPr>
              <w:t>202</w:t>
            </w:r>
          </w:p>
        </w:tc>
        <w:tc>
          <w:tcPr>
            <w:tcW w:w="1276" w:type="dxa"/>
            <w:tcBorders>
              <w:top w:val="nil"/>
              <w:left w:val="nil"/>
              <w:bottom w:val="single" w:sz="4" w:space="0" w:color="auto"/>
              <w:right w:val="single" w:sz="4" w:space="0" w:color="auto"/>
            </w:tcBorders>
            <w:shd w:val="clear" w:color="auto" w:fill="auto"/>
          </w:tcPr>
          <w:p w:rsidR="003944FD" w:rsidRPr="00B57DAB" w:rsidRDefault="003944FD" w:rsidP="005B7DCC">
            <w:pPr>
              <w:jc w:val="right"/>
              <w:rPr>
                <w:rFonts w:ascii="GHEA Grapalat" w:hAnsi="GHEA Grapalat"/>
                <w:color w:val="000000"/>
                <w:sz w:val="18"/>
                <w:szCs w:val="18"/>
              </w:rPr>
            </w:pPr>
            <w:r w:rsidRPr="00B57DAB">
              <w:rPr>
                <w:rFonts w:ascii="GHEA Grapalat" w:hAnsi="GHEA Grapalat"/>
                <w:color w:val="000000"/>
                <w:sz w:val="18"/>
                <w:szCs w:val="18"/>
              </w:rPr>
              <w:t>235</w:t>
            </w:r>
          </w:p>
        </w:tc>
        <w:tc>
          <w:tcPr>
            <w:tcW w:w="1276" w:type="dxa"/>
            <w:tcBorders>
              <w:top w:val="nil"/>
              <w:left w:val="nil"/>
              <w:bottom w:val="single" w:sz="4" w:space="0" w:color="auto"/>
              <w:right w:val="single" w:sz="4" w:space="0" w:color="auto"/>
            </w:tcBorders>
            <w:shd w:val="clear" w:color="auto" w:fill="auto"/>
          </w:tcPr>
          <w:p w:rsidR="003944FD" w:rsidRPr="00B57DAB" w:rsidRDefault="003944FD" w:rsidP="005B7DCC">
            <w:pPr>
              <w:jc w:val="right"/>
              <w:rPr>
                <w:rFonts w:ascii="GHEA Grapalat" w:hAnsi="GHEA Grapalat"/>
                <w:sz w:val="18"/>
                <w:szCs w:val="18"/>
              </w:rPr>
            </w:pPr>
            <w:r w:rsidRPr="00B57DAB">
              <w:rPr>
                <w:rFonts w:ascii="GHEA Grapalat" w:hAnsi="GHEA Grapalat"/>
                <w:sz w:val="18"/>
                <w:szCs w:val="18"/>
              </w:rPr>
              <w:t xml:space="preserve">33 </w:t>
            </w:r>
          </w:p>
        </w:tc>
        <w:tc>
          <w:tcPr>
            <w:tcW w:w="1134" w:type="dxa"/>
            <w:tcBorders>
              <w:top w:val="nil"/>
              <w:left w:val="nil"/>
              <w:bottom w:val="single" w:sz="4" w:space="0" w:color="auto"/>
              <w:right w:val="single" w:sz="4" w:space="0" w:color="auto"/>
            </w:tcBorders>
            <w:shd w:val="clear" w:color="auto" w:fill="auto"/>
          </w:tcPr>
          <w:p w:rsidR="003944FD" w:rsidRPr="00B57DAB" w:rsidRDefault="003944FD" w:rsidP="005B7DCC">
            <w:pPr>
              <w:jc w:val="right"/>
              <w:rPr>
                <w:rFonts w:ascii="GHEA Grapalat" w:hAnsi="GHEA Grapalat"/>
                <w:color w:val="000000"/>
                <w:sz w:val="18"/>
                <w:szCs w:val="18"/>
              </w:rPr>
            </w:pPr>
            <w:r w:rsidRPr="00B57DAB">
              <w:rPr>
                <w:rFonts w:ascii="GHEA Grapalat" w:hAnsi="GHEA Grapalat"/>
                <w:color w:val="000000"/>
                <w:sz w:val="18"/>
                <w:szCs w:val="18"/>
              </w:rPr>
              <w:t>81.0</w:t>
            </w:r>
          </w:p>
        </w:tc>
        <w:tc>
          <w:tcPr>
            <w:tcW w:w="1134" w:type="dxa"/>
            <w:tcBorders>
              <w:top w:val="nil"/>
              <w:left w:val="nil"/>
              <w:bottom w:val="single" w:sz="4" w:space="0" w:color="auto"/>
              <w:right w:val="single" w:sz="4" w:space="0" w:color="auto"/>
            </w:tcBorders>
            <w:shd w:val="clear" w:color="auto" w:fill="auto"/>
          </w:tcPr>
          <w:p w:rsidR="003944FD" w:rsidRPr="00B57DAB" w:rsidRDefault="003944FD" w:rsidP="005B7DCC">
            <w:pPr>
              <w:jc w:val="right"/>
              <w:rPr>
                <w:rFonts w:ascii="GHEA Grapalat" w:hAnsi="GHEA Grapalat"/>
                <w:color w:val="000000"/>
                <w:sz w:val="18"/>
                <w:szCs w:val="18"/>
              </w:rPr>
            </w:pPr>
            <w:r w:rsidRPr="00B57DAB">
              <w:rPr>
                <w:rFonts w:ascii="GHEA Grapalat" w:hAnsi="GHEA Grapalat"/>
                <w:color w:val="000000"/>
                <w:sz w:val="18"/>
                <w:szCs w:val="18"/>
              </w:rPr>
              <w:t>100.9</w:t>
            </w:r>
          </w:p>
        </w:tc>
        <w:tc>
          <w:tcPr>
            <w:tcW w:w="1275" w:type="dxa"/>
            <w:tcBorders>
              <w:top w:val="nil"/>
              <w:left w:val="nil"/>
              <w:bottom w:val="single" w:sz="4" w:space="0" w:color="auto"/>
              <w:right w:val="single" w:sz="4" w:space="0" w:color="auto"/>
            </w:tcBorders>
            <w:shd w:val="clear" w:color="auto" w:fill="auto"/>
            <w:vAlign w:val="bottom"/>
          </w:tcPr>
          <w:p w:rsidR="003944FD" w:rsidRPr="00B57DAB" w:rsidRDefault="003944FD" w:rsidP="003944FD">
            <w:pPr>
              <w:jc w:val="right"/>
              <w:rPr>
                <w:rFonts w:ascii="GHEA Grapalat" w:hAnsi="GHEA Grapalat"/>
                <w:color w:val="000000"/>
                <w:sz w:val="18"/>
                <w:szCs w:val="18"/>
              </w:rPr>
            </w:pPr>
            <w:r w:rsidRPr="00B57DAB">
              <w:rPr>
                <w:rFonts w:ascii="GHEA Grapalat" w:hAnsi="GHEA Grapalat"/>
                <w:color w:val="000000"/>
                <w:sz w:val="18"/>
                <w:szCs w:val="18"/>
              </w:rPr>
              <w:t>124.6</w:t>
            </w:r>
          </w:p>
        </w:tc>
      </w:tr>
      <w:tr w:rsidR="003944FD" w:rsidRPr="00B57DAB" w:rsidTr="003944FD">
        <w:trPr>
          <w:trHeight w:val="165"/>
        </w:trPr>
        <w:tc>
          <w:tcPr>
            <w:tcW w:w="2835" w:type="dxa"/>
            <w:tcBorders>
              <w:top w:val="nil"/>
              <w:left w:val="single" w:sz="4" w:space="0" w:color="auto"/>
              <w:bottom w:val="single" w:sz="4" w:space="0" w:color="auto"/>
              <w:right w:val="single" w:sz="4" w:space="0" w:color="auto"/>
            </w:tcBorders>
            <w:shd w:val="clear" w:color="auto" w:fill="auto"/>
            <w:hideMark/>
          </w:tcPr>
          <w:p w:rsidR="003944FD" w:rsidRPr="00B57DAB" w:rsidRDefault="003944FD" w:rsidP="005B7DCC">
            <w:pPr>
              <w:rPr>
                <w:rFonts w:ascii="GHEA Grapalat" w:hAnsi="GHEA Grapalat"/>
                <w:sz w:val="18"/>
                <w:szCs w:val="18"/>
              </w:rPr>
            </w:pPr>
            <w:r w:rsidRPr="00B57DAB">
              <w:rPr>
                <w:rFonts w:ascii="GHEA Grapalat" w:hAnsi="GHEA Grapalat" w:cs="Arial"/>
                <w:sz w:val="18"/>
                <w:szCs w:val="18"/>
              </w:rPr>
              <w:t>Միջնակարգ</w:t>
            </w:r>
          </w:p>
        </w:tc>
        <w:tc>
          <w:tcPr>
            <w:tcW w:w="1276" w:type="dxa"/>
            <w:tcBorders>
              <w:top w:val="nil"/>
              <w:left w:val="nil"/>
              <w:bottom w:val="single" w:sz="4" w:space="0" w:color="auto"/>
              <w:right w:val="single" w:sz="4" w:space="0" w:color="auto"/>
            </w:tcBorders>
            <w:shd w:val="clear" w:color="auto" w:fill="auto"/>
          </w:tcPr>
          <w:p w:rsidR="003944FD" w:rsidRPr="00B57DAB" w:rsidRDefault="003944FD" w:rsidP="005B7DCC">
            <w:pPr>
              <w:jc w:val="right"/>
              <w:rPr>
                <w:rFonts w:ascii="GHEA Grapalat" w:hAnsi="GHEA Grapalat"/>
                <w:color w:val="000000"/>
                <w:sz w:val="18"/>
                <w:szCs w:val="18"/>
              </w:rPr>
            </w:pPr>
            <w:r w:rsidRPr="00B57DAB">
              <w:rPr>
                <w:rFonts w:ascii="GHEA Grapalat" w:hAnsi="GHEA Grapalat"/>
                <w:color w:val="000000"/>
                <w:sz w:val="18"/>
                <w:szCs w:val="18"/>
              </w:rPr>
              <w:t>141</w:t>
            </w:r>
          </w:p>
        </w:tc>
        <w:tc>
          <w:tcPr>
            <w:tcW w:w="1276" w:type="dxa"/>
            <w:tcBorders>
              <w:top w:val="nil"/>
              <w:left w:val="nil"/>
              <w:bottom w:val="single" w:sz="4" w:space="0" w:color="auto"/>
              <w:right w:val="single" w:sz="4" w:space="0" w:color="auto"/>
            </w:tcBorders>
            <w:shd w:val="clear" w:color="auto" w:fill="auto"/>
          </w:tcPr>
          <w:p w:rsidR="003944FD" w:rsidRPr="00B57DAB" w:rsidRDefault="003944FD" w:rsidP="005B7DCC">
            <w:pPr>
              <w:jc w:val="right"/>
              <w:rPr>
                <w:rFonts w:ascii="GHEA Grapalat" w:hAnsi="GHEA Grapalat"/>
                <w:color w:val="000000"/>
                <w:sz w:val="18"/>
                <w:szCs w:val="18"/>
              </w:rPr>
            </w:pPr>
            <w:r w:rsidRPr="00B57DAB">
              <w:rPr>
                <w:rFonts w:ascii="GHEA Grapalat" w:hAnsi="GHEA Grapalat"/>
                <w:color w:val="000000"/>
                <w:sz w:val="18"/>
                <w:szCs w:val="18"/>
              </w:rPr>
              <w:t>139</w:t>
            </w:r>
          </w:p>
        </w:tc>
        <w:tc>
          <w:tcPr>
            <w:tcW w:w="1276" w:type="dxa"/>
            <w:tcBorders>
              <w:top w:val="nil"/>
              <w:left w:val="nil"/>
              <w:bottom w:val="single" w:sz="4" w:space="0" w:color="auto"/>
              <w:right w:val="single" w:sz="4" w:space="0" w:color="auto"/>
            </w:tcBorders>
            <w:shd w:val="clear" w:color="auto" w:fill="auto"/>
          </w:tcPr>
          <w:p w:rsidR="003944FD" w:rsidRPr="00B57DAB" w:rsidRDefault="003944FD" w:rsidP="005B7DCC">
            <w:pPr>
              <w:jc w:val="right"/>
              <w:rPr>
                <w:rFonts w:ascii="GHEA Grapalat" w:hAnsi="GHEA Grapalat"/>
                <w:sz w:val="18"/>
                <w:szCs w:val="18"/>
              </w:rPr>
            </w:pPr>
            <w:r w:rsidRPr="00B57DAB">
              <w:rPr>
                <w:rFonts w:ascii="GHEA Grapalat" w:hAnsi="GHEA Grapalat"/>
                <w:sz w:val="18"/>
                <w:szCs w:val="18"/>
              </w:rPr>
              <w:t>(2)</w:t>
            </w:r>
          </w:p>
        </w:tc>
        <w:tc>
          <w:tcPr>
            <w:tcW w:w="1134" w:type="dxa"/>
            <w:tcBorders>
              <w:top w:val="nil"/>
              <w:left w:val="nil"/>
              <w:bottom w:val="single" w:sz="4" w:space="0" w:color="auto"/>
              <w:right w:val="single" w:sz="4" w:space="0" w:color="auto"/>
            </w:tcBorders>
            <w:shd w:val="clear" w:color="auto" w:fill="auto"/>
          </w:tcPr>
          <w:p w:rsidR="003944FD" w:rsidRPr="00B57DAB" w:rsidRDefault="003944FD" w:rsidP="005B7DCC">
            <w:pPr>
              <w:jc w:val="right"/>
              <w:rPr>
                <w:rFonts w:ascii="GHEA Grapalat" w:hAnsi="GHEA Grapalat"/>
                <w:color w:val="000000"/>
                <w:sz w:val="18"/>
                <w:szCs w:val="18"/>
              </w:rPr>
            </w:pPr>
            <w:r w:rsidRPr="00B57DAB">
              <w:rPr>
                <w:rFonts w:ascii="GHEA Grapalat" w:hAnsi="GHEA Grapalat"/>
                <w:color w:val="000000"/>
                <w:sz w:val="18"/>
                <w:szCs w:val="18"/>
              </w:rPr>
              <w:t>75.8</w:t>
            </w:r>
          </w:p>
        </w:tc>
        <w:tc>
          <w:tcPr>
            <w:tcW w:w="1134" w:type="dxa"/>
            <w:tcBorders>
              <w:top w:val="nil"/>
              <w:left w:val="nil"/>
              <w:bottom w:val="single" w:sz="4" w:space="0" w:color="auto"/>
              <w:right w:val="single" w:sz="4" w:space="0" w:color="auto"/>
            </w:tcBorders>
            <w:shd w:val="clear" w:color="auto" w:fill="auto"/>
          </w:tcPr>
          <w:p w:rsidR="003944FD" w:rsidRPr="00B57DAB" w:rsidRDefault="003944FD" w:rsidP="005B7DCC">
            <w:pPr>
              <w:jc w:val="right"/>
              <w:rPr>
                <w:rFonts w:ascii="GHEA Grapalat" w:hAnsi="GHEA Grapalat"/>
                <w:color w:val="000000"/>
                <w:sz w:val="18"/>
                <w:szCs w:val="18"/>
              </w:rPr>
            </w:pPr>
            <w:r w:rsidRPr="00B57DAB">
              <w:rPr>
                <w:rFonts w:ascii="GHEA Grapalat" w:hAnsi="GHEA Grapalat"/>
                <w:color w:val="000000"/>
                <w:sz w:val="18"/>
                <w:szCs w:val="18"/>
              </w:rPr>
              <w:t>68.3</w:t>
            </w:r>
          </w:p>
        </w:tc>
        <w:tc>
          <w:tcPr>
            <w:tcW w:w="1275" w:type="dxa"/>
            <w:tcBorders>
              <w:top w:val="nil"/>
              <w:left w:val="nil"/>
              <w:bottom w:val="single" w:sz="4" w:space="0" w:color="auto"/>
              <w:right w:val="single" w:sz="4" w:space="0" w:color="auto"/>
            </w:tcBorders>
            <w:shd w:val="clear" w:color="auto" w:fill="auto"/>
            <w:vAlign w:val="bottom"/>
          </w:tcPr>
          <w:p w:rsidR="003944FD" w:rsidRPr="00B57DAB" w:rsidRDefault="003944FD" w:rsidP="003944FD">
            <w:pPr>
              <w:jc w:val="right"/>
              <w:rPr>
                <w:rFonts w:ascii="GHEA Grapalat" w:hAnsi="GHEA Grapalat"/>
                <w:color w:val="000000"/>
                <w:sz w:val="18"/>
                <w:szCs w:val="18"/>
              </w:rPr>
            </w:pPr>
            <w:r w:rsidRPr="00B57DAB">
              <w:rPr>
                <w:rFonts w:ascii="GHEA Grapalat" w:hAnsi="GHEA Grapalat"/>
                <w:color w:val="000000"/>
                <w:sz w:val="18"/>
                <w:szCs w:val="18"/>
              </w:rPr>
              <w:t>90.1</w:t>
            </w:r>
          </w:p>
        </w:tc>
      </w:tr>
    </w:tbl>
    <w:p w:rsidR="005E1FD9" w:rsidRPr="00B57DAB" w:rsidRDefault="005E1FD9" w:rsidP="005B7DCC">
      <w:pPr>
        <w:autoSpaceDE w:val="0"/>
        <w:autoSpaceDN w:val="0"/>
        <w:adjustRightInd w:val="0"/>
        <w:spacing w:line="360" w:lineRule="auto"/>
        <w:ind w:firstLine="567"/>
        <w:jc w:val="both"/>
        <w:rPr>
          <w:rFonts w:ascii="GHEA Grapalat" w:hAnsi="GHEA Grapalat" w:cs="Sylfaen"/>
        </w:rPr>
      </w:pPr>
    </w:p>
    <w:p w:rsidR="005B7DCC" w:rsidRPr="00B57DAB" w:rsidRDefault="005B7DCC" w:rsidP="005B7DCC">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Մասնագիտացված հանրակրթության ծախսերը հաշվետու ժամանակա</w:t>
      </w:r>
      <w:r w:rsidR="00D52EE8" w:rsidRPr="00B57DAB">
        <w:rPr>
          <w:rFonts w:ascii="GHEA Grapalat" w:hAnsi="GHEA Grapalat" w:cs="Sylfaen"/>
          <w:sz w:val="22"/>
          <w:szCs w:val="22"/>
        </w:rPr>
        <w:t>հատվածո</w:t>
      </w:r>
      <w:r w:rsidRPr="00B57DAB">
        <w:rPr>
          <w:rFonts w:ascii="GHEA Grapalat" w:hAnsi="GHEA Grapalat" w:cs="Sylfaen"/>
          <w:sz w:val="22"/>
          <w:szCs w:val="22"/>
        </w:rPr>
        <w:t>ւմ կատարվել են 98.4%-ով՝ կազմելով 771.4 մլն դրամ: Շեղումը հիմնականում պայմանավորված է աշակերտների փաստացի թվով:</w:t>
      </w:r>
    </w:p>
    <w:p w:rsidR="00543C3A" w:rsidRPr="00B57DAB" w:rsidRDefault="00543C3A" w:rsidP="005B7DCC">
      <w:pPr>
        <w:autoSpaceDE w:val="0"/>
        <w:autoSpaceDN w:val="0"/>
        <w:adjustRightInd w:val="0"/>
        <w:spacing w:line="360" w:lineRule="auto"/>
        <w:ind w:firstLine="567"/>
        <w:jc w:val="both"/>
        <w:rPr>
          <w:rFonts w:ascii="GHEA Grapalat" w:hAnsi="GHEA Grapalat" w:cs="Sylfaen"/>
          <w:sz w:val="22"/>
          <w:szCs w:val="22"/>
        </w:rPr>
      </w:pPr>
    </w:p>
    <w:p w:rsidR="005B7DCC" w:rsidRPr="00B57DAB" w:rsidRDefault="005B7DCC" w:rsidP="00770F24">
      <w:pPr>
        <w:pStyle w:val="Caption"/>
        <w:keepNext/>
        <w:numPr>
          <w:ilvl w:val="0"/>
          <w:numId w:val="8"/>
        </w:numPr>
        <w:tabs>
          <w:tab w:val="left" w:pos="1276"/>
        </w:tabs>
        <w:ind w:left="0" w:firstLine="0"/>
        <w:jc w:val="left"/>
        <w:rPr>
          <w:rFonts w:ascii="GHEA Grapalat" w:hAnsi="GHEA Grapalat"/>
          <w:i/>
          <w:sz w:val="18"/>
          <w:szCs w:val="18"/>
          <w:lang w:val="en-US"/>
        </w:rPr>
      </w:pPr>
      <w:r w:rsidRPr="00B57DAB">
        <w:rPr>
          <w:rFonts w:ascii="GHEA Grapalat" w:hAnsi="GHEA Grapalat"/>
          <w:i/>
          <w:sz w:val="18"/>
          <w:szCs w:val="18"/>
          <w:lang w:val="en-US"/>
        </w:rPr>
        <w:lastRenderedPageBreak/>
        <w:t>Մասնագիտացված հանրակրթության համակարգի ցուցանիշները</w:t>
      </w:r>
    </w:p>
    <w:tbl>
      <w:tblPr>
        <w:tblW w:w="10206" w:type="dxa"/>
        <w:tblInd w:w="108" w:type="dxa"/>
        <w:tblLayout w:type="fixed"/>
        <w:tblLook w:val="04A0" w:firstRow="1" w:lastRow="0" w:firstColumn="1" w:lastColumn="0" w:noHBand="0" w:noVBand="1"/>
      </w:tblPr>
      <w:tblGrid>
        <w:gridCol w:w="2835"/>
        <w:gridCol w:w="1276"/>
        <w:gridCol w:w="1276"/>
        <w:gridCol w:w="1276"/>
        <w:gridCol w:w="1134"/>
        <w:gridCol w:w="1134"/>
        <w:gridCol w:w="1275"/>
      </w:tblGrid>
      <w:tr w:rsidR="00543C3A" w:rsidRPr="00B57DAB" w:rsidTr="00543C3A">
        <w:trPr>
          <w:trHeight w:val="1089"/>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3C3A" w:rsidRPr="00B57DAB" w:rsidRDefault="00543C3A" w:rsidP="005B7DCC">
            <w:pPr>
              <w:rPr>
                <w:rFonts w:ascii="Calibri" w:hAnsi="Calibri" w:cs="Calibri"/>
                <w:sz w:val="18"/>
                <w:szCs w:val="18"/>
              </w:rPr>
            </w:pPr>
            <w:r w:rsidRPr="00B57DAB">
              <w:rPr>
                <w:rFonts w:ascii="Calibri" w:hAnsi="Calibri" w:cs="Calibri"/>
                <w:sz w:val="18"/>
                <w:szCs w:val="18"/>
              </w:rPr>
              <w:t> </w:t>
            </w:r>
          </w:p>
        </w:tc>
        <w:tc>
          <w:tcPr>
            <w:tcW w:w="1276" w:type="dxa"/>
            <w:tcBorders>
              <w:top w:val="single" w:sz="4" w:space="0" w:color="auto"/>
              <w:left w:val="nil"/>
              <w:bottom w:val="single" w:sz="4" w:space="0" w:color="auto"/>
              <w:right w:val="single" w:sz="4" w:space="0" w:color="auto"/>
            </w:tcBorders>
            <w:shd w:val="clear" w:color="auto" w:fill="auto"/>
            <w:hideMark/>
          </w:tcPr>
          <w:p w:rsidR="00543C3A" w:rsidRPr="00B57DAB" w:rsidRDefault="00543C3A" w:rsidP="00D43FE6">
            <w:pPr>
              <w:jc w:val="center"/>
              <w:rPr>
                <w:rFonts w:ascii="GHEA Grapalat" w:hAnsi="GHEA Grapalat"/>
                <w:b/>
                <w:sz w:val="18"/>
                <w:szCs w:val="18"/>
              </w:rPr>
            </w:pPr>
            <w:r w:rsidRPr="00B57DAB">
              <w:rPr>
                <w:rFonts w:ascii="GHEA Grapalat" w:hAnsi="GHEA Grapalat"/>
                <w:b/>
                <w:color w:val="000000"/>
                <w:sz w:val="18"/>
                <w:szCs w:val="18"/>
                <w:lang w:val="hy-AM"/>
              </w:rPr>
              <w:t>2021թ. առաջին եռամս</w:t>
            </w:r>
            <w:r w:rsidRPr="00B57DAB">
              <w:rPr>
                <w:rFonts w:ascii="GHEA Grapalat" w:hAnsi="GHEA Grapalat"/>
                <w:b/>
                <w:color w:val="000000"/>
                <w:sz w:val="18"/>
                <w:szCs w:val="18"/>
              </w:rPr>
              <w:t>-</w:t>
            </w:r>
            <w:r w:rsidRPr="00B57DAB">
              <w:rPr>
                <w:rFonts w:ascii="GHEA Grapalat" w:hAnsi="GHEA Grapalat"/>
                <w:b/>
                <w:color w:val="000000"/>
                <w:sz w:val="18"/>
                <w:szCs w:val="18"/>
                <w:lang w:val="hy-AM"/>
              </w:rPr>
              <w:t xml:space="preserve">յակում </w:t>
            </w:r>
            <w:r w:rsidRPr="00B57DAB">
              <w:rPr>
                <w:rFonts w:ascii="GHEA Grapalat" w:hAnsi="GHEA Grapalat"/>
                <w:b/>
                <w:sz w:val="18"/>
                <w:szCs w:val="18"/>
                <w:lang w:val="hy-AM"/>
              </w:rPr>
              <w:t>սովորող</w:t>
            </w:r>
            <w:r w:rsidRPr="00B57DAB">
              <w:rPr>
                <w:rFonts w:ascii="GHEA Grapalat" w:hAnsi="GHEA Grapalat"/>
                <w:b/>
                <w:sz w:val="18"/>
                <w:szCs w:val="18"/>
              </w:rPr>
              <w:t>-</w:t>
            </w:r>
            <w:r w:rsidRPr="00B57DAB">
              <w:rPr>
                <w:rFonts w:ascii="GHEA Grapalat" w:hAnsi="GHEA Grapalat"/>
                <w:b/>
                <w:sz w:val="18"/>
                <w:szCs w:val="18"/>
                <w:lang w:val="hy-AM"/>
              </w:rPr>
              <w:t>ների փաստացի թիվ</w:t>
            </w:r>
          </w:p>
        </w:tc>
        <w:tc>
          <w:tcPr>
            <w:tcW w:w="1276" w:type="dxa"/>
            <w:tcBorders>
              <w:top w:val="single" w:sz="4" w:space="0" w:color="auto"/>
              <w:left w:val="nil"/>
              <w:bottom w:val="single" w:sz="4" w:space="0" w:color="auto"/>
              <w:right w:val="single" w:sz="4" w:space="0" w:color="auto"/>
            </w:tcBorders>
            <w:shd w:val="clear" w:color="auto" w:fill="auto"/>
            <w:hideMark/>
          </w:tcPr>
          <w:p w:rsidR="00543C3A" w:rsidRPr="00B57DAB" w:rsidRDefault="00543C3A" w:rsidP="00D43FE6">
            <w:pPr>
              <w:jc w:val="center"/>
              <w:rPr>
                <w:rFonts w:ascii="GHEA Grapalat" w:hAnsi="GHEA Grapalat"/>
                <w:b/>
                <w:color w:val="000000"/>
                <w:sz w:val="18"/>
                <w:szCs w:val="18"/>
                <w:lang w:val="hy-AM"/>
              </w:rPr>
            </w:pPr>
            <w:r w:rsidRPr="00B57DAB">
              <w:rPr>
                <w:rFonts w:ascii="GHEA Grapalat" w:hAnsi="GHEA Grapalat"/>
                <w:b/>
                <w:color w:val="000000"/>
                <w:sz w:val="18"/>
                <w:szCs w:val="18"/>
                <w:lang w:val="hy-AM"/>
              </w:rPr>
              <w:t>2022թ. առաջին եռամս</w:t>
            </w:r>
            <w:r w:rsidRPr="00B57DAB">
              <w:rPr>
                <w:rFonts w:ascii="GHEA Grapalat" w:hAnsi="GHEA Grapalat"/>
                <w:b/>
                <w:color w:val="000000"/>
                <w:sz w:val="18"/>
                <w:szCs w:val="18"/>
              </w:rPr>
              <w:t>-</w:t>
            </w:r>
            <w:r w:rsidRPr="00B57DAB">
              <w:rPr>
                <w:rFonts w:ascii="GHEA Grapalat" w:hAnsi="GHEA Grapalat"/>
                <w:b/>
                <w:color w:val="000000"/>
                <w:sz w:val="18"/>
                <w:szCs w:val="18"/>
                <w:lang w:val="hy-AM"/>
              </w:rPr>
              <w:t xml:space="preserve">յակում </w:t>
            </w:r>
            <w:r w:rsidRPr="00B57DAB">
              <w:rPr>
                <w:rFonts w:ascii="GHEA Grapalat" w:hAnsi="GHEA Grapalat"/>
                <w:b/>
                <w:sz w:val="18"/>
                <w:szCs w:val="18"/>
                <w:lang w:val="hy-AM"/>
              </w:rPr>
              <w:t>սովորող</w:t>
            </w:r>
            <w:r w:rsidRPr="00B57DAB">
              <w:rPr>
                <w:rFonts w:ascii="GHEA Grapalat" w:hAnsi="GHEA Grapalat"/>
                <w:b/>
                <w:sz w:val="18"/>
                <w:szCs w:val="18"/>
              </w:rPr>
              <w:t>-</w:t>
            </w:r>
            <w:r w:rsidRPr="00B57DAB">
              <w:rPr>
                <w:rFonts w:ascii="GHEA Grapalat" w:hAnsi="GHEA Grapalat"/>
                <w:b/>
                <w:sz w:val="18"/>
                <w:szCs w:val="18"/>
                <w:lang w:val="hy-AM"/>
              </w:rPr>
              <w:t>ների փաստացի թիվ</w:t>
            </w:r>
          </w:p>
        </w:tc>
        <w:tc>
          <w:tcPr>
            <w:tcW w:w="1276" w:type="dxa"/>
            <w:tcBorders>
              <w:top w:val="single" w:sz="4" w:space="0" w:color="auto"/>
              <w:left w:val="nil"/>
              <w:bottom w:val="single" w:sz="4" w:space="0" w:color="auto"/>
              <w:right w:val="single" w:sz="4" w:space="0" w:color="auto"/>
            </w:tcBorders>
            <w:shd w:val="clear" w:color="auto" w:fill="auto"/>
            <w:noWrap/>
            <w:hideMark/>
          </w:tcPr>
          <w:p w:rsidR="00543C3A" w:rsidRPr="00B57DAB" w:rsidRDefault="00543C3A" w:rsidP="00D43FE6">
            <w:pPr>
              <w:jc w:val="center"/>
              <w:rPr>
                <w:rFonts w:ascii="GHEA Grapalat" w:hAnsi="GHEA Grapalat"/>
                <w:b/>
                <w:color w:val="000000"/>
                <w:sz w:val="18"/>
                <w:szCs w:val="18"/>
                <w:lang w:val="hy-AM"/>
              </w:rPr>
            </w:pPr>
            <w:r w:rsidRPr="00B57DAB">
              <w:rPr>
                <w:rFonts w:ascii="GHEA Grapalat" w:hAnsi="GHEA Grapalat"/>
                <w:b/>
                <w:color w:val="000000"/>
                <w:sz w:val="18"/>
                <w:szCs w:val="18"/>
                <w:lang w:val="hy-AM"/>
              </w:rPr>
              <w:t>2022թ. առաջին եռամսյակ</w:t>
            </w:r>
            <w:r w:rsidRPr="00B57DAB">
              <w:rPr>
                <w:rFonts w:ascii="GHEA Grapalat" w:hAnsi="GHEA Grapalat"/>
                <w:b/>
                <w:color w:val="000000"/>
                <w:sz w:val="18"/>
                <w:szCs w:val="18"/>
              </w:rPr>
              <w:t>ի</w:t>
            </w:r>
            <w:r w:rsidRPr="00B57DAB">
              <w:rPr>
                <w:rFonts w:ascii="GHEA Grapalat" w:hAnsi="GHEA Grapalat"/>
                <w:b/>
                <w:color w:val="000000"/>
                <w:sz w:val="18"/>
                <w:szCs w:val="18"/>
                <w:lang w:val="hy-AM"/>
              </w:rPr>
              <w:t xml:space="preserve"> և 2021թ. առաջին եռամսյակի տարբե-րությունը</w:t>
            </w:r>
          </w:p>
        </w:tc>
        <w:tc>
          <w:tcPr>
            <w:tcW w:w="1134" w:type="dxa"/>
            <w:tcBorders>
              <w:top w:val="single" w:sz="4" w:space="0" w:color="auto"/>
              <w:left w:val="nil"/>
              <w:bottom w:val="single" w:sz="4" w:space="0" w:color="auto"/>
              <w:right w:val="single" w:sz="4" w:space="0" w:color="auto"/>
            </w:tcBorders>
            <w:shd w:val="clear" w:color="auto" w:fill="auto"/>
            <w:hideMark/>
          </w:tcPr>
          <w:p w:rsidR="00543C3A" w:rsidRPr="00B57DAB" w:rsidRDefault="00543C3A" w:rsidP="00D43FE6">
            <w:pPr>
              <w:jc w:val="center"/>
              <w:rPr>
                <w:rFonts w:ascii="GHEA Grapalat" w:hAnsi="GHEA Grapalat"/>
                <w:b/>
                <w:color w:val="000000"/>
                <w:sz w:val="18"/>
                <w:szCs w:val="18"/>
                <w:lang w:val="hy-AM"/>
              </w:rPr>
            </w:pPr>
            <w:r w:rsidRPr="00B57DAB">
              <w:rPr>
                <w:rFonts w:ascii="GHEA Grapalat" w:hAnsi="GHEA Grapalat"/>
                <w:b/>
                <w:color w:val="000000"/>
                <w:sz w:val="18"/>
                <w:szCs w:val="18"/>
                <w:lang w:val="hy-AM"/>
              </w:rPr>
              <w:t>2021թ. առաջին եռամս</w:t>
            </w:r>
            <w:r w:rsidRPr="00B57DAB">
              <w:rPr>
                <w:rFonts w:ascii="GHEA Grapalat" w:hAnsi="GHEA Grapalat"/>
                <w:b/>
                <w:color w:val="000000"/>
                <w:sz w:val="18"/>
                <w:szCs w:val="18"/>
              </w:rPr>
              <w:t>-</w:t>
            </w:r>
            <w:r w:rsidRPr="00B57DAB">
              <w:rPr>
                <w:rFonts w:ascii="GHEA Grapalat" w:hAnsi="GHEA Grapalat"/>
                <w:b/>
                <w:color w:val="000000"/>
                <w:sz w:val="18"/>
                <w:szCs w:val="18"/>
                <w:lang w:val="hy-AM"/>
              </w:rPr>
              <w:t>յակի փաստ</w:t>
            </w:r>
          </w:p>
          <w:p w:rsidR="00543C3A" w:rsidRPr="00B57DAB" w:rsidRDefault="00543C3A" w:rsidP="00D43FE6">
            <w:pPr>
              <w:jc w:val="center"/>
              <w:rPr>
                <w:rFonts w:ascii="GHEA Grapalat" w:hAnsi="GHEA Grapalat"/>
                <w:b/>
                <w:color w:val="000000"/>
                <w:sz w:val="18"/>
                <w:szCs w:val="18"/>
                <w:lang w:val="hy-AM"/>
              </w:rPr>
            </w:pPr>
            <w:r w:rsidRPr="00B57DAB">
              <w:rPr>
                <w:rFonts w:ascii="GHEA Grapalat" w:hAnsi="GHEA Grapalat"/>
                <w:b/>
                <w:color w:val="000000"/>
                <w:sz w:val="18"/>
                <w:szCs w:val="18"/>
                <w:lang w:val="hy-AM"/>
              </w:rPr>
              <w:t>(մլն դրամ)</w:t>
            </w:r>
          </w:p>
        </w:tc>
        <w:tc>
          <w:tcPr>
            <w:tcW w:w="1134" w:type="dxa"/>
            <w:tcBorders>
              <w:top w:val="single" w:sz="4" w:space="0" w:color="auto"/>
              <w:left w:val="nil"/>
              <w:bottom w:val="single" w:sz="4" w:space="0" w:color="auto"/>
              <w:right w:val="single" w:sz="4" w:space="0" w:color="auto"/>
            </w:tcBorders>
            <w:shd w:val="clear" w:color="auto" w:fill="auto"/>
            <w:hideMark/>
          </w:tcPr>
          <w:p w:rsidR="00543C3A" w:rsidRPr="00B57DAB" w:rsidRDefault="00543C3A" w:rsidP="00D43FE6">
            <w:pPr>
              <w:jc w:val="center"/>
              <w:rPr>
                <w:rFonts w:ascii="GHEA Grapalat" w:hAnsi="GHEA Grapalat"/>
                <w:b/>
                <w:color w:val="000000"/>
                <w:sz w:val="18"/>
                <w:szCs w:val="18"/>
                <w:lang w:val="hy-AM"/>
              </w:rPr>
            </w:pPr>
            <w:r w:rsidRPr="00B57DAB">
              <w:rPr>
                <w:rFonts w:ascii="GHEA Grapalat" w:hAnsi="GHEA Grapalat"/>
                <w:b/>
                <w:color w:val="000000"/>
                <w:sz w:val="18"/>
                <w:szCs w:val="18"/>
                <w:lang w:val="hy-AM"/>
              </w:rPr>
              <w:t>2022թ. առաջին եռամս</w:t>
            </w:r>
            <w:r w:rsidRPr="00B57DAB">
              <w:rPr>
                <w:rFonts w:ascii="GHEA Grapalat" w:hAnsi="GHEA Grapalat"/>
                <w:b/>
                <w:color w:val="000000"/>
                <w:sz w:val="18"/>
                <w:szCs w:val="18"/>
              </w:rPr>
              <w:t>-</w:t>
            </w:r>
            <w:r w:rsidRPr="00B57DAB">
              <w:rPr>
                <w:rFonts w:ascii="GHEA Grapalat" w:hAnsi="GHEA Grapalat"/>
                <w:b/>
                <w:color w:val="000000"/>
                <w:sz w:val="18"/>
                <w:szCs w:val="18"/>
                <w:lang w:val="hy-AM"/>
              </w:rPr>
              <w:t>յակի փաստ (մլն դրամ)</w:t>
            </w:r>
          </w:p>
        </w:tc>
        <w:tc>
          <w:tcPr>
            <w:tcW w:w="1275" w:type="dxa"/>
            <w:tcBorders>
              <w:top w:val="single" w:sz="4" w:space="0" w:color="auto"/>
              <w:left w:val="nil"/>
              <w:bottom w:val="single" w:sz="4" w:space="0" w:color="auto"/>
              <w:right w:val="single" w:sz="4" w:space="0" w:color="auto"/>
            </w:tcBorders>
            <w:shd w:val="clear" w:color="auto" w:fill="auto"/>
            <w:hideMark/>
          </w:tcPr>
          <w:p w:rsidR="00543C3A" w:rsidRPr="00B57DAB" w:rsidRDefault="00543C3A" w:rsidP="00D43FE6">
            <w:pPr>
              <w:jc w:val="center"/>
              <w:rPr>
                <w:rFonts w:ascii="GHEA Grapalat" w:hAnsi="GHEA Grapalat"/>
                <w:b/>
                <w:color w:val="000000"/>
                <w:sz w:val="18"/>
                <w:szCs w:val="18"/>
                <w:lang w:val="hy-AM"/>
              </w:rPr>
            </w:pPr>
            <w:r w:rsidRPr="00B57DAB">
              <w:rPr>
                <w:rFonts w:ascii="GHEA Grapalat" w:hAnsi="GHEA Grapalat"/>
                <w:b/>
                <w:color w:val="000000"/>
                <w:sz w:val="18"/>
                <w:szCs w:val="18"/>
                <w:lang w:val="hy-AM"/>
              </w:rPr>
              <w:t>2022թ.</w:t>
            </w:r>
            <w:r w:rsidR="00D027DA" w:rsidRPr="00B57DAB">
              <w:rPr>
                <w:rFonts w:ascii="GHEA Grapalat" w:hAnsi="GHEA Grapalat"/>
                <w:b/>
                <w:color w:val="000000"/>
                <w:sz w:val="18"/>
                <w:szCs w:val="18"/>
                <w:lang w:val="hy-AM"/>
              </w:rPr>
              <w:t xml:space="preserve"> </w:t>
            </w:r>
            <w:r w:rsidRPr="00B57DAB">
              <w:rPr>
                <w:rFonts w:ascii="GHEA Grapalat" w:hAnsi="GHEA Grapalat"/>
                <w:b/>
                <w:color w:val="000000"/>
                <w:sz w:val="18"/>
                <w:szCs w:val="18"/>
                <w:lang w:val="hy-AM"/>
              </w:rPr>
              <w:t>առաջին եռամսյակը 2021թ.</w:t>
            </w:r>
            <w:r w:rsidR="00D027DA" w:rsidRPr="00B57DAB">
              <w:rPr>
                <w:rFonts w:ascii="GHEA Grapalat" w:hAnsi="GHEA Grapalat"/>
                <w:b/>
                <w:color w:val="000000"/>
                <w:sz w:val="18"/>
                <w:szCs w:val="18"/>
                <w:lang w:val="hy-AM"/>
              </w:rPr>
              <w:t xml:space="preserve"> </w:t>
            </w:r>
            <w:r w:rsidRPr="00B57DAB">
              <w:rPr>
                <w:rFonts w:ascii="GHEA Grapalat" w:hAnsi="GHEA Grapalat"/>
                <w:b/>
                <w:color w:val="000000"/>
                <w:sz w:val="18"/>
                <w:szCs w:val="18"/>
                <w:lang w:val="hy-AM"/>
              </w:rPr>
              <w:t>առաջին եռամսյակի</w:t>
            </w:r>
            <w:r w:rsidR="00D027DA" w:rsidRPr="00B57DAB">
              <w:rPr>
                <w:rFonts w:ascii="GHEA Grapalat" w:hAnsi="GHEA Grapalat"/>
                <w:b/>
                <w:color w:val="000000"/>
                <w:sz w:val="18"/>
                <w:szCs w:val="18"/>
                <w:lang w:val="hy-AM"/>
              </w:rPr>
              <w:t xml:space="preserve"> </w:t>
            </w:r>
            <w:r w:rsidRPr="00B57DAB">
              <w:rPr>
                <w:rFonts w:ascii="GHEA Grapalat" w:hAnsi="GHEA Grapalat"/>
                <w:b/>
                <w:color w:val="000000"/>
                <w:sz w:val="18"/>
                <w:szCs w:val="18"/>
                <w:lang w:val="hy-AM"/>
              </w:rPr>
              <w:t>նկատմամբ (%)</w:t>
            </w:r>
          </w:p>
        </w:tc>
      </w:tr>
      <w:tr w:rsidR="003944FD" w:rsidRPr="00B57DAB" w:rsidTr="003944FD">
        <w:trPr>
          <w:trHeight w:val="389"/>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3944FD" w:rsidRPr="00B57DAB" w:rsidRDefault="003944FD" w:rsidP="00543C3A">
            <w:pPr>
              <w:rPr>
                <w:rFonts w:ascii="GHEA Grapalat" w:hAnsi="GHEA Grapalat"/>
                <w:b/>
                <w:sz w:val="18"/>
                <w:szCs w:val="18"/>
              </w:rPr>
            </w:pPr>
            <w:r w:rsidRPr="00B57DAB">
              <w:rPr>
                <w:rFonts w:ascii="GHEA Grapalat" w:hAnsi="GHEA Grapalat" w:cs="Arial"/>
                <w:b/>
                <w:sz w:val="18"/>
                <w:szCs w:val="18"/>
              </w:rPr>
              <w:t>Մասնագիտացված հանրակրթություն</w:t>
            </w:r>
          </w:p>
        </w:tc>
        <w:tc>
          <w:tcPr>
            <w:tcW w:w="1276" w:type="dxa"/>
            <w:tcBorders>
              <w:top w:val="nil"/>
              <w:left w:val="nil"/>
              <w:bottom w:val="single" w:sz="4" w:space="0" w:color="auto"/>
              <w:right w:val="single" w:sz="4" w:space="0" w:color="auto"/>
            </w:tcBorders>
            <w:shd w:val="clear" w:color="auto" w:fill="auto"/>
            <w:vAlign w:val="bottom"/>
          </w:tcPr>
          <w:p w:rsidR="003944FD" w:rsidRPr="00B57DAB" w:rsidRDefault="003944FD" w:rsidP="00543C3A">
            <w:pPr>
              <w:jc w:val="right"/>
              <w:rPr>
                <w:rFonts w:ascii="GHEA Grapalat" w:hAnsi="GHEA Grapalat"/>
                <w:b/>
                <w:color w:val="000000"/>
                <w:sz w:val="18"/>
                <w:szCs w:val="18"/>
              </w:rPr>
            </w:pPr>
            <w:r w:rsidRPr="00B57DAB">
              <w:rPr>
                <w:rFonts w:ascii="GHEA Grapalat" w:hAnsi="GHEA Grapalat"/>
                <w:b/>
                <w:color w:val="000000"/>
                <w:sz w:val="18"/>
                <w:szCs w:val="18"/>
              </w:rPr>
              <w:t>3772</w:t>
            </w:r>
          </w:p>
        </w:tc>
        <w:tc>
          <w:tcPr>
            <w:tcW w:w="1276" w:type="dxa"/>
            <w:tcBorders>
              <w:top w:val="nil"/>
              <w:left w:val="nil"/>
              <w:bottom w:val="single" w:sz="4" w:space="0" w:color="auto"/>
              <w:right w:val="single" w:sz="4" w:space="0" w:color="auto"/>
            </w:tcBorders>
            <w:shd w:val="clear" w:color="auto" w:fill="auto"/>
            <w:vAlign w:val="bottom"/>
          </w:tcPr>
          <w:p w:rsidR="003944FD" w:rsidRPr="00B57DAB" w:rsidRDefault="003944FD" w:rsidP="00543C3A">
            <w:pPr>
              <w:jc w:val="right"/>
              <w:rPr>
                <w:rFonts w:ascii="GHEA Grapalat" w:hAnsi="GHEA Grapalat"/>
                <w:b/>
                <w:color w:val="000000"/>
                <w:sz w:val="18"/>
                <w:szCs w:val="18"/>
              </w:rPr>
            </w:pPr>
            <w:r w:rsidRPr="00B57DAB">
              <w:rPr>
                <w:rFonts w:ascii="GHEA Grapalat" w:hAnsi="GHEA Grapalat"/>
                <w:b/>
                <w:color w:val="000000"/>
                <w:sz w:val="18"/>
                <w:szCs w:val="18"/>
              </w:rPr>
              <w:t>3659</w:t>
            </w:r>
          </w:p>
        </w:tc>
        <w:tc>
          <w:tcPr>
            <w:tcW w:w="1276" w:type="dxa"/>
            <w:tcBorders>
              <w:top w:val="nil"/>
              <w:left w:val="nil"/>
              <w:bottom w:val="single" w:sz="4" w:space="0" w:color="auto"/>
              <w:right w:val="single" w:sz="4" w:space="0" w:color="auto"/>
            </w:tcBorders>
            <w:shd w:val="clear" w:color="auto" w:fill="auto"/>
            <w:vAlign w:val="bottom"/>
          </w:tcPr>
          <w:p w:rsidR="003944FD" w:rsidRPr="00B57DAB" w:rsidRDefault="003944FD" w:rsidP="00543C3A">
            <w:pPr>
              <w:jc w:val="right"/>
              <w:rPr>
                <w:rFonts w:ascii="GHEA Grapalat" w:hAnsi="GHEA Grapalat"/>
                <w:b/>
                <w:sz w:val="18"/>
                <w:szCs w:val="18"/>
              </w:rPr>
            </w:pPr>
            <w:r w:rsidRPr="00B57DAB">
              <w:rPr>
                <w:rFonts w:ascii="GHEA Grapalat" w:hAnsi="GHEA Grapalat"/>
                <w:b/>
                <w:sz w:val="18"/>
                <w:szCs w:val="18"/>
              </w:rPr>
              <w:t>(113)</w:t>
            </w:r>
          </w:p>
        </w:tc>
        <w:tc>
          <w:tcPr>
            <w:tcW w:w="1134" w:type="dxa"/>
            <w:tcBorders>
              <w:top w:val="nil"/>
              <w:left w:val="nil"/>
              <w:bottom w:val="single" w:sz="4" w:space="0" w:color="auto"/>
              <w:right w:val="single" w:sz="4" w:space="0" w:color="auto"/>
            </w:tcBorders>
            <w:shd w:val="clear" w:color="auto" w:fill="auto"/>
            <w:vAlign w:val="bottom"/>
          </w:tcPr>
          <w:p w:rsidR="003944FD" w:rsidRPr="00B57DAB" w:rsidRDefault="003944FD" w:rsidP="00543C3A">
            <w:pPr>
              <w:jc w:val="right"/>
              <w:rPr>
                <w:rFonts w:ascii="GHEA Grapalat" w:hAnsi="GHEA Grapalat"/>
                <w:b/>
                <w:color w:val="000000"/>
                <w:sz w:val="18"/>
                <w:szCs w:val="18"/>
              </w:rPr>
            </w:pPr>
            <w:r w:rsidRPr="00B57DAB">
              <w:rPr>
                <w:rFonts w:ascii="GHEA Grapalat" w:hAnsi="GHEA Grapalat"/>
                <w:b/>
                <w:color w:val="000000"/>
                <w:sz w:val="18"/>
                <w:szCs w:val="18"/>
              </w:rPr>
              <w:t>801.5</w:t>
            </w:r>
          </w:p>
        </w:tc>
        <w:tc>
          <w:tcPr>
            <w:tcW w:w="1134" w:type="dxa"/>
            <w:tcBorders>
              <w:top w:val="nil"/>
              <w:left w:val="nil"/>
              <w:bottom w:val="single" w:sz="4" w:space="0" w:color="auto"/>
              <w:right w:val="single" w:sz="4" w:space="0" w:color="auto"/>
            </w:tcBorders>
            <w:shd w:val="clear" w:color="auto" w:fill="auto"/>
            <w:vAlign w:val="bottom"/>
          </w:tcPr>
          <w:p w:rsidR="003944FD" w:rsidRPr="00B57DAB" w:rsidRDefault="003944FD" w:rsidP="00543C3A">
            <w:pPr>
              <w:jc w:val="right"/>
              <w:rPr>
                <w:rFonts w:ascii="GHEA Grapalat" w:hAnsi="GHEA Grapalat"/>
                <w:b/>
                <w:color w:val="000000"/>
                <w:sz w:val="18"/>
                <w:szCs w:val="18"/>
              </w:rPr>
            </w:pPr>
            <w:r w:rsidRPr="00B57DAB">
              <w:rPr>
                <w:rFonts w:ascii="GHEA Grapalat" w:hAnsi="GHEA Grapalat"/>
                <w:b/>
                <w:color w:val="000000"/>
                <w:sz w:val="18"/>
                <w:szCs w:val="18"/>
              </w:rPr>
              <w:t>771.4</w:t>
            </w:r>
          </w:p>
        </w:tc>
        <w:tc>
          <w:tcPr>
            <w:tcW w:w="1275" w:type="dxa"/>
            <w:tcBorders>
              <w:top w:val="nil"/>
              <w:left w:val="nil"/>
              <w:bottom w:val="single" w:sz="4" w:space="0" w:color="auto"/>
              <w:right w:val="single" w:sz="4" w:space="0" w:color="auto"/>
            </w:tcBorders>
            <w:shd w:val="clear" w:color="auto" w:fill="auto"/>
            <w:vAlign w:val="bottom"/>
          </w:tcPr>
          <w:p w:rsidR="003944FD" w:rsidRPr="00B57DAB" w:rsidRDefault="003944FD" w:rsidP="003944FD">
            <w:pPr>
              <w:jc w:val="right"/>
              <w:rPr>
                <w:rFonts w:ascii="GHEA Grapalat" w:hAnsi="GHEA Grapalat"/>
                <w:b/>
                <w:color w:val="000000"/>
                <w:sz w:val="18"/>
                <w:szCs w:val="18"/>
              </w:rPr>
            </w:pPr>
            <w:r w:rsidRPr="00B57DAB">
              <w:rPr>
                <w:rFonts w:ascii="GHEA Grapalat" w:hAnsi="GHEA Grapalat"/>
                <w:b/>
                <w:color w:val="000000"/>
                <w:sz w:val="18"/>
                <w:szCs w:val="18"/>
              </w:rPr>
              <w:t>96.2</w:t>
            </w:r>
          </w:p>
        </w:tc>
      </w:tr>
      <w:tr w:rsidR="003944FD" w:rsidRPr="00B57DAB" w:rsidTr="003944FD">
        <w:trPr>
          <w:trHeight w:val="197"/>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3944FD" w:rsidRPr="00B57DAB" w:rsidRDefault="003944FD" w:rsidP="00543C3A">
            <w:pPr>
              <w:rPr>
                <w:rFonts w:ascii="GHEA Grapalat" w:hAnsi="GHEA Grapalat"/>
                <w:sz w:val="18"/>
                <w:szCs w:val="18"/>
              </w:rPr>
            </w:pPr>
            <w:r w:rsidRPr="00B57DAB">
              <w:rPr>
                <w:rFonts w:ascii="GHEA Grapalat" w:hAnsi="GHEA Grapalat" w:cs="Arial"/>
                <w:sz w:val="18"/>
                <w:szCs w:val="18"/>
              </w:rPr>
              <w:t>Տարրական</w:t>
            </w:r>
          </w:p>
        </w:tc>
        <w:tc>
          <w:tcPr>
            <w:tcW w:w="1276" w:type="dxa"/>
            <w:tcBorders>
              <w:top w:val="nil"/>
              <w:left w:val="nil"/>
              <w:bottom w:val="single" w:sz="4" w:space="0" w:color="auto"/>
              <w:right w:val="single" w:sz="4" w:space="0" w:color="auto"/>
            </w:tcBorders>
            <w:shd w:val="clear" w:color="auto" w:fill="auto"/>
            <w:vAlign w:val="bottom"/>
          </w:tcPr>
          <w:p w:rsidR="003944FD" w:rsidRPr="00B57DAB" w:rsidRDefault="003944FD" w:rsidP="00543C3A">
            <w:pPr>
              <w:jc w:val="right"/>
              <w:rPr>
                <w:rFonts w:ascii="GHEA Grapalat" w:hAnsi="GHEA Grapalat"/>
                <w:color w:val="000000"/>
                <w:sz w:val="18"/>
                <w:szCs w:val="18"/>
              </w:rPr>
            </w:pPr>
            <w:r w:rsidRPr="00B57DAB">
              <w:rPr>
                <w:rFonts w:ascii="GHEA Grapalat" w:hAnsi="GHEA Grapalat"/>
                <w:color w:val="000000"/>
                <w:sz w:val="18"/>
                <w:szCs w:val="18"/>
              </w:rPr>
              <w:t>308</w:t>
            </w:r>
          </w:p>
        </w:tc>
        <w:tc>
          <w:tcPr>
            <w:tcW w:w="1276" w:type="dxa"/>
            <w:tcBorders>
              <w:top w:val="nil"/>
              <w:left w:val="nil"/>
              <w:bottom w:val="single" w:sz="4" w:space="0" w:color="auto"/>
              <w:right w:val="single" w:sz="4" w:space="0" w:color="auto"/>
            </w:tcBorders>
            <w:shd w:val="clear" w:color="auto" w:fill="auto"/>
            <w:vAlign w:val="bottom"/>
          </w:tcPr>
          <w:p w:rsidR="003944FD" w:rsidRPr="00B57DAB" w:rsidRDefault="003944FD" w:rsidP="00543C3A">
            <w:pPr>
              <w:jc w:val="right"/>
              <w:rPr>
                <w:rFonts w:ascii="GHEA Grapalat" w:hAnsi="GHEA Grapalat"/>
                <w:color w:val="000000"/>
                <w:sz w:val="18"/>
                <w:szCs w:val="18"/>
              </w:rPr>
            </w:pPr>
            <w:r w:rsidRPr="00B57DAB">
              <w:rPr>
                <w:rFonts w:ascii="GHEA Grapalat" w:hAnsi="GHEA Grapalat"/>
                <w:color w:val="000000"/>
                <w:sz w:val="18"/>
                <w:szCs w:val="18"/>
              </w:rPr>
              <w:t>299</w:t>
            </w:r>
          </w:p>
        </w:tc>
        <w:tc>
          <w:tcPr>
            <w:tcW w:w="1276" w:type="dxa"/>
            <w:tcBorders>
              <w:top w:val="nil"/>
              <w:left w:val="nil"/>
              <w:bottom w:val="single" w:sz="4" w:space="0" w:color="auto"/>
              <w:right w:val="single" w:sz="4" w:space="0" w:color="auto"/>
            </w:tcBorders>
            <w:shd w:val="clear" w:color="auto" w:fill="auto"/>
            <w:vAlign w:val="bottom"/>
          </w:tcPr>
          <w:p w:rsidR="003944FD" w:rsidRPr="00B57DAB" w:rsidRDefault="003944FD" w:rsidP="00543C3A">
            <w:pPr>
              <w:jc w:val="right"/>
              <w:rPr>
                <w:rFonts w:ascii="GHEA Grapalat" w:hAnsi="GHEA Grapalat"/>
                <w:sz w:val="18"/>
                <w:szCs w:val="18"/>
              </w:rPr>
            </w:pPr>
            <w:r w:rsidRPr="00B57DAB">
              <w:rPr>
                <w:rFonts w:ascii="GHEA Grapalat" w:hAnsi="GHEA Grapalat"/>
                <w:sz w:val="18"/>
                <w:szCs w:val="18"/>
              </w:rPr>
              <w:t>(9)</w:t>
            </w:r>
          </w:p>
        </w:tc>
        <w:tc>
          <w:tcPr>
            <w:tcW w:w="1134" w:type="dxa"/>
            <w:tcBorders>
              <w:top w:val="nil"/>
              <w:left w:val="nil"/>
              <w:bottom w:val="single" w:sz="4" w:space="0" w:color="auto"/>
              <w:right w:val="single" w:sz="4" w:space="0" w:color="auto"/>
            </w:tcBorders>
            <w:shd w:val="clear" w:color="auto" w:fill="auto"/>
            <w:vAlign w:val="bottom"/>
          </w:tcPr>
          <w:p w:rsidR="003944FD" w:rsidRPr="00B57DAB" w:rsidRDefault="003944FD" w:rsidP="00543C3A">
            <w:pPr>
              <w:jc w:val="right"/>
              <w:rPr>
                <w:rFonts w:ascii="GHEA Grapalat" w:hAnsi="GHEA Grapalat"/>
                <w:color w:val="000000"/>
                <w:sz w:val="18"/>
                <w:szCs w:val="18"/>
              </w:rPr>
            </w:pPr>
            <w:r w:rsidRPr="00B57DAB">
              <w:rPr>
                <w:rFonts w:ascii="GHEA Grapalat" w:hAnsi="GHEA Grapalat"/>
                <w:color w:val="000000"/>
                <w:sz w:val="18"/>
                <w:szCs w:val="18"/>
              </w:rPr>
              <w:t>54.6</w:t>
            </w:r>
          </w:p>
        </w:tc>
        <w:tc>
          <w:tcPr>
            <w:tcW w:w="1134" w:type="dxa"/>
            <w:tcBorders>
              <w:top w:val="nil"/>
              <w:left w:val="nil"/>
              <w:bottom w:val="single" w:sz="4" w:space="0" w:color="auto"/>
              <w:right w:val="single" w:sz="4" w:space="0" w:color="auto"/>
            </w:tcBorders>
            <w:shd w:val="clear" w:color="auto" w:fill="auto"/>
            <w:vAlign w:val="bottom"/>
          </w:tcPr>
          <w:p w:rsidR="003944FD" w:rsidRPr="00B57DAB" w:rsidRDefault="003944FD" w:rsidP="00543C3A">
            <w:pPr>
              <w:jc w:val="right"/>
              <w:rPr>
                <w:rFonts w:ascii="GHEA Grapalat" w:hAnsi="GHEA Grapalat"/>
                <w:color w:val="000000"/>
                <w:sz w:val="18"/>
                <w:szCs w:val="18"/>
              </w:rPr>
            </w:pPr>
            <w:r w:rsidRPr="00B57DAB">
              <w:rPr>
                <w:rFonts w:ascii="GHEA Grapalat" w:hAnsi="GHEA Grapalat"/>
                <w:color w:val="000000"/>
                <w:sz w:val="18"/>
                <w:szCs w:val="18"/>
              </w:rPr>
              <w:t>46.8</w:t>
            </w:r>
          </w:p>
        </w:tc>
        <w:tc>
          <w:tcPr>
            <w:tcW w:w="1275" w:type="dxa"/>
            <w:tcBorders>
              <w:top w:val="nil"/>
              <w:left w:val="nil"/>
              <w:bottom w:val="single" w:sz="4" w:space="0" w:color="auto"/>
              <w:right w:val="single" w:sz="4" w:space="0" w:color="auto"/>
            </w:tcBorders>
            <w:shd w:val="clear" w:color="auto" w:fill="auto"/>
            <w:vAlign w:val="bottom"/>
          </w:tcPr>
          <w:p w:rsidR="003944FD" w:rsidRPr="00B57DAB" w:rsidRDefault="003944FD" w:rsidP="003944FD">
            <w:pPr>
              <w:jc w:val="right"/>
              <w:rPr>
                <w:rFonts w:ascii="GHEA Grapalat" w:hAnsi="GHEA Grapalat"/>
                <w:color w:val="000000"/>
                <w:sz w:val="18"/>
                <w:szCs w:val="18"/>
              </w:rPr>
            </w:pPr>
            <w:r w:rsidRPr="00B57DAB">
              <w:rPr>
                <w:rFonts w:ascii="GHEA Grapalat" w:hAnsi="GHEA Grapalat"/>
                <w:color w:val="000000"/>
                <w:sz w:val="18"/>
                <w:szCs w:val="18"/>
              </w:rPr>
              <w:t>85.7</w:t>
            </w:r>
          </w:p>
        </w:tc>
      </w:tr>
      <w:tr w:rsidR="003944FD" w:rsidRPr="00B57DAB" w:rsidTr="003944FD">
        <w:trPr>
          <w:trHeight w:val="216"/>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3944FD" w:rsidRPr="00B57DAB" w:rsidRDefault="003944FD" w:rsidP="00543C3A">
            <w:pPr>
              <w:rPr>
                <w:rFonts w:ascii="GHEA Grapalat" w:hAnsi="GHEA Grapalat"/>
                <w:sz w:val="18"/>
                <w:szCs w:val="18"/>
              </w:rPr>
            </w:pPr>
            <w:r w:rsidRPr="00B57DAB">
              <w:rPr>
                <w:rFonts w:ascii="GHEA Grapalat" w:hAnsi="GHEA Grapalat" w:cs="Arial"/>
                <w:sz w:val="18"/>
                <w:szCs w:val="18"/>
              </w:rPr>
              <w:t>Հիմնական</w:t>
            </w:r>
          </w:p>
        </w:tc>
        <w:tc>
          <w:tcPr>
            <w:tcW w:w="1276" w:type="dxa"/>
            <w:tcBorders>
              <w:top w:val="nil"/>
              <w:left w:val="nil"/>
              <w:bottom w:val="single" w:sz="4" w:space="0" w:color="auto"/>
              <w:right w:val="single" w:sz="4" w:space="0" w:color="auto"/>
            </w:tcBorders>
            <w:shd w:val="clear" w:color="auto" w:fill="auto"/>
            <w:vAlign w:val="bottom"/>
          </w:tcPr>
          <w:p w:rsidR="003944FD" w:rsidRPr="00B57DAB" w:rsidRDefault="003944FD" w:rsidP="00543C3A">
            <w:pPr>
              <w:jc w:val="right"/>
              <w:rPr>
                <w:rFonts w:ascii="GHEA Grapalat" w:hAnsi="GHEA Grapalat"/>
                <w:color w:val="000000"/>
                <w:sz w:val="18"/>
                <w:szCs w:val="18"/>
              </w:rPr>
            </w:pPr>
            <w:r w:rsidRPr="00B57DAB">
              <w:rPr>
                <w:rFonts w:ascii="GHEA Grapalat" w:hAnsi="GHEA Grapalat"/>
                <w:color w:val="000000"/>
                <w:sz w:val="18"/>
                <w:szCs w:val="18"/>
              </w:rPr>
              <w:t>1857</w:t>
            </w:r>
          </w:p>
        </w:tc>
        <w:tc>
          <w:tcPr>
            <w:tcW w:w="1276" w:type="dxa"/>
            <w:tcBorders>
              <w:top w:val="nil"/>
              <w:left w:val="nil"/>
              <w:bottom w:val="single" w:sz="4" w:space="0" w:color="auto"/>
              <w:right w:val="single" w:sz="4" w:space="0" w:color="auto"/>
            </w:tcBorders>
            <w:shd w:val="clear" w:color="auto" w:fill="auto"/>
            <w:vAlign w:val="bottom"/>
          </w:tcPr>
          <w:p w:rsidR="003944FD" w:rsidRPr="00B57DAB" w:rsidRDefault="003944FD" w:rsidP="00543C3A">
            <w:pPr>
              <w:jc w:val="right"/>
              <w:rPr>
                <w:rFonts w:ascii="GHEA Grapalat" w:hAnsi="GHEA Grapalat"/>
                <w:color w:val="000000"/>
                <w:sz w:val="18"/>
                <w:szCs w:val="18"/>
              </w:rPr>
            </w:pPr>
            <w:r w:rsidRPr="00B57DAB">
              <w:rPr>
                <w:rFonts w:ascii="GHEA Grapalat" w:hAnsi="GHEA Grapalat"/>
                <w:color w:val="000000"/>
                <w:sz w:val="18"/>
                <w:szCs w:val="18"/>
              </w:rPr>
              <w:t>1827</w:t>
            </w:r>
          </w:p>
        </w:tc>
        <w:tc>
          <w:tcPr>
            <w:tcW w:w="1276" w:type="dxa"/>
            <w:tcBorders>
              <w:top w:val="nil"/>
              <w:left w:val="nil"/>
              <w:bottom w:val="single" w:sz="4" w:space="0" w:color="auto"/>
              <w:right w:val="single" w:sz="4" w:space="0" w:color="auto"/>
            </w:tcBorders>
            <w:shd w:val="clear" w:color="auto" w:fill="auto"/>
            <w:vAlign w:val="bottom"/>
          </w:tcPr>
          <w:p w:rsidR="003944FD" w:rsidRPr="00B57DAB" w:rsidRDefault="003944FD" w:rsidP="00543C3A">
            <w:pPr>
              <w:jc w:val="right"/>
              <w:rPr>
                <w:rFonts w:ascii="GHEA Grapalat" w:hAnsi="GHEA Grapalat"/>
                <w:sz w:val="18"/>
                <w:szCs w:val="18"/>
              </w:rPr>
            </w:pPr>
            <w:r w:rsidRPr="00B57DAB">
              <w:rPr>
                <w:rFonts w:ascii="GHEA Grapalat" w:hAnsi="GHEA Grapalat"/>
                <w:sz w:val="18"/>
                <w:szCs w:val="18"/>
              </w:rPr>
              <w:t>(30)</w:t>
            </w:r>
          </w:p>
        </w:tc>
        <w:tc>
          <w:tcPr>
            <w:tcW w:w="1134" w:type="dxa"/>
            <w:tcBorders>
              <w:top w:val="nil"/>
              <w:left w:val="nil"/>
              <w:bottom w:val="single" w:sz="4" w:space="0" w:color="auto"/>
              <w:right w:val="single" w:sz="4" w:space="0" w:color="auto"/>
            </w:tcBorders>
            <w:shd w:val="clear" w:color="auto" w:fill="auto"/>
            <w:vAlign w:val="bottom"/>
          </w:tcPr>
          <w:p w:rsidR="003944FD" w:rsidRPr="00B57DAB" w:rsidRDefault="003944FD" w:rsidP="00543C3A">
            <w:pPr>
              <w:jc w:val="right"/>
              <w:rPr>
                <w:rFonts w:ascii="GHEA Grapalat" w:hAnsi="GHEA Grapalat"/>
                <w:color w:val="000000"/>
                <w:sz w:val="18"/>
                <w:szCs w:val="18"/>
              </w:rPr>
            </w:pPr>
            <w:r w:rsidRPr="00B57DAB">
              <w:rPr>
                <w:rFonts w:ascii="GHEA Grapalat" w:hAnsi="GHEA Grapalat"/>
                <w:color w:val="000000"/>
                <w:sz w:val="18"/>
                <w:szCs w:val="18"/>
              </w:rPr>
              <w:t>333.2</w:t>
            </w:r>
          </w:p>
        </w:tc>
        <w:tc>
          <w:tcPr>
            <w:tcW w:w="1134" w:type="dxa"/>
            <w:tcBorders>
              <w:top w:val="nil"/>
              <w:left w:val="nil"/>
              <w:bottom w:val="single" w:sz="4" w:space="0" w:color="auto"/>
              <w:right w:val="single" w:sz="4" w:space="0" w:color="auto"/>
            </w:tcBorders>
            <w:shd w:val="clear" w:color="auto" w:fill="auto"/>
            <w:vAlign w:val="bottom"/>
          </w:tcPr>
          <w:p w:rsidR="003944FD" w:rsidRPr="00B57DAB" w:rsidRDefault="003944FD" w:rsidP="00543C3A">
            <w:pPr>
              <w:jc w:val="right"/>
              <w:rPr>
                <w:rFonts w:ascii="GHEA Grapalat" w:hAnsi="GHEA Grapalat"/>
                <w:color w:val="000000"/>
                <w:sz w:val="18"/>
                <w:szCs w:val="18"/>
              </w:rPr>
            </w:pPr>
            <w:r w:rsidRPr="00B57DAB">
              <w:rPr>
                <w:rFonts w:ascii="GHEA Grapalat" w:hAnsi="GHEA Grapalat"/>
                <w:color w:val="000000"/>
                <w:sz w:val="18"/>
                <w:szCs w:val="18"/>
              </w:rPr>
              <w:t>309.4</w:t>
            </w:r>
          </w:p>
        </w:tc>
        <w:tc>
          <w:tcPr>
            <w:tcW w:w="1275" w:type="dxa"/>
            <w:tcBorders>
              <w:top w:val="nil"/>
              <w:left w:val="nil"/>
              <w:bottom w:val="single" w:sz="4" w:space="0" w:color="auto"/>
              <w:right w:val="single" w:sz="4" w:space="0" w:color="auto"/>
            </w:tcBorders>
            <w:shd w:val="clear" w:color="auto" w:fill="auto"/>
            <w:vAlign w:val="bottom"/>
          </w:tcPr>
          <w:p w:rsidR="003944FD" w:rsidRPr="00B57DAB" w:rsidRDefault="003944FD" w:rsidP="003944FD">
            <w:pPr>
              <w:jc w:val="right"/>
              <w:rPr>
                <w:rFonts w:ascii="GHEA Grapalat" w:hAnsi="GHEA Grapalat"/>
                <w:color w:val="000000"/>
                <w:sz w:val="18"/>
                <w:szCs w:val="18"/>
              </w:rPr>
            </w:pPr>
            <w:r w:rsidRPr="00B57DAB">
              <w:rPr>
                <w:rFonts w:ascii="GHEA Grapalat" w:hAnsi="GHEA Grapalat"/>
                <w:color w:val="000000"/>
                <w:sz w:val="18"/>
                <w:szCs w:val="18"/>
              </w:rPr>
              <w:t>92.8</w:t>
            </w:r>
          </w:p>
        </w:tc>
      </w:tr>
      <w:tr w:rsidR="003944FD" w:rsidRPr="00B57DAB" w:rsidTr="003944FD">
        <w:trPr>
          <w:trHeight w:val="119"/>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3944FD" w:rsidRPr="00B57DAB" w:rsidRDefault="003944FD" w:rsidP="00543C3A">
            <w:pPr>
              <w:rPr>
                <w:rFonts w:ascii="GHEA Grapalat" w:hAnsi="GHEA Grapalat"/>
                <w:sz w:val="18"/>
                <w:szCs w:val="18"/>
              </w:rPr>
            </w:pPr>
            <w:r w:rsidRPr="00B57DAB">
              <w:rPr>
                <w:rFonts w:ascii="GHEA Grapalat" w:hAnsi="GHEA Grapalat" w:cs="Arial"/>
                <w:sz w:val="18"/>
                <w:szCs w:val="18"/>
              </w:rPr>
              <w:t>Միջնակարգ</w:t>
            </w:r>
          </w:p>
        </w:tc>
        <w:tc>
          <w:tcPr>
            <w:tcW w:w="1276" w:type="dxa"/>
            <w:tcBorders>
              <w:top w:val="nil"/>
              <w:left w:val="nil"/>
              <w:bottom w:val="single" w:sz="4" w:space="0" w:color="auto"/>
              <w:right w:val="single" w:sz="4" w:space="0" w:color="auto"/>
            </w:tcBorders>
            <w:shd w:val="clear" w:color="auto" w:fill="auto"/>
            <w:vAlign w:val="bottom"/>
          </w:tcPr>
          <w:p w:rsidR="003944FD" w:rsidRPr="00B57DAB" w:rsidRDefault="003944FD" w:rsidP="00543C3A">
            <w:pPr>
              <w:jc w:val="right"/>
              <w:rPr>
                <w:rFonts w:ascii="GHEA Grapalat" w:hAnsi="GHEA Grapalat"/>
                <w:color w:val="000000"/>
                <w:sz w:val="18"/>
                <w:szCs w:val="18"/>
              </w:rPr>
            </w:pPr>
            <w:r w:rsidRPr="00B57DAB">
              <w:rPr>
                <w:rFonts w:ascii="GHEA Grapalat" w:hAnsi="GHEA Grapalat"/>
                <w:color w:val="000000"/>
                <w:sz w:val="18"/>
                <w:szCs w:val="18"/>
              </w:rPr>
              <w:t>1607</w:t>
            </w:r>
          </w:p>
        </w:tc>
        <w:tc>
          <w:tcPr>
            <w:tcW w:w="1276" w:type="dxa"/>
            <w:tcBorders>
              <w:top w:val="nil"/>
              <w:left w:val="nil"/>
              <w:bottom w:val="single" w:sz="4" w:space="0" w:color="auto"/>
              <w:right w:val="single" w:sz="4" w:space="0" w:color="auto"/>
            </w:tcBorders>
            <w:shd w:val="clear" w:color="auto" w:fill="auto"/>
            <w:vAlign w:val="bottom"/>
          </w:tcPr>
          <w:p w:rsidR="003944FD" w:rsidRPr="00B57DAB" w:rsidRDefault="003944FD" w:rsidP="00543C3A">
            <w:pPr>
              <w:jc w:val="right"/>
              <w:rPr>
                <w:rFonts w:ascii="GHEA Grapalat" w:hAnsi="GHEA Grapalat"/>
                <w:color w:val="000000"/>
                <w:sz w:val="18"/>
                <w:szCs w:val="18"/>
              </w:rPr>
            </w:pPr>
            <w:r w:rsidRPr="00B57DAB">
              <w:rPr>
                <w:rFonts w:ascii="GHEA Grapalat" w:hAnsi="GHEA Grapalat"/>
                <w:color w:val="000000"/>
                <w:sz w:val="18"/>
                <w:szCs w:val="18"/>
              </w:rPr>
              <w:t>1533</w:t>
            </w:r>
          </w:p>
        </w:tc>
        <w:tc>
          <w:tcPr>
            <w:tcW w:w="1276" w:type="dxa"/>
            <w:tcBorders>
              <w:top w:val="nil"/>
              <w:left w:val="nil"/>
              <w:bottom w:val="single" w:sz="4" w:space="0" w:color="auto"/>
              <w:right w:val="single" w:sz="4" w:space="0" w:color="auto"/>
            </w:tcBorders>
            <w:shd w:val="clear" w:color="auto" w:fill="auto"/>
            <w:vAlign w:val="bottom"/>
          </w:tcPr>
          <w:p w:rsidR="003944FD" w:rsidRPr="00B57DAB" w:rsidRDefault="003944FD" w:rsidP="00543C3A">
            <w:pPr>
              <w:jc w:val="right"/>
              <w:rPr>
                <w:rFonts w:ascii="GHEA Grapalat" w:hAnsi="GHEA Grapalat"/>
                <w:sz w:val="18"/>
                <w:szCs w:val="18"/>
              </w:rPr>
            </w:pPr>
            <w:r w:rsidRPr="00B57DAB">
              <w:rPr>
                <w:rFonts w:ascii="GHEA Grapalat" w:hAnsi="GHEA Grapalat"/>
                <w:sz w:val="18"/>
                <w:szCs w:val="18"/>
              </w:rPr>
              <w:t>(74)</w:t>
            </w:r>
          </w:p>
        </w:tc>
        <w:tc>
          <w:tcPr>
            <w:tcW w:w="1134" w:type="dxa"/>
            <w:tcBorders>
              <w:top w:val="nil"/>
              <w:left w:val="nil"/>
              <w:bottom w:val="single" w:sz="4" w:space="0" w:color="auto"/>
              <w:right w:val="single" w:sz="4" w:space="0" w:color="auto"/>
            </w:tcBorders>
            <w:shd w:val="clear" w:color="auto" w:fill="auto"/>
            <w:vAlign w:val="bottom"/>
          </w:tcPr>
          <w:p w:rsidR="003944FD" w:rsidRPr="00B57DAB" w:rsidRDefault="003944FD" w:rsidP="00543C3A">
            <w:pPr>
              <w:jc w:val="right"/>
              <w:rPr>
                <w:rFonts w:ascii="GHEA Grapalat" w:hAnsi="GHEA Grapalat"/>
                <w:color w:val="000000"/>
                <w:sz w:val="18"/>
                <w:szCs w:val="18"/>
              </w:rPr>
            </w:pPr>
            <w:r w:rsidRPr="00B57DAB">
              <w:rPr>
                <w:rFonts w:ascii="GHEA Grapalat" w:hAnsi="GHEA Grapalat"/>
                <w:color w:val="000000"/>
                <w:sz w:val="18"/>
                <w:szCs w:val="18"/>
              </w:rPr>
              <w:t>413.7</w:t>
            </w:r>
          </w:p>
        </w:tc>
        <w:tc>
          <w:tcPr>
            <w:tcW w:w="1134" w:type="dxa"/>
            <w:tcBorders>
              <w:top w:val="nil"/>
              <w:left w:val="nil"/>
              <w:bottom w:val="single" w:sz="4" w:space="0" w:color="auto"/>
              <w:right w:val="single" w:sz="4" w:space="0" w:color="auto"/>
            </w:tcBorders>
            <w:shd w:val="clear" w:color="auto" w:fill="auto"/>
            <w:vAlign w:val="bottom"/>
          </w:tcPr>
          <w:p w:rsidR="003944FD" w:rsidRPr="00B57DAB" w:rsidRDefault="003944FD" w:rsidP="00543C3A">
            <w:pPr>
              <w:jc w:val="right"/>
              <w:rPr>
                <w:rFonts w:ascii="GHEA Grapalat" w:hAnsi="GHEA Grapalat"/>
                <w:color w:val="000000"/>
                <w:sz w:val="18"/>
                <w:szCs w:val="18"/>
              </w:rPr>
            </w:pPr>
            <w:r w:rsidRPr="00B57DAB">
              <w:rPr>
                <w:rFonts w:ascii="GHEA Grapalat" w:hAnsi="GHEA Grapalat"/>
                <w:color w:val="000000"/>
                <w:sz w:val="18"/>
                <w:szCs w:val="18"/>
              </w:rPr>
              <w:t>415.2</w:t>
            </w:r>
          </w:p>
        </w:tc>
        <w:tc>
          <w:tcPr>
            <w:tcW w:w="1275" w:type="dxa"/>
            <w:tcBorders>
              <w:top w:val="nil"/>
              <w:left w:val="nil"/>
              <w:bottom w:val="single" w:sz="4" w:space="0" w:color="auto"/>
              <w:right w:val="single" w:sz="4" w:space="0" w:color="auto"/>
            </w:tcBorders>
            <w:shd w:val="clear" w:color="auto" w:fill="auto"/>
            <w:vAlign w:val="bottom"/>
          </w:tcPr>
          <w:p w:rsidR="003944FD" w:rsidRPr="00B57DAB" w:rsidRDefault="003944FD" w:rsidP="003944FD">
            <w:pPr>
              <w:jc w:val="right"/>
              <w:rPr>
                <w:rFonts w:ascii="GHEA Grapalat" w:hAnsi="GHEA Grapalat"/>
                <w:color w:val="000000"/>
                <w:sz w:val="18"/>
                <w:szCs w:val="18"/>
              </w:rPr>
            </w:pPr>
            <w:r w:rsidRPr="00B57DAB">
              <w:rPr>
                <w:rFonts w:ascii="GHEA Grapalat" w:hAnsi="GHEA Grapalat"/>
                <w:color w:val="000000"/>
                <w:sz w:val="18"/>
                <w:szCs w:val="18"/>
              </w:rPr>
              <w:t>100.4</w:t>
            </w:r>
          </w:p>
        </w:tc>
      </w:tr>
    </w:tbl>
    <w:p w:rsidR="005E1FD9" w:rsidRPr="00B57DAB" w:rsidRDefault="005E1FD9" w:rsidP="005B7DCC">
      <w:pPr>
        <w:autoSpaceDE w:val="0"/>
        <w:autoSpaceDN w:val="0"/>
        <w:adjustRightInd w:val="0"/>
        <w:spacing w:line="360" w:lineRule="auto"/>
        <w:ind w:firstLine="567"/>
        <w:jc w:val="both"/>
        <w:rPr>
          <w:rFonts w:ascii="GHEA Grapalat" w:hAnsi="GHEA Grapalat" w:cs="Sylfaen"/>
          <w:sz w:val="22"/>
          <w:szCs w:val="22"/>
        </w:rPr>
      </w:pPr>
    </w:p>
    <w:p w:rsidR="005B7DCC" w:rsidRPr="00B57DAB" w:rsidRDefault="005B7DCC" w:rsidP="005B7DCC">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Ծրագրում ընդգրկված վեց միջոցառումների համար նախատեսված միջոցները նույնպես ամբողջությամբ օգտագործվել են՝ կազմելով 470.8 մլն դրամ:</w:t>
      </w:r>
      <w:r w:rsidR="00550046" w:rsidRPr="00B57DAB">
        <w:rPr>
          <w:rFonts w:ascii="GHEA Grapalat" w:hAnsi="GHEA Grapalat" w:cs="Sylfaen"/>
          <w:sz w:val="22"/>
          <w:szCs w:val="22"/>
        </w:rPr>
        <w:t xml:space="preserve"> </w:t>
      </w:r>
      <w:r w:rsidRPr="00B57DAB">
        <w:rPr>
          <w:rFonts w:ascii="GHEA Grapalat" w:hAnsi="GHEA Grapalat" w:cs="Sylfaen"/>
          <w:sz w:val="22"/>
          <w:szCs w:val="22"/>
        </w:rPr>
        <w:t>Նախորդ տարվա նույն ժամանակահատվածի ցուցանիշի համեմատ Հանրակրթության ծրագրի ծախսերն աճել են 2.1%</w:t>
      </w:r>
      <w:r w:rsidRPr="00B57DAB">
        <w:rPr>
          <w:rFonts w:ascii="GHEA Grapalat" w:hAnsi="GHEA Grapalat" w:cs="Sylfaen"/>
          <w:sz w:val="22"/>
          <w:szCs w:val="22"/>
        </w:rPr>
        <w:noBreakHyphen/>
        <w:t>ով կամ 400.3 մլն դրամով՝ հիմնականում պայմանավորված միջնակարգ ընդհանուր հանրակրթության</w:t>
      </w:r>
      <w:r w:rsidR="00D027DA" w:rsidRPr="00B57DAB">
        <w:rPr>
          <w:rFonts w:ascii="GHEA Grapalat" w:hAnsi="GHEA Grapalat" w:cs="Sylfaen"/>
          <w:sz w:val="22"/>
          <w:szCs w:val="22"/>
        </w:rPr>
        <w:t xml:space="preserve"> </w:t>
      </w:r>
      <w:r w:rsidRPr="00B57DAB">
        <w:rPr>
          <w:rFonts w:ascii="GHEA Grapalat" w:hAnsi="GHEA Grapalat" w:cs="Sylfaen"/>
          <w:sz w:val="22"/>
          <w:szCs w:val="22"/>
        </w:rPr>
        <w:t>և</w:t>
      </w:r>
      <w:r w:rsidR="00D027DA" w:rsidRPr="00B57DAB">
        <w:rPr>
          <w:rFonts w:ascii="GHEA Grapalat" w:hAnsi="GHEA Grapalat" w:cs="Sylfaen"/>
          <w:sz w:val="22"/>
          <w:szCs w:val="22"/>
        </w:rPr>
        <w:t xml:space="preserve"> </w:t>
      </w:r>
      <w:r w:rsidRPr="00B57DAB">
        <w:rPr>
          <w:rFonts w:ascii="GHEA Grapalat" w:hAnsi="GHEA Grapalat" w:cs="Sylfaen"/>
          <w:sz w:val="22"/>
          <w:szCs w:val="22"/>
        </w:rPr>
        <w:t>2022 թվականին ՀՀ-ում կենսաբանության միջազգային օլիմպիադայի նախապատրաստման գծով ծախսերի համապատասխանաբար 7.5% (240.7 մլ</w:t>
      </w:r>
      <w:r w:rsidR="003944FD" w:rsidRPr="00B57DAB">
        <w:rPr>
          <w:rFonts w:ascii="GHEA Grapalat" w:hAnsi="GHEA Grapalat" w:cs="Sylfaen"/>
          <w:sz w:val="22"/>
          <w:szCs w:val="22"/>
        </w:rPr>
        <w:t>ն</w:t>
      </w:r>
      <w:r w:rsidRPr="00B57DAB">
        <w:rPr>
          <w:rFonts w:ascii="GHEA Grapalat" w:hAnsi="GHEA Grapalat" w:cs="Sylfaen"/>
          <w:sz w:val="22"/>
          <w:szCs w:val="22"/>
        </w:rPr>
        <w:t xml:space="preserve"> դրամ) և 12.7 անգամ</w:t>
      </w:r>
      <w:r w:rsidR="00D027DA" w:rsidRPr="00B57DAB">
        <w:rPr>
          <w:rFonts w:ascii="GHEA Grapalat" w:hAnsi="GHEA Grapalat" w:cs="Sylfaen"/>
          <w:sz w:val="22"/>
          <w:szCs w:val="22"/>
        </w:rPr>
        <w:t xml:space="preserve"> </w:t>
      </w:r>
      <w:r w:rsidRPr="00B57DAB">
        <w:rPr>
          <w:rFonts w:ascii="GHEA Grapalat" w:hAnsi="GHEA Grapalat" w:cs="Sylfaen"/>
          <w:sz w:val="22"/>
          <w:szCs w:val="22"/>
        </w:rPr>
        <w:t xml:space="preserve">(100.2 մլն դրամ) աճով, ինչպես նաև 2022 թվականին ՀՀ-ում կենսաբանության միջազգային օլիմպիադայի անցկացման նպատակով </w:t>
      </w:r>
      <w:r w:rsidR="003944FD" w:rsidRPr="00B57DAB">
        <w:rPr>
          <w:rFonts w:ascii="GHEA Grapalat" w:hAnsi="GHEA Grapalat" w:cs="Sylfaen"/>
          <w:sz w:val="22"/>
          <w:szCs w:val="22"/>
        </w:rPr>
        <w:t xml:space="preserve">ներդրումների համար </w:t>
      </w:r>
      <w:r w:rsidRPr="00B57DAB">
        <w:rPr>
          <w:rFonts w:ascii="GHEA Grapalat" w:hAnsi="GHEA Grapalat" w:cs="Sylfaen"/>
          <w:sz w:val="22"/>
          <w:szCs w:val="22"/>
        </w:rPr>
        <w:t>միջոցների հատկացմամբ</w:t>
      </w:r>
      <w:r w:rsidR="003944FD" w:rsidRPr="00B57DAB">
        <w:rPr>
          <w:rFonts w:ascii="GHEA Grapalat" w:hAnsi="GHEA Grapalat" w:cs="Sylfaen"/>
          <w:sz w:val="22"/>
          <w:szCs w:val="22"/>
        </w:rPr>
        <w:t xml:space="preserve"> 97.2 մլն դրամի չափով</w:t>
      </w:r>
      <w:r w:rsidRPr="00B57DAB">
        <w:rPr>
          <w:rFonts w:ascii="GHEA Grapalat" w:hAnsi="GHEA Grapalat" w:cs="Sylfaen"/>
          <w:sz w:val="22"/>
          <w:szCs w:val="22"/>
        </w:rPr>
        <w:t>:</w:t>
      </w:r>
    </w:p>
    <w:p w:rsidR="005B7DCC" w:rsidRPr="00B57DAB" w:rsidRDefault="003944FD" w:rsidP="005B7DCC">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2022 թվականի առաջին եռամսյակ</w:t>
      </w:r>
      <w:r w:rsidR="005B7DCC" w:rsidRPr="00B57DAB">
        <w:rPr>
          <w:rFonts w:ascii="GHEA Grapalat" w:hAnsi="GHEA Grapalat" w:cs="Sylfaen"/>
          <w:sz w:val="22"/>
          <w:szCs w:val="22"/>
        </w:rPr>
        <w:t xml:space="preserve">ում ավելի քան 3.4 մլրդ դրամ է տրամադրվել </w:t>
      </w:r>
      <w:r w:rsidR="005B7DCC" w:rsidRPr="00B57DAB">
        <w:rPr>
          <w:rFonts w:ascii="GHEA Grapalat" w:hAnsi="GHEA Grapalat" w:cs="Sylfaen"/>
          <w:i/>
          <w:sz w:val="22"/>
          <w:szCs w:val="22"/>
        </w:rPr>
        <w:t>Գիտական և գիտատեխնիկական հետազոտությունների</w:t>
      </w:r>
      <w:r w:rsidR="005B7DCC" w:rsidRPr="00B57DAB">
        <w:rPr>
          <w:rFonts w:ascii="GHEA Grapalat" w:hAnsi="GHEA Grapalat" w:cs="Sylfaen"/>
          <w:sz w:val="22"/>
          <w:szCs w:val="22"/>
        </w:rPr>
        <w:t xml:space="preserve"> ծրագրին՝ ապահովելով 85.6% կատարողական և 56.2%</w:t>
      </w:r>
      <w:r w:rsidR="005B7DCC" w:rsidRPr="00B57DAB">
        <w:rPr>
          <w:rFonts w:ascii="GHEA Grapalat" w:hAnsi="GHEA Grapalat" w:cs="Sylfaen"/>
          <w:sz w:val="22"/>
          <w:szCs w:val="22"/>
        </w:rPr>
        <w:noBreakHyphen/>
        <w:t>ով կամ 1.2 մլրդ դրամով գերազանցելով նախորդ տարվա</w:t>
      </w:r>
      <w:r w:rsidR="00D027DA" w:rsidRPr="00B57DAB">
        <w:rPr>
          <w:rFonts w:ascii="GHEA Grapalat" w:hAnsi="GHEA Grapalat" w:cs="Sylfaen"/>
          <w:sz w:val="22"/>
          <w:szCs w:val="22"/>
        </w:rPr>
        <w:t xml:space="preserve"> </w:t>
      </w:r>
      <w:r w:rsidR="005B7DCC" w:rsidRPr="00B57DAB">
        <w:rPr>
          <w:rFonts w:ascii="GHEA Grapalat" w:hAnsi="GHEA Grapalat" w:cs="Sylfaen"/>
          <w:sz w:val="22"/>
          <w:szCs w:val="22"/>
        </w:rPr>
        <w:t>նույն ժամանակահատվածի ցուցանիշը: Ծրագրի նկատմամբ շեղումը հիմնականում պայմանավորված է «Գիտական ենթակառուցվածքի արդիականացում» և «Գիտական և գիտատեխնիկական պայմանագրային (թեմատիկ) հետազոտություններ» միջոցառումների կատարողականներով: Նախորդ տարվա</w:t>
      </w:r>
      <w:r w:rsidR="006C79E4" w:rsidRPr="00B57DAB">
        <w:rPr>
          <w:rFonts w:ascii="GHEA Grapalat" w:hAnsi="GHEA Grapalat" w:cs="Sylfaen"/>
          <w:sz w:val="22"/>
          <w:szCs w:val="22"/>
        </w:rPr>
        <w:t xml:space="preserve"> առաջին եռամսյակի</w:t>
      </w:r>
      <w:r w:rsidR="005B7DCC" w:rsidRPr="00B57DAB">
        <w:rPr>
          <w:rFonts w:ascii="GHEA Grapalat" w:hAnsi="GHEA Grapalat" w:cs="Sylfaen"/>
          <w:sz w:val="22"/>
          <w:szCs w:val="22"/>
        </w:rPr>
        <w:t xml:space="preserve"> համեմատ ծրագրի ծախսերի աճը հիմնականում պայմանավորված է նշված երկու միջոցառումների գծով ծախսերի աճով:</w:t>
      </w:r>
    </w:p>
    <w:p w:rsidR="005B7DCC" w:rsidRPr="00B57DAB" w:rsidRDefault="005B7DCC" w:rsidP="005B7DCC">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Հաշվետու ժամանակահատվածում «Գիտական ենթակառուցվածքի արդիականացում» միջոցառման շրջանակներում ներգրավված է եղել թվով 67 կազմակերպություն,</w:t>
      </w:r>
      <w:r w:rsidR="00D027DA" w:rsidRPr="00B57DAB">
        <w:rPr>
          <w:rFonts w:ascii="GHEA Grapalat" w:hAnsi="GHEA Grapalat" w:cs="Sylfaen"/>
          <w:sz w:val="22"/>
          <w:szCs w:val="22"/>
        </w:rPr>
        <w:t xml:space="preserve"> </w:t>
      </w:r>
      <w:r w:rsidRPr="00B57DAB">
        <w:rPr>
          <w:rFonts w:ascii="GHEA Grapalat" w:hAnsi="GHEA Grapalat" w:cs="Sylfaen"/>
          <w:sz w:val="22"/>
          <w:szCs w:val="22"/>
        </w:rPr>
        <w:t>Հայաստանն անդամակցել է թվով 2 միջազգային գիտական կառույցի, պետական բյուջեից ֆինանսավորել է երիտասարդ գիտնականների թվով 3 դպրոց և 3 երաշխավորված գիտական միջոցառում: Միջոցառման գծով ծախսերը կազմել են ավելի քան 1.7 մլրդ դրամ կամ ծրագրված ցուցանիշի 92.1%</w:t>
      </w:r>
      <w:r w:rsidR="006C79E4" w:rsidRPr="00B57DAB">
        <w:rPr>
          <w:rFonts w:ascii="GHEA Grapalat" w:hAnsi="GHEA Grapalat" w:cs="Sylfaen"/>
          <w:sz w:val="22"/>
          <w:szCs w:val="22"/>
        </w:rPr>
        <w:noBreakHyphen/>
      </w:r>
      <w:r w:rsidRPr="00B57DAB">
        <w:rPr>
          <w:rFonts w:ascii="GHEA Grapalat" w:hAnsi="GHEA Grapalat" w:cs="Sylfaen"/>
          <w:sz w:val="22"/>
          <w:szCs w:val="22"/>
        </w:rPr>
        <w:t>ը: Շեղումը հիմնականում պայմանավորված է գիտական կազմակերպությունների կողմից ներկայացված հայտերի քանակով, ինչպես նաև մրցութային գործընթաց</w:t>
      </w:r>
      <w:r w:rsidR="006C79E4" w:rsidRPr="00B57DAB">
        <w:rPr>
          <w:rFonts w:ascii="GHEA Grapalat" w:hAnsi="GHEA Grapalat" w:cs="Sylfaen"/>
          <w:sz w:val="22"/>
          <w:szCs w:val="22"/>
        </w:rPr>
        <w:t>ներ</w:t>
      </w:r>
      <w:r w:rsidRPr="00B57DAB">
        <w:rPr>
          <w:rFonts w:ascii="GHEA Grapalat" w:hAnsi="GHEA Grapalat" w:cs="Sylfaen"/>
          <w:sz w:val="22"/>
          <w:szCs w:val="22"/>
        </w:rPr>
        <w:t>ով:</w:t>
      </w:r>
    </w:p>
    <w:p w:rsidR="005B7DCC" w:rsidRPr="00B57DAB" w:rsidRDefault="005B7DCC" w:rsidP="005B7DCC">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lastRenderedPageBreak/>
        <w:t>Գիտական և գիտատեխնիկական պայմանագրային (թեմատիկ) հետազոտությունների միջոցառման շրջանակներում հաշվետու ժամանակահատվածում պետական բյուջեից ֆինանսավորվել է 231 գիտական թեմա՝ նախատեսված 486-ի փոխարեն, իրականացվել է 71 միջազգային գիտական ծրագ</w:t>
      </w:r>
      <w:r w:rsidR="006C79E4" w:rsidRPr="00B57DAB">
        <w:rPr>
          <w:rFonts w:ascii="GHEA Grapalat" w:hAnsi="GHEA Grapalat" w:cs="Sylfaen"/>
          <w:sz w:val="22"/>
          <w:szCs w:val="22"/>
        </w:rPr>
        <w:t>ի</w:t>
      </w:r>
      <w:r w:rsidRPr="00B57DAB">
        <w:rPr>
          <w:rFonts w:ascii="GHEA Grapalat" w:hAnsi="GHEA Grapalat" w:cs="Sylfaen"/>
          <w:sz w:val="22"/>
          <w:szCs w:val="22"/>
        </w:rPr>
        <w:t>ր՝ նախատեսված 117-ի փոխարեն: Գիտական և գիտատեխնիկական պայմանագրային (թեմատիկ) հետազոտությունների գծով ծախսերը կազմել են շուրջ 975.7 մլն դրամ կամ ծրագրված ցուցանիշի 73.3%-ը,</w:t>
      </w:r>
      <w:r w:rsidR="00A269C3" w:rsidRPr="00B57DAB">
        <w:rPr>
          <w:rFonts w:ascii="GHEA Grapalat" w:hAnsi="GHEA Grapalat" w:cs="Sylfaen"/>
          <w:sz w:val="22"/>
          <w:szCs w:val="22"/>
        </w:rPr>
        <w:t xml:space="preserve"> </w:t>
      </w:r>
      <w:r w:rsidRPr="00B57DAB">
        <w:rPr>
          <w:rFonts w:ascii="GHEA Grapalat" w:hAnsi="GHEA Grapalat" w:cs="Sylfaen"/>
          <w:sz w:val="22"/>
          <w:szCs w:val="22"/>
        </w:rPr>
        <w:t>որը պայմանավորված է</w:t>
      </w:r>
      <w:r w:rsidR="0063695A" w:rsidRPr="00B57DAB">
        <w:rPr>
          <w:rFonts w:ascii="GHEA Grapalat" w:hAnsi="GHEA Grapalat" w:cs="Sylfaen"/>
          <w:sz w:val="22"/>
          <w:szCs w:val="22"/>
        </w:rPr>
        <w:t xml:space="preserve"> գիտական կազմակերպությունների կողմից մրցույթին մասնակցելու համար ներկայացվող հայտերի մի մասն ընդունման և փորձաքննության փուլում գտնվելու, ինչպես նաև անցկացված նոր մրցույթներն ամփոփված չլինելու հանգամանքներով</w:t>
      </w:r>
      <w:r w:rsidRPr="00B57DAB">
        <w:rPr>
          <w:rFonts w:ascii="GHEA Grapalat" w:hAnsi="GHEA Grapalat" w:cs="Sylfaen"/>
          <w:sz w:val="22"/>
          <w:szCs w:val="22"/>
        </w:rPr>
        <w:t>:</w:t>
      </w:r>
    </w:p>
    <w:p w:rsidR="005B7DCC" w:rsidRPr="00B57DAB" w:rsidRDefault="005B7DCC" w:rsidP="005B7DCC">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Ծրագրում ընդգրկված միջոցառումներից յոթի գծով նախատեսված 513.3 մլն դրամն օգտագործվել է ամբողջությամբ: Նշված միջոցառումների շրջանակներում գրեթե ամբողջությամբ ապահովվել են սահմանված արդյունքային չափորոշիչները:</w:t>
      </w:r>
    </w:p>
    <w:p w:rsidR="005B7DCC" w:rsidRPr="00B57DAB" w:rsidRDefault="005B7DCC" w:rsidP="005B7DCC">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 xml:space="preserve">Հաշվետու ժամանակահատվածում </w:t>
      </w:r>
      <w:r w:rsidRPr="00B57DAB">
        <w:rPr>
          <w:rFonts w:ascii="GHEA Grapalat" w:hAnsi="GHEA Grapalat" w:cs="Sylfaen"/>
          <w:i/>
          <w:sz w:val="22"/>
          <w:szCs w:val="22"/>
        </w:rPr>
        <w:t>Արվեստների</w:t>
      </w:r>
      <w:r w:rsidRPr="00B57DAB">
        <w:rPr>
          <w:rFonts w:ascii="GHEA Grapalat" w:hAnsi="GHEA Grapalat" w:cs="Sylfaen"/>
          <w:sz w:val="22"/>
          <w:szCs w:val="22"/>
        </w:rPr>
        <w:t xml:space="preserve"> ծրագրի շրջանակներում օգտագործվել է նախատեսված միջոցների 74%-ը՝</w:t>
      </w:r>
      <w:r w:rsidR="00D027DA" w:rsidRPr="00B57DAB">
        <w:rPr>
          <w:rFonts w:ascii="GHEA Grapalat" w:hAnsi="GHEA Grapalat" w:cs="Sylfaen"/>
          <w:sz w:val="22"/>
          <w:szCs w:val="22"/>
        </w:rPr>
        <w:t xml:space="preserve"> </w:t>
      </w:r>
      <w:r w:rsidRPr="00B57DAB">
        <w:rPr>
          <w:rFonts w:ascii="GHEA Grapalat" w:hAnsi="GHEA Grapalat" w:cs="Sylfaen"/>
          <w:sz w:val="22"/>
          <w:szCs w:val="22"/>
        </w:rPr>
        <w:t>շուրջ 2.1 մլրդ դրամ:</w:t>
      </w:r>
      <w:r w:rsidR="00A269C3" w:rsidRPr="00B57DAB">
        <w:rPr>
          <w:rFonts w:ascii="GHEA Grapalat" w:hAnsi="GHEA Grapalat" w:cs="Sylfaen"/>
          <w:sz w:val="22"/>
          <w:szCs w:val="22"/>
        </w:rPr>
        <w:t xml:space="preserve"> Շեղումը հիմնականում պայմանավորված է մշակութային միջոցառումների իրականացման, Կարեն Դեմիրճյանի անվան մարզահամերգային համալիրի կարողությունների զարգացման և մարզահամերգային համալիրի պահպանության միջոցառումների կատարողականով:</w:t>
      </w:r>
    </w:p>
    <w:p w:rsidR="00A11C87" w:rsidRPr="00B57DAB" w:rsidRDefault="00A11C87" w:rsidP="00A11C87">
      <w:pPr>
        <w:autoSpaceDE w:val="0"/>
        <w:autoSpaceDN w:val="0"/>
        <w:adjustRightInd w:val="0"/>
        <w:spacing w:line="360" w:lineRule="auto"/>
        <w:ind w:firstLine="567"/>
        <w:jc w:val="both"/>
        <w:rPr>
          <w:rFonts w:ascii="GHEA Grapalat" w:hAnsi="GHEA Grapalat" w:cs="Arial"/>
          <w:sz w:val="22"/>
          <w:szCs w:val="22"/>
        </w:rPr>
      </w:pPr>
      <w:r w:rsidRPr="00B57DAB">
        <w:rPr>
          <w:rFonts w:ascii="GHEA Grapalat" w:hAnsi="GHEA Grapalat" w:cs="Sylfaen"/>
          <w:sz w:val="22"/>
          <w:szCs w:val="22"/>
        </w:rPr>
        <w:t>2022 թվականի առաջին եռամսյակի ընթացքում մշակութային միջոցառումների շրջանակներում իրականացվել են թվով 6 ստեղծագործական նախագծեր և միջոցառումներ՝ կանխատեսված 8</w:t>
      </w:r>
      <w:r w:rsidRPr="00B57DAB">
        <w:rPr>
          <w:rFonts w:ascii="GHEA Grapalat" w:hAnsi="GHEA Grapalat" w:cs="Sylfaen"/>
          <w:sz w:val="22"/>
          <w:szCs w:val="22"/>
        </w:rPr>
        <w:noBreakHyphen/>
        <w:t xml:space="preserve">ի փոխարեն, պետական աջակցությամբ իրականացվել են 5 ծրագրեր՝ նախատեսված 3-ի փոխարեն, </w:t>
      </w:r>
      <w:r w:rsidRPr="00B57DAB">
        <w:rPr>
          <w:rFonts w:ascii="GHEA Grapalat" w:hAnsi="GHEA Grapalat" w:cs="Arial"/>
          <w:sz w:val="22"/>
          <w:szCs w:val="22"/>
          <w:lang w:val="it-IT"/>
        </w:rPr>
        <w:t>2</w:t>
      </w:r>
      <w:r w:rsidRPr="00B57DAB">
        <w:rPr>
          <w:rFonts w:ascii="GHEA Grapalat" w:hAnsi="GHEA Grapalat" w:cs="Arial"/>
          <w:sz w:val="22"/>
          <w:szCs w:val="22"/>
        </w:rPr>
        <w:t xml:space="preserve"> մանկապատանեկան</w:t>
      </w:r>
      <w:r w:rsidRPr="00B57DAB">
        <w:rPr>
          <w:rFonts w:ascii="GHEA Grapalat" w:hAnsi="GHEA Grapalat" w:cs="Arial"/>
          <w:sz w:val="22"/>
          <w:szCs w:val="22"/>
          <w:lang w:val="it-IT"/>
        </w:rPr>
        <w:t xml:space="preserve"> </w:t>
      </w:r>
      <w:r w:rsidRPr="00B57DAB">
        <w:rPr>
          <w:rFonts w:ascii="GHEA Grapalat" w:hAnsi="GHEA Grapalat" w:cs="Arial"/>
          <w:sz w:val="22"/>
          <w:szCs w:val="22"/>
        </w:rPr>
        <w:t>մշակութային</w:t>
      </w:r>
      <w:r w:rsidRPr="00B57DAB">
        <w:rPr>
          <w:rFonts w:ascii="GHEA Grapalat" w:hAnsi="GHEA Grapalat" w:cs="Arial"/>
          <w:sz w:val="22"/>
          <w:szCs w:val="22"/>
          <w:lang w:val="it-IT"/>
        </w:rPr>
        <w:t xml:space="preserve"> </w:t>
      </w:r>
      <w:r w:rsidRPr="00B57DAB">
        <w:rPr>
          <w:rFonts w:ascii="GHEA Grapalat" w:hAnsi="GHEA Grapalat" w:cs="Arial"/>
          <w:sz w:val="22"/>
          <w:szCs w:val="22"/>
        </w:rPr>
        <w:t>միջոցառումներ, միջպետական համագործակցության պայմանագրերի շրջանակներում իրականացվել է 1 միջոցառում</w:t>
      </w:r>
      <w:r w:rsidR="00072917" w:rsidRPr="00B57DAB">
        <w:rPr>
          <w:rFonts w:ascii="GHEA Grapalat" w:hAnsi="GHEA Grapalat" w:cs="Arial"/>
          <w:sz w:val="22"/>
          <w:szCs w:val="22"/>
        </w:rPr>
        <w:t xml:space="preserve">, աջակցություն է ցուցաբերվել «Սոս Սարգսյանի անվ. </w:t>
      </w:r>
      <w:proofErr w:type="gramStart"/>
      <w:r w:rsidR="00072917" w:rsidRPr="00B57DAB">
        <w:rPr>
          <w:rFonts w:ascii="GHEA Grapalat" w:hAnsi="GHEA Grapalat" w:cs="Arial"/>
          <w:sz w:val="22"/>
          <w:szCs w:val="22"/>
        </w:rPr>
        <w:t>համազգային</w:t>
      </w:r>
      <w:proofErr w:type="gramEnd"/>
      <w:r w:rsidR="00072917" w:rsidRPr="00B57DAB">
        <w:rPr>
          <w:rFonts w:ascii="GHEA Grapalat" w:hAnsi="GHEA Grapalat" w:cs="Arial"/>
          <w:sz w:val="22"/>
          <w:szCs w:val="22"/>
        </w:rPr>
        <w:t xml:space="preserve"> թատրոն» ՊՈԱԿ-ին՝ Իրանում «Ֆաջեր» միջազգային թատերական փառատոնին մասնակցելու նպատակով</w:t>
      </w:r>
      <w:r w:rsidRPr="00B57DAB">
        <w:rPr>
          <w:rFonts w:ascii="GHEA Grapalat" w:hAnsi="GHEA Grapalat" w:cs="Arial"/>
          <w:sz w:val="22"/>
          <w:szCs w:val="22"/>
        </w:rPr>
        <w:t>:</w:t>
      </w:r>
      <w:r w:rsidRPr="00B57DAB">
        <w:rPr>
          <w:rFonts w:ascii="GHEA Grapalat" w:hAnsi="GHEA Grapalat" w:cs="Sylfaen"/>
          <w:sz w:val="22"/>
          <w:szCs w:val="22"/>
        </w:rPr>
        <w:t xml:space="preserve"> Մշակութային միջոցառումների իրականացմանը հաշվետու ժամանակահատվածում</w:t>
      </w:r>
      <w:r w:rsidR="00624B08" w:rsidRPr="00B57DAB">
        <w:rPr>
          <w:rFonts w:ascii="GHEA Grapalat" w:hAnsi="GHEA Grapalat" w:cs="Sylfaen"/>
          <w:sz w:val="22"/>
          <w:szCs w:val="22"/>
        </w:rPr>
        <w:t xml:space="preserve"> </w:t>
      </w:r>
      <w:r w:rsidRPr="00B57DAB">
        <w:rPr>
          <w:rFonts w:ascii="GHEA Grapalat" w:hAnsi="GHEA Grapalat" w:cs="Sylfaen"/>
          <w:sz w:val="22"/>
          <w:szCs w:val="22"/>
        </w:rPr>
        <w:t>տրամադրվել է 56.7 մլն դրամ</w:t>
      </w:r>
      <w:r w:rsidR="00072917" w:rsidRPr="00B57DAB">
        <w:rPr>
          <w:rFonts w:ascii="GHEA Grapalat" w:hAnsi="GHEA Grapalat" w:cs="Sylfaen"/>
          <w:sz w:val="22"/>
          <w:szCs w:val="22"/>
        </w:rPr>
        <w:t xml:space="preserve"> կամ նախատեսված միջոցների</w:t>
      </w:r>
      <w:r w:rsidRPr="00B57DAB">
        <w:rPr>
          <w:rFonts w:ascii="GHEA Grapalat" w:hAnsi="GHEA Grapalat" w:cs="Sylfaen"/>
          <w:sz w:val="22"/>
          <w:szCs w:val="22"/>
        </w:rPr>
        <w:t xml:space="preserve"> 10.7%</w:t>
      </w:r>
      <w:r w:rsidR="00072917" w:rsidRPr="00B57DAB">
        <w:rPr>
          <w:rFonts w:ascii="GHEA Grapalat" w:hAnsi="GHEA Grapalat" w:cs="Sylfaen"/>
          <w:sz w:val="22"/>
          <w:szCs w:val="22"/>
        </w:rPr>
        <w:t>-ը</w:t>
      </w:r>
      <w:r w:rsidRPr="00B57DAB">
        <w:rPr>
          <w:rFonts w:ascii="GHEA Grapalat" w:hAnsi="GHEA Grapalat" w:cs="Sylfaen"/>
          <w:sz w:val="22"/>
          <w:szCs w:val="22"/>
        </w:rPr>
        <w:t xml:space="preserve">: </w:t>
      </w:r>
      <w:r w:rsidRPr="00B57DAB">
        <w:rPr>
          <w:rFonts w:ascii="GHEA Grapalat" w:hAnsi="GHEA Grapalat" w:cs="Arial"/>
          <w:sz w:val="22"/>
          <w:szCs w:val="22"/>
        </w:rPr>
        <w:t>Ցածր կատարողականը պայմանավորված է դրամաշնորհային մրցույթներ</w:t>
      </w:r>
      <w:r w:rsidR="00072917" w:rsidRPr="00B57DAB">
        <w:rPr>
          <w:rFonts w:ascii="GHEA Grapalat" w:hAnsi="GHEA Grapalat" w:cs="Arial"/>
          <w:sz w:val="22"/>
          <w:szCs w:val="22"/>
        </w:rPr>
        <w:t>ի արդյունքներն</w:t>
      </w:r>
      <w:r w:rsidRPr="00B57DAB">
        <w:rPr>
          <w:rFonts w:ascii="GHEA Grapalat" w:hAnsi="GHEA Grapalat" w:cs="Arial"/>
          <w:sz w:val="22"/>
          <w:szCs w:val="22"/>
        </w:rPr>
        <w:t xml:space="preserve"> ամփոփված չլինելու հանգամանքով։</w:t>
      </w:r>
    </w:p>
    <w:p w:rsidR="00A11C87" w:rsidRPr="00B57DAB" w:rsidRDefault="00A11C87" w:rsidP="00A11C87">
      <w:pPr>
        <w:autoSpaceDE w:val="0"/>
        <w:autoSpaceDN w:val="0"/>
        <w:adjustRightInd w:val="0"/>
        <w:spacing w:line="360" w:lineRule="auto"/>
        <w:ind w:firstLine="567"/>
        <w:jc w:val="both"/>
        <w:rPr>
          <w:rFonts w:ascii="GHEA Grapalat" w:hAnsi="GHEA Grapalat" w:cs="Arial"/>
          <w:sz w:val="22"/>
          <w:szCs w:val="22"/>
        </w:rPr>
      </w:pPr>
      <w:r w:rsidRPr="00B57DAB">
        <w:rPr>
          <w:rFonts w:ascii="GHEA Grapalat" w:hAnsi="GHEA Grapalat" w:cs="Arial"/>
          <w:sz w:val="22"/>
          <w:szCs w:val="22"/>
        </w:rPr>
        <w:t xml:space="preserve">Մարզահամերգային համալիրի պահպանության համար ծախսվել է 28.2 մլն դրամ կամ նախատեսված միջոցների 28.3%-ը՝ պայմանավորված </w:t>
      </w:r>
      <w:r w:rsidR="00240E3B" w:rsidRPr="00B57DAB">
        <w:rPr>
          <w:rFonts w:ascii="GHEA Grapalat" w:hAnsi="GHEA Grapalat" w:cs="Arial"/>
          <w:sz w:val="22"/>
          <w:szCs w:val="22"/>
        </w:rPr>
        <w:t>վճարման համար անհրաժեշտ փաստաթղթերը մարտ ամսվա վերջին ներկայացնելու հանգամանքով, որի արդյունքում</w:t>
      </w:r>
      <w:r w:rsidR="00B56CF8" w:rsidRPr="00B57DAB">
        <w:rPr>
          <w:rFonts w:ascii="GHEA Grapalat" w:hAnsi="GHEA Grapalat" w:cs="Arial"/>
          <w:sz w:val="22"/>
          <w:szCs w:val="22"/>
        </w:rPr>
        <w:t xml:space="preserve"> </w:t>
      </w:r>
      <w:r w:rsidR="00240E3B" w:rsidRPr="00B57DAB">
        <w:rPr>
          <w:rFonts w:ascii="GHEA Grapalat" w:hAnsi="GHEA Grapalat" w:cs="Arial"/>
          <w:sz w:val="22"/>
          <w:szCs w:val="22"/>
        </w:rPr>
        <w:t>վճարումը տեղափոխվել է հաջորդ եռամսյակ</w:t>
      </w:r>
      <w:r w:rsidR="00072917" w:rsidRPr="00B57DAB">
        <w:rPr>
          <w:rFonts w:ascii="GHEA Grapalat" w:hAnsi="GHEA Grapalat" w:cs="Arial"/>
          <w:sz w:val="22"/>
          <w:szCs w:val="22"/>
        </w:rPr>
        <w:t>:</w:t>
      </w:r>
    </w:p>
    <w:p w:rsidR="00A11C87" w:rsidRPr="00B57DAB" w:rsidRDefault="00A11C87" w:rsidP="00A11C87">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Arial"/>
          <w:sz w:val="22"/>
          <w:szCs w:val="22"/>
        </w:rPr>
        <w:t>Հաշվետու ժամանակահ</w:t>
      </w:r>
      <w:r w:rsidR="00072917" w:rsidRPr="00B57DAB">
        <w:rPr>
          <w:rFonts w:ascii="GHEA Grapalat" w:hAnsi="GHEA Grapalat" w:cs="Arial"/>
          <w:sz w:val="22"/>
          <w:szCs w:val="22"/>
        </w:rPr>
        <w:t>ա</w:t>
      </w:r>
      <w:r w:rsidRPr="00B57DAB">
        <w:rPr>
          <w:rFonts w:ascii="GHEA Grapalat" w:hAnsi="GHEA Grapalat" w:cs="Arial"/>
          <w:sz w:val="22"/>
          <w:szCs w:val="22"/>
        </w:rPr>
        <w:t>տվածում</w:t>
      </w:r>
      <w:r w:rsidR="00624B08" w:rsidRPr="00B57DAB">
        <w:rPr>
          <w:rFonts w:ascii="GHEA Grapalat" w:hAnsi="GHEA Grapalat" w:cs="Arial"/>
          <w:sz w:val="22"/>
          <w:szCs w:val="22"/>
        </w:rPr>
        <w:t xml:space="preserve"> </w:t>
      </w:r>
      <w:r w:rsidRPr="00B57DAB">
        <w:rPr>
          <w:rFonts w:ascii="GHEA Grapalat" w:hAnsi="GHEA Grapalat" w:cs="Arial"/>
          <w:sz w:val="22"/>
          <w:szCs w:val="22"/>
        </w:rPr>
        <w:t xml:space="preserve">շուրջ 115.3 մլն դրամ է օգտագործվել «Կարեն Դեմիրճյանի անվան մարզահամերգային համալիրի կարողությունների զարգացում» միջոցառման </w:t>
      </w:r>
      <w:r w:rsidRPr="00B57DAB">
        <w:rPr>
          <w:rFonts w:ascii="GHEA Grapalat" w:hAnsi="GHEA Grapalat" w:cs="GHEA Grapalat"/>
          <w:sz w:val="22"/>
          <w:szCs w:val="22"/>
        </w:rPr>
        <w:lastRenderedPageBreak/>
        <w:t>շրջանակներում</w:t>
      </w:r>
      <w:r w:rsidRPr="00B57DAB">
        <w:rPr>
          <w:rFonts w:ascii="GHEA Grapalat" w:hAnsi="GHEA Grapalat" w:cs="Sylfaen"/>
          <w:sz w:val="22"/>
          <w:szCs w:val="22"/>
        </w:rPr>
        <w:t>, որը կազմել է ծրագրված ցուցանիշի 45.5%-ը:</w:t>
      </w:r>
      <w:r w:rsidR="00B543AD" w:rsidRPr="00B57DAB">
        <w:rPr>
          <w:rFonts w:ascii="GHEA Grapalat" w:hAnsi="GHEA Grapalat" w:cs="Sylfaen"/>
          <w:sz w:val="22"/>
          <w:szCs w:val="22"/>
        </w:rPr>
        <w:t xml:space="preserve"> Գումարը հատկացվել է </w:t>
      </w:r>
      <w:r w:rsidR="00B543AD" w:rsidRPr="00B57DAB">
        <w:rPr>
          <w:rFonts w:ascii="GHEA Grapalat" w:hAnsi="GHEA Grapalat" w:cs="GHEA Grapalat"/>
          <w:sz w:val="22"/>
          <w:szCs w:val="22"/>
        </w:rPr>
        <w:t xml:space="preserve">կանխավճարի </w:t>
      </w:r>
      <w:r w:rsidR="00B543AD" w:rsidRPr="00B57DAB">
        <w:rPr>
          <w:rFonts w:ascii="GHEA Grapalat" w:hAnsi="GHEA Grapalat" w:cs="Sylfaen"/>
          <w:sz w:val="22"/>
          <w:szCs w:val="22"/>
        </w:rPr>
        <w:t>տրամադրման նպատակով, իսկ ապրանքների մատակարարման վերջնաժամկետ է սահմանված մայիսի 20-ը</w:t>
      </w:r>
      <w:r w:rsidRPr="00B57DAB">
        <w:rPr>
          <w:rFonts w:ascii="GHEA Grapalat" w:hAnsi="GHEA Grapalat" w:cs="Sylfaen"/>
          <w:sz w:val="22"/>
          <w:szCs w:val="22"/>
        </w:rPr>
        <w:t>:</w:t>
      </w:r>
    </w:p>
    <w:p w:rsidR="005B7DCC" w:rsidRPr="00B57DAB" w:rsidRDefault="005B7DCC" w:rsidP="005B7DCC">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Երաժշտարվեստի և պարարվեստի համերգների միջոցառման շրջանակներում առաջին եռամսյակի ընթացքում կազմակերպվել են 9 նոր համերգային համարներ՝ նախատեսված 5</w:t>
      </w:r>
      <w:r w:rsidR="00B543AD" w:rsidRPr="00B57DAB">
        <w:rPr>
          <w:rFonts w:ascii="GHEA Grapalat" w:hAnsi="GHEA Grapalat" w:cs="Sylfaen"/>
          <w:sz w:val="22"/>
          <w:szCs w:val="22"/>
        </w:rPr>
        <w:t>-</w:t>
      </w:r>
      <w:r w:rsidRPr="00B57DAB">
        <w:rPr>
          <w:rFonts w:ascii="GHEA Grapalat" w:hAnsi="GHEA Grapalat" w:cs="Sylfaen"/>
          <w:sz w:val="22"/>
          <w:szCs w:val="22"/>
        </w:rPr>
        <w:t>ի դիմաց, 86 համերգներ՝ նախատեսված 102–ի դիմաց, հանդիսատեսի քանակը կազմել է 23946՝ կանխատեսված 34296</w:t>
      </w:r>
      <w:r w:rsidRPr="00B57DAB">
        <w:rPr>
          <w:rFonts w:ascii="GHEA Grapalat" w:hAnsi="GHEA Grapalat" w:cs="Sylfaen"/>
          <w:sz w:val="22"/>
          <w:szCs w:val="22"/>
        </w:rPr>
        <w:noBreakHyphen/>
        <w:t>ի դիմաց։ Երաժշտարվեստի և պարարվեստի համերգների միջոցառման ծախսերը կազմել են ավելի քան</w:t>
      </w:r>
      <w:r w:rsidR="00D027DA" w:rsidRPr="00B57DAB">
        <w:rPr>
          <w:rFonts w:ascii="GHEA Grapalat" w:hAnsi="GHEA Grapalat" w:cs="Sylfaen"/>
          <w:sz w:val="22"/>
          <w:szCs w:val="22"/>
        </w:rPr>
        <w:t xml:space="preserve"> </w:t>
      </w:r>
      <w:r w:rsidRPr="00B57DAB">
        <w:rPr>
          <w:rFonts w:ascii="GHEA Grapalat" w:hAnsi="GHEA Grapalat" w:cs="Sylfaen"/>
          <w:sz w:val="22"/>
          <w:szCs w:val="22"/>
        </w:rPr>
        <w:t xml:space="preserve">742.7 մլն դրամ կամ նախատեսվածի 99.2%-ը: </w:t>
      </w:r>
    </w:p>
    <w:p w:rsidR="005B7DCC" w:rsidRPr="00B57DAB" w:rsidRDefault="005B7DCC" w:rsidP="005B7DCC">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Թատերական ներկայացումների միջոցառման շրջանակներում 2022 թվականի առաջին եռամսյակի ընթացքում</w:t>
      </w:r>
      <w:r w:rsidR="00D027DA" w:rsidRPr="00B57DAB">
        <w:rPr>
          <w:rFonts w:ascii="GHEA Grapalat" w:hAnsi="GHEA Grapalat" w:cs="Sylfaen"/>
          <w:sz w:val="22"/>
          <w:szCs w:val="22"/>
        </w:rPr>
        <w:t xml:space="preserve"> </w:t>
      </w:r>
      <w:r w:rsidR="00A269C3" w:rsidRPr="00B57DAB">
        <w:rPr>
          <w:rFonts w:ascii="GHEA Grapalat" w:hAnsi="GHEA Grapalat" w:cs="Sylfaen"/>
          <w:sz w:val="22"/>
          <w:szCs w:val="22"/>
        </w:rPr>
        <w:t>կայաց</w:t>
      </w:r>
      <w:r w:rsidRPr="00B57DAB">
        <w:rPr>
          <w:rFonts w:ascii="GHEA Grapalat" w:hAnsi="GHEA Grapalat" w:cs="Sylfaen"/>
          <w:sz w:val="22"/>
          <w:szCs w:val="22"/>
        </w:rPr>
        <w:t xml:space="preserve">ել են 692 ներկայացումներ՝ նախատեսված 701-ի դիմաց, հանդիսատեսի թիվը կազմել է 98891՝ կանխատեսված 112608-ի դիմաց, իսկ նոր ներկայացումների քանակը կազմել է 10՝ նախատեսված 20-ի դիմաց: Թատերական ներկայացումների ծախսերը կազմել են շուրջ 580.8 մլն դրամ, որոնք օգտագործվել են 97%-ով: Շեղումը պայմանավորված է «Խորեոգրաֆիայի պետական թատրոն» ՊՈԱԿ-ի հետ պայմանագիր չկնքվելու, ավելացված արժեքի հարկի վճարման համար նախատեսված հատկացումներն ամբողջությամբ չօգտագործելու, ինչպես նաև </w:t>
      </w:r>
      <w:r w:rsidR="00440F84" w:rsidRPr="00B57DAB">
        <w:rPr>
          <w:rFonts w:ascii="GHEA Grapalat" w:hAnsi="GHEA Grapalat" w:cs="Sylfaen"/>
          <w:sz w:val="22"/>
          <w:szCs w:val="22"/>
        </w:rPr>
        <w:t>որոշ</w:t>
      </w:r>
      <w:r w:rsidRPr="00B57DAB">
        <w:rPr>
          <w:rFonts w:ascii="GHEA Grapalat" w:hAnsi="GHEA Grapalat" w:cs="Sylfaen"/>
          <w:sz w:val="22"/>
          <w:szCs w:val="22"/>
        </w:rPr>
        <w:t xml:space="preserve"> վճարումներ կնքված պայման</w:t>
      </w:r>
      <w:r w:rsidR="00ED62FF" w:rsidRPr="00B57DAB">
        <w:rPr>
          <w:rFonts w:ascii="GHEA Grapalat" w:hAnsi="GHEA Grapalat" w:cs="Sylfaen"/>
          <w:sz w:val="22"/>
          <w:szCs w:val="22"/>
        </w:rPr>
        <w:t>ագրերի վճարման ժամանակացույցերին համապատասխան</w:t>
      </w:r>
      <w:r w:rsidRPr="00B57DAB">
        <w:rPr>
          <w:rFonts w:ascii="GHEA Grapalat" w:hAnsi="GHEA Grapalat" w:cs="Sylfaen"/>
          <w:sz w:val="22"/>
          <w:szCs w:val="22"/>
        </w:rPr>
        <w:t xml:space="preserve"> </w:t>
      </w:r>
      <w:r w:rsidR="00440F84" w:rsidRPr="00B57DAB">
        <w:rPr>
          <w:rFonts w:ascii="GHEA Grapalat" w:hAnsi="GHEA Grapalat" w:cs="Sylfaen"/>
          <w:sz w:val="22"/>
          <w:szCs w:val="22"/>
        </w:rPr>
        <w:t>իրականացվելու</w:t>
      </w:r>
      <w:r w:rsidRPr="00B57DAB">
        <w:rPr>
          <w:rFonts w:ascii="GHEA Grapalat" w:hAnsi="GHEA Grapalat" w:cs="Sylfaen"/>
          <w:sz w:val="22"/>
          <w:szCs w:val="22"/>
        </w:rPr>
        <w:t xml:space="preserve"> հանգամանքներով:</w:t>
      </w:r>
    </w:p>
    <w:p w:rsidR="005B7DCC" w:rsidRPr="00B57DAB" w:rsidRDefault="005B7DCC" w:rsidP="005B7DCC">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Օպերային և բալետային արվեստի ներկայացումներ</w:t>
      </w:r>
      <w:r w:rsidR="00440F84" w:rsidRPr="00B57DAB">
        <w:rPr>
          <w:rFonts w:ascii="GHEA Grapalat" w:hAnsi="GHEA Grapalat" w:cs="Sylfaen"/>
          <w:sz w:val="22"/>
          <w:szCs w:val="22"/>
        </w:rPr>
        <w:t>ի</w:t>
      </w:r>
      <w:r w:rsidRPr="00B57DAB">
        <w:rPr>
          <w:rFonts w:ascii="GHEA Grapalat" w:hAnsi="GHEA Grapalat" w:cs="Sylfaen"/>
          <w:sz w:val="22"/>
          <w:szCs w:val="22"/>
        </w:rPr>
        <w:t xml:space="preserve"> միջոցառման շրջանակներում հաշ</w:t>
      </w:r>
      <w:r w:rsidR="00440F84" w:rsidRPr="00B57DAB">
        <w:rPr>
          <w:rFonts w:ascii="GHEA Grapalat" w:hAnsi="GHEA Grapalat" w:cs="Sylfaen"/>
          <w:sz w:val="22"/>
          <w:szCs w:val="22"/>
        </w:rPr>
        <w:t xml:space="preserve">վետու ժամանակահատվածում կայացել են </w:t>
      </w:r>
      <w:r w:rsidRPr="00B57DAB">
        <w:rPr>
          <w:rFonts w:ascii="GHEA Grapalat" w:hAnsi="GHEA Grapalat" w:cs="Sylfaen"/>
          <w:sz w:val="22"/>
          <w:szCs w:val="22"/>
        </w:rPr>
        <w:t xml:space="preserve">38 ներկայացումներ՝ նախատեսված 20-ի դիմաց, իսկ հանդիսատեսի թիվը կազմել է 21693՝ կանխատեսված 11770-ի դիմաց: Օպերային և բալետային արվեստի ներկայացումների ծախսերը կազմել են 354 մլն դրամ՝ ապահովելով 95.8% կատարողական: Շեղումը պայմանավորված է այն հանգամանքով, որ </w:t>
      </w:r>
      <w:r w:rsidR="00440F84" w:rsidRPr="00B57DAB">
        <w:rPr>
          <w:rFonts w:ascii="GHEA Grapalat" w:hAnsi="GHEA Grapalat" w:cs="Sylfaen"/>
          <w:sz w:val="22"/>
          <w:szCs w:val="22"/>
        </w:rPr>
        <w:t>որոշ վճարումներ</w:t>
      </w:r>
      <w:r w:rsidRPr="00B57DAB">
        <w:rPr>
          <w:rFonts w:ascii="GHEA Grapalat" w:hAnsi="GHEA Grapalat" w:cs="Sylfaen"/>
          <w:sz w:val="22"/>
          <w:szCs w:val="22"/>
        </w:rPr>
        <w:t xml:space="preserve"> </w:t>
      </w:r>
      <w:r w:rsidR="00ED62FF" w:rsidRPr="00B57DAB">
        <w:rPr>
          <w:rFonts w:ascii="GHEA Grapalat" w:hAnsi="GHEA Grapalat" w:cs="Sylfaen"/>
          <w:sz w:val="22"/>
          <w:szCs w:val="22"/>
        </w:rPr>
        <w:t>որոշ վճարումներ կնքված պայմանագրերի վճարման ժամանակացույցերին համապատասխան իրականացվելու հանգամանքով</w:t>
      </w:r>
      <w:r w:rsidRPr="00B57DAB">
        <w:rPr>
          <w:rFonts w:ascii="GHEA Grapalat" w:hAnsi="GHEA Grapalat" w:cs="Sylfaen"/>
          <w:sz w:val="22"/>
          <w:szCs w:val="22"/>
        </w:rPr>
        <w:t>:</w:t>
      </w:r>
    </w:p>
    <w:p w:rsidR="005B7DCC" w:rsidRPr="00B57DAB" w:rsidRDefault="005B7DCC" w:rsidP="005B7DCC">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Նախորդ տարվա նույն ժամանակահատվածի համեմատ Արվեստների ծրագրի ծախսերն աճել</w:t>
      </w:r>
      <w:r w:rsidR="00D027DA" w:rsidRPr="00B57DAB">
        <w:rPr>
          <w:rFonts w:ascii="GHEA Grapalat" w:hAnsi="GHEA Grapalat" w:cs="Sylfaen"/>
          <w:sz w:val="22"/>
          <w:szCs w:val="22"/>
        </w:rPr>
        <w:t xml:space="preserve"> </w:t>
      </w:r>
      <w:r w:rsidRPr="00B57DAB">
        <w:rPr>
          <w:rFonts w:ascii="GHEA Grapalat" w:hAnsi="GHEA Grapalat" w:cs="Sylfaen"/>
          <w:sz w:val="22"/>
          <w:szCs w:val="22"/>
        </w:rPr>
        <w:t>են 7.4%-ով կամ 143.7 մլն դրամով` հիմնականում պայմանավորված Կարեն Դեմիրճյանի անվան մարզահամերգային համալիրի կարողությունների զարգացման նպատակով միջոցների հատկացմամբ:</w:t>
      </w:r>
    </w:p>
    <w:p w:rsidR="005B7DCC" w:rsidRPr="00B57DAB" w:rsidRDefault="005B7DCC" w:rsidP="005B7DCC">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 xml:space="preserve">Հաշվետու ժամանակահատվածում </w:t>
      </w:r>
      <w:r w:rsidRPr="00B57DAB">
        <w:rPr>
          <w:rFonts w:ascii="GHEA Grapalat" w:hAnsi="GHEA Grapalat" w:cs="Sylfaen"/>
          <w:i/>
          <w:sz w:val="22"/>
          <w:szCs w:val="22"/>
        </w:rPr>
        <w:t>«Ապահով դպրոց»</w:t>
      </w:r>
      <w:r w:rsidRPr="00B57DAB">
        <w:rPr>
          <w:rFonts w:ascii="GHEA Grapalat" w:hAnsi="GHEA Grapalat" w:cs="Sylfaen"/>
          <w:sz w:val="22"/>
          <w:szCs w:val="22"/>
        </w:rPr>
        <w:t xml:space="preserve"> ծրագրի շրջանակներում օգտագործվել է նախատեսված միջոցների 5.</w:t>
      </w:r>
      <w:r w:rsidR="002935FC" w:rsidRPr="00B57DAB">
        <w:rPr>
          <w:rFonts w:ascii="GHEA Grapalat" w:hAnsi="GHEA Grapalat" w:cs="Sylfaen"/>
          <w:sz w:val="22"/>
          <w:szCs w:val="22"/>
        </w:rPr>
        <w:t xml:space="preserve">9%-ը՝ 77.5 մլն դրամ: Մասնավորապես՝ չի օգտագործվել </w:t>
      </w:r>
      <w:r w:rsidRPr="00B57DAB">
        <w:rPr>
          <w:rFonts w:ascii="GHEA Grapalat" w:hAnsi="GHEA Grapalat" w:cs="Sylfaen"/>
          <w:sz w:val="22"/>
          <w:szCs w:val="22"/>
        </w:rPr>
        <w:t>ծրագրում ընդգրկված 4 միջոցառումների գծով նախատեսված 642.4 մլն դրամը</w:t>
      </w:r>
      <w:r w:rsidR="002935FC" w:rsidRPr="00B57DAB">
        <w:rPr>
          <w:rFonts w:ascii="GHEA Grapalat" w:hAnsi="GHEA Grapalat" w:cs="Sylfaen"/>
          <w:sz w:val="22"/>
          <w:szCs w:val="22"/>
        </w:rPr>
        <w:t>՝</w:t>
      </w:r>
      <w:r w:rsidRPr="00B57DAB">
        <w:rPr>
          <w:rFonts w:ascii="GHEA Grapalat" w:hAnsi="GHEA Grapalat" w:cs="Sylfaen"/>
          <w:sz w:val="22"/>
          <w:szCs w:val="22"/>
        </w:rPr>
        <w:t xml:space="preserve"> </w:t>
      </w:r>
      <w:r w:rsidR="002935FC" w:rsidRPr="00B57DAB">
        <w:rPr>
          <w:rFonts w:ascii="GHEA Grapalat" w:hAnsi="GHEA Grapalat" w:cs="Sylfaen"/>
          <w:sz w:val="22"/>
          <w:szCs w:val="22"/>
        </w:rPr>
        <w:t xml:space="preserve">հիմնականում պայմանավորված պայմանագրերը նախատեսված ժամկետից ուշ կնքվելու հանգամանքով: Բացի այդ, </w:t>
      </w:r>
      <w:r w:rsidR="00624B08" w:rsidRPr="00B57DAB">
        <w:rPr>
          <w:rFonts w:ascii="GHEA Grapalat" w:hAnsi="GHEA Grapalat" w:cs="Sylfaen"/>
          <w:sz w:val="22"/>
          <w:szCs w:val="22"/>
        </w:rPr>
        <w:t xml:space="preserve">ցածր կատարողական է արձանագրվել </w:t>
      </w:r>
      <w:r w:rsidR="002935FC" w:rsidRPr="00B57DAB">
        <w:rPr>
          <w:rFonts w:ascii="GHEA Grapalat" w:hAnsi="GHEA Grapalat" w:cs="Sylfaen"/>
          <w:sz w:val="22"/>
          <w:szCs w:val="22"/>
        </w:rPr>
        <w:t>փ</w:t>
      </w:r>
      <w:r w:rsidRPr="00B57DAB">
        <w:rPr>
          <w:rFonts w:ascii="GHEA Grapalat" w:hAnsi="GHEA Grapalat" w:cs="Sylfaen"/>
          <w:sz w:val="22"/>
          <w:szCs w:val="22"/>
        </w:rPr>
        <w:t xml:space="preserve">ոքրաքանակ երեխաներով համալրված </w:t>
      </w:r>
      <w:r w:rsidRPr="00B57DAB">
        <w:rPr>
          <w:rFonts w:ascii="GHEA Grapalat" w:hAnsi="GHEA Grapalat" w:cs="Sylfaen"/>
          <w:sz w:val="22"/>
          <w:szCs w:val="22"/>
        </w:rPr>
        <w:lastRenderedPageBreak/>
        <w:t>հանրակրթական դպրոցների</w:t>
      </w:r>
      <w:r w:rsidR="00D027DA" w:rsidRPr="00B57DAB">
        <w:rPr>
          <w:rFonts w:ascii="GHEA Grapalat" w:hAnsi="GHEA Grapalat" w:cs="Sylfaen"/>
          <w:sz w:val="22"/>
          <w:szCs w:val="22"/>
        </w:rPr>
        <w:t xml:space="preserve"> </w:t>
      </w:r>
      <w:r w:rsidR="002935FC" w:rsidRPr="00B57DAB">
        <w:rPr>
          <w:rFonts w:ascii="GHEA Grapalat" w:hAnsi="GHEA Grapalat" w:cs="Sylfaen"/>
          <w:sz w:val="22"/>
          <w:szCs w:val="22"/>
        </w:rPr>
        <w:t>մոդուլային շենքերի կառուցմ</w:t>
      </w:r>
      <w:r w:rsidRPr="00B57DAB">
        <w:rPr>
          <w:rFonts w:ascii="GHEA Grapalat" w:hAnsi="GHEA Grapalat" w:cs="Sylfaen"/>
          <w:sz w:val="22"/>
          <w:szCs w:val="22"/>
        </w:rPr>
        <w:t xml:space="preserve">ան </w:t>
      </w:r>
      <w:r w:rsidR="00624B08" w:rsidRPr="00B57DAB">
        <w:rPr>
          <w:rFonts w:ascii="GHEA Grapalat" w:hAnsi="GHEA Grapalat" w:cs="Sylfaen"/>
          <w:sz w:val="22"/>
          <w:szCs w:val="22"/>
        </w:rPr>
        <w:t>ծախսերում, որոնք կատարվել են 11.4%-ով՝ կազմելով 77.5 մլն դրամ՝ պայմանավորված շինարարական աշխատանքների ուշ մեկնարկով</w:t>
      </w:r>
      <w:r w:rsidRPr="00B57DAB">
        <w:rPr>
          <w:rFonts w:ascii="GHEA Grapalat" w:hAnsi="GHEA Grapalat" w:cs="Sylfaen"/>
          <w:sz w:val="22"/>
          <w:szCs w:val="22"/>
        </w:rPr>
        <w:t xml:space="preserve">։ </w:t>
      </w:r>
    </w:p>
    <w:p w:rsidR="005B7DCC" w:rsidRPr="00B57DAB" w:rsidRDefault="005B7DCC" w:rsidP="005B7DCC">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Նախորդ տարվա նույն ժամանակահատվածի համեմատ «Ապահով դպրոց» ծրագրի ծախսերն աճել են 6.4 անգամ կամ 65.4 մլն դրամով, որը պայմանավորված է 202</w:t>
      </w:r>
      <w:r w:rsidR="00624B08" w:rsidRPr="00B57DAB">
        <w:rPr>
          <w:rFonts w:ascii="GHEA Grapalat" w:hAnsi="GHEA Grapalat" w:cs="Sylfaen"/>
          <w:sz w:val="22"/>
          <w:szCs w:val="22"/>
        </w:rPr>
        <w:t>2</w:t>
      </w:r>
      <w:r w:rsidRPr="00B57DAB">
        <w:rPr>
          <w:rFonts w:ascii="GHEA Grapalat" w:hAnsi="GHEA Grapalat" w:cs="Sylfaen"/>
          <w:sz w:val="22"/>
          <w:szCs w:val="22"/>
        </w:rPr>
        <w:t xml:space="preserve"> թվականի</w:t>
      </w:r>
      <w:r w:rsidR="00624B08" w:rsidRPr="00B57DAB">
        <w:rPr>
          <w:rFonts w:ascii="GHEA Grapalat" w:hAnsi="GHEA Grapalat" w:cs="Sylfaen"/>
          <w:sz w:val="22"/>
          <w:szCs w:val="22"/>
        </w:rPr>
        <w:t>ն</w:t>
      </w:r>
      <w:r w:rsidRPr="00B57DAB">
        <w:rPr>
          <w:rFonts w:ascii="GHEA Grapalat" w:hAnsi="GHEA Grapalat" w:cs="Sylfaen"/>
          <w:sz w:val="22"/>
          <w:szCs w:val="22"/>
        </w:rPr>
        <w:t xml:space="preserve"> </w:t>
      </w:r>
      <w:r w:rsidR="00624B08" w:rsidRPr="00B57DAB">
        <w:rPr>
          <w:rFonts w:ascii="GHEA Grapalat" w:hAnsi="GHEA Grapalat" w:cs="Sylfaen"/>
          <w:sz w:val="22"/>
          <w:szCs w:val="22"/>
        </w:rPr>
        <w:t>փոքրաքանակ երեխաներով համալրված հանրակրթական դպրոցների մոդուլային շենքերի կառուցման</w:t>
      </w:r>
      <w:r w:rsidR="00053A4A" w:rsidRPr="00B57DAB">
        <w:rPr>
          <w:rFonts w:ascii="GHEA Grapalat" w:hAnsi="GHEA Grapalat" w:cs="Sylfaen"/>
          <w:sz w:val="22"/>
          <w:szCs w:val="22"/>
        </w:rPr>
        <w:t xml:space="preserve"> ծախսերով, որի համար 2021 թվականի առաջին եռամսյակում հատկացված միջոցները չէին օգտագործվել</w:t>
      </w:r>
      <w:r w:rsidRPr="00B57DAB">
        <w:rPr>
          <w:rFonts w:ascii="GHEA Grapalat" w:hAnsi="GHEA Grapalat" w:cs="Sylfaen"/>
          <w:sz w:val="22"/>
          <w:szCs w:val="22"/>
        </w:rPr>
        <w:t>:</w:t>
      </w:r>
    </w:p>
    <w:p w:rsidR="009C1FDD" w:rsidRPr="00B57DAB" w:rsidRDefault="005B7DCC" w:rsidP="005B7DCC">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 xml:space="preserve">Հաշվետու ժամանակահատվածում </w:t>
      </w:r>
      <w:r w:rsidRPr="00B57DAB">
        <w:rPr>
          <w:rFonts w:ascii="GHEA Grapalat" w:hAnsi="GHEA Grapalat" w:cs="Sylfaen"/>
          <w:i/>
          <w:sz w:val="22"/>
          <w:szCs w:val="22"/>
        </w:rPr>
        <w:t>Կրթության որակի ապահովման</w:t>
      </w:r>
      <w:r w:rsidRPr="00B57DAB">
        <w:rPr>
          <w:rFonts w:ascii="GHEA Grapalat" w:hAnsi="GHEA Grapalat" w:cs="Sylfaen"/>
          <w:sz w:val="22"/>
          <w:szCs w:val="22"/>
        </w:rPr>
        <w:t xml:space="preserve"> ծրագրի ծախսերը</w:t>
      </w:r>
      <w:r w:rsidR="005C4E06" w:rsidRPr="00B57DAB">
        <w:rPr>
          <w:rFonts w:ascii="GHEA Grapalat" w:hAnsi="GHEA Grapalat" w:cs="Sylfaen"/>
          <w:sz w:val="22"/>
          <w:szCs w:val="22"/>
        </w:rPr>
        <w:t xml:space="preserve"> կատարվել են 14.2%-ով և</w:t>
      </w:r>
      <w:r w:rsidRPr="00B57DAB">
        <w:rPr>
          <w:rFonts w:ascii="GHEA Grapalat" w:hAnsi="GHEA Grapalat" w:cs="Sylfaen"/>
          <w:sz w:val="22"/>
          <w:szCs w:val="22"/>
        </w:rPr>
        <w:t xml:space="preserve"> կազմել 320.2 մլն դրամ:</w:t>
      </w:r>
      <w:r w:rsidR="00D027DA" w:rsidRPr="00B57DAB">
        <w:rPr>
          <w:rFonts w:ascii="GHEA Grapalat" w:hAnsi="GHEA Grapalat" w:cs="Sylfaen"/>
          <w:sz w:val="22"/>
          <w:szCs w:val="22"/>
        </w:rPr>
        <w:t xml:space="preserve"> </w:t>
      </w:r>
      <w:r w:rsidRPr="00B57DAB">
        <w:rPr>
          <w:rFonts w:ascii="GHEA Grapalat" w:hAnsi="GHEA Grapalat" w:cs="Sylfaen"/>
          <w:sz w:val="22"/>
          <w:szCs w:val="22"/>
        </w:rPr>
        <w:t>Ցածր կատարողականը</w:t>
      </w:r>
      <w:r w:rsidR="00D027DA" w:rsidRPr="00B57DAB">
        <w:rPr>
          <w:rFonts w:ascii="GHEA Grapalat" w:hAnsi="GHEA Grapalat" w:cs="Sylfaen"/>
          <w:sz w:val="22"/>
          <w:szCs w:val="22"/>
        </w:rPr>
        <w:t xml:space="preserve"> </w:t>
      </w:r>
      <w:r w:rsidRPr="00B57DAB">
        <w:rPr>
          <w:rFonts w:ascii="GHEA Grapalat" w:hAnsi="GHEA Grapalat" w:cs="Sylfaen"/>
          <w:sz w:val="22"/>
          <w:szCs w:val="22"/>
        </w:rPr>
        <w:t>հիմնականում պայմանավորված է ծրագրի ծախսերում մեծ տեսակարար կշիռ ունեցող՝</w:t>
      </w:r>
      <w:r w:rsidR="003C72D7" w:rsidRPr="00B57DAB">
        <w:rPr>
          <w:rFonts w:ascii="GHEA Grapalat" w:hAnsi="GHEA Grapalat" w:cs="Sylfaen"/>
          <w:sz w:val="22"/>
          <w:szCs w:val="22"/>
        </w:rPr>
        <w:t xml:space="preserve"> Համաշխարհային բանկի աջակցությամբ իրականացվող</w:t>
      </w:r>
      <w:r w:rsidRPr="00B57DAB">
        <w:rPr>
          <w:rFonts w:ascii="GHEA Grapalat" w:hAnsi="GHEA Grapalat" w:cs="Sylfaen"/>
          <w:sz w:val="22"/>
          <w:szCs w:val="22"/>
        </w:rPr>
        <w:t xml:space="preserve"> «Հայաստանում ԵՄ-ն հանուն նորարարության» դրամաշնորհային փորձնական ծրագրի շրջանակներում Տավուշի մարզում ԳՏՃՄ ոլորտների կրթական միջավայրի բարելավման միջոցառման </w:t>
      </w:r>
      <w:r w:rsidR="009C1FDD" w:rsidRPr="00B57DAB">
        <w:rPr>
          <w:rFonts w:ascii="GHEA Grapalat" w:hAnsi="GHEA Grapalat" w:cs="Sylfaen"/>
          <w:sz w:val="22"/>
          <w:szCs w:val="22"/>
        </w:rPr>
        <w:t>կատարողականով, որը կազմել է</w:t>
      </w:r>
      <w:r w:rsidR="00D027DA" w:rsidRPr="00B57DAB">
        <w:rPr>
          <w:rFonts w:ascii="GHEA Grapalat" w:hAnsi="GHEA Grapalat" w:cs="Sylfaen"/>
          <w:sz w:val="22"/>
          <w:szCs w:val="22"/>
        </w:rPr>
        <w:t xml:space="preserve"> </w:t>
      </w:r>
      <w:r w:rsidR="009C1FDD" w:rsidRPr="00B57DAB">
        <w:rPr>
          <w:rFonts w:ascii="GHEA Grapalat" w:hAnsi="GHEA Grapalat" w:cs="Sylfaen"/>
          <w:sz w:val="22"/>
          <w:szCs w:val="22"/>
        </w:rPr>
        <w:t>3.5%</w:t>
      </w:r>
      <w:r w:rsidRPr="00B57DAB">
        <w:rPr>
          <w:rFonts w:ascii="GHEA Grapalat" w:hAnsi="GHEA Grapalat" w:cs="Sylfaen"/>
          <w:sz w:val="22"/>
          <w:szCs w:val="22"/>
        </w:rPr>
        <w:t xml:space="preserve">՝ </w:t>
      </w:r>
      <w:r w:rsidR="009C1FDD" w:rsidRPr="00B57DAB">
        <w:rPr>
          <w:rFonts w:ascii="GHEA Grapalat" w:hAnsi="GHEA Grapalat" w:cs="Sylfaen"/>
          <w:sz w:val="22"/>
          <w:szCs w:val="22"/>
        </w:rPr>
        <w:t xml:space="preserve">60.8 մլն դրամ: Ցածր կատարողականը </w:t>
      </w:r>
      <w:r w:rsidRPr="00B57DAB">
        <w:rPr>
          <w:rFonts w:ascii="GHEA Grapalat" w:hAnsi="GHEA Grapalat" w:cs="Sylfaen"/>
          <w:sz w:val="22"/>
          <w:szCs w:val="22"/>
        </w:rPr>
        <w:t>պայմանավորված է կորոնավիրուսի համավարակի հետևանքով լաբորատոր սարքավորումների մի մասի մատակարարման ժամկետների երկարաձգմամբ, ինչպես նաև լաբորատոր սարքավորումների և գույքի մի մաս</w:t>
      </w:r>
      <w:r w:rsidR="009C1FDD" w:rsidRPr="00B57DAB">
        <w:rPr>
          <w:rFonts w:ascii="GHEA Grapalat" w:hAnsi="GHEA Grapalat" w:cs="Sylfaen"/>
          <w:sz w:val="22"/>
          <w:szCs w:val="22"/>
        </w:rPr>
        <w:t>ի</w:t>
      </w:r>
      <w:r w:rsidRPr="00B57DAB">
        <w:rPr>
          <w:rFonts w:ascii="GHEA Grapalat" w:hAnsi="GHEA Grapalat" w:cs="Sylfaen"/>
          <w:sz w:val="22"/>
          <w:szCs w:val="22"/>
        </w:rPr>
        <w:t xml:space="preserve"> մատակարարումը եռամսյակի վերջում իրականացնելու հանգամանքով, որի արդյունքում վճարումները տեղափոխվել են երկրորդ եռամսյակ։ </w:t>
      </w:r>
    </w:p>
    <w:p w:rsidR="005B7DCC" w:rsidRPr="00B57DAB" w:rsidRDefault="005B7DCC" w:rsidP="005B7DCC">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Նշված ծրագրի շրջանակներում «Կրթության զարգացման և նորարարության ազգային կենտրոնի» զարգացման նպատակով օգտագործվել է նախատեսված միջոցների 41.7%-ը՝ 21.8 մլն դրամ, որը պայմանավորված</w:t>
      </w:r>
      <w:r w:rsidR="009C1FDD" w:rsidRPr="00B57DAB">
        <w:rPr>
          <w:rFonts w:ascii="GHEA Grapalat" w:hAnsi="GHEA Grapalat" w:cs="Sylfaen"/>
          <w:sz w:val="22"/>
          <w:szCs w:val="22"/>
        </w:rPr>
        <w:t xml:space="preserve"> է</w:t>
      </w:r>
      <w:r w:rsidRPr="00B57DAB">
        <w:rPr>
          <w:rFonts w:ascii="GHEA Grapalat" w:hAnsi="GHEA Grapalat" w:cs="Sylfaen"/>
          <w:sz w:val="22"/>
          <w:szCs w:val="22"/>
        </w:rPr>
        <w:t xml:space="preserve"> ՀԲ-ի կողմից </w:t>
      </w:r>
      <w:r w:rsidR="009C1FDD" w:rsidRPr="00B57DAB">
        <w:rPr>
          <w:rFonts w:ascii="GHEA Grapalat" w:hAnsi="GHEA Grapalat" w:cs="Sylfaen"/>
          <w:sz w:val="22"/>
          <w:szCs w:val="22"/>
        </w:rPr>
        <w:t xml:space="preserve">մրցույթի արդյունքների </w:t>
      </w:r>
      <w:r w:rsidRPr="00B57DAB">
        <w:rPr>
          <w:rFonts w:ascii="GHEA Grapalat" w:hAnsi="GHEA Grapalat" w:cs="Sylfaen"/>
          <w:sz w:val="22"/>
          <w:szCs w:val="22"/>
        </w:rPr>
        <w:t>հաստատման երկարաձգմա</w:t>
      </w:r>
      <w:r w:rsidR="009C1FDD" w:rsidRPr="00B57DAB">
        <w:rPr>
          <w:rFonts w:ascii="GHEA Grapalat" w:hAnsi="GHEA Grapalat" w:cs="Sylfaen"/>
          <w:sz w:val="22"/>
          <w:szCs w:val="22"/>
        </w:rPr>
        <w:t>մբ</w:t>
      </w:r>
      <w:r w:rsidRPr="00B57DAB">
        <w:rPr>
          <w:rFonts w:ascii="GHEA Grapalat" w:hAnsi="GHEA Grapalat" w:cs="Sylfaen"/>
          <w:sz w:val="22"/>
          <w:szCs w:val="22"/>
        </w:rPr>
        <w:t>, որի հետ կապված՝ վճարումները տեղափոխվել են հաջորդ եռամսյակ:</w:t>
      </w:r>
    </w:p>
    <w:p w:rsidR="005B7DCC" w:rsidRPr="00B57DAB" w:rsidRDefault="005B7DCC" w:rsidP="005B7DCC">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Համաշխարհային բանկի աջակցությամբ իրականացվող կրթության բարելավման ծրագրի շրջանակներում ավագ, միջնակարգ և հիմնական դպրոցներում և կրթության ոլորտի կազմակերպություններում կապիտալ ներդրումների ծախսերը կատարվել են 2</w:t>
      </w:r>
      <w:r w:rsidR="005054A4" w:rsidRPr="00B57DAB">
        <w:rPr>
          <w:rFonts w:ascii="GHEA Grapalat" w:hAnsi="GHEA Grapalat" w:cs="Sylfaen"/>
          <w:sz w:val="22"/>
          <w:szCs w:val="22"/>
        </w:rPr>
        <w:t>7.6%-ով՝ կազմելով 64.8 մլն դրամ: Ծախսերի ծրագրված ցուցանիշից շեղումը</w:t>
      </w:r>
      <w:r w:rsidRPr="00B57DAB">
        <w:rPr>
          <w:rFonts w:ascii="GHEA Grapalat" w:hAnsi="GHEA Grapalat" w:cs="Sylfaen"/>
          <w:sz w:val="22"/>
          <w:szCs w:val="22"/>
        </w:rPr>
        <w:t xml:space="preserve"> պայմանավորված է</w:t>
      </w:r>
      <w:r w:rsidR="005054A4" w:rsidRPr="00B57DAB">
        <w:rPr>
          <w:rFonts w:ascii="GHEA Grapalat" w:hAnsi="GHEA Grapalat" w:cs="Sylfaen"/>
          <w:sz w:val="22"/>
          <w:szCs w:val="22"/>
        </w:rPr>
        <w:t xml:space="preserve"> նրանով, որ հիմնանորոգվող 2 ավագ դպրոցներից մեկի մասով աշխատանքներն ավարտվել և վճարումը կատարվել է 2021 թվականին, իսկ մյուսի մասով</w:t>
      </w:r>
      <w:r w:rsidR="00D027DA" w:rsidRPr="00B57DAB">
        <w:rPr>
          <w:rFonts w:ascii="GHEA Grapalat" w:hAnsi="GHEA Grapalat" w:cs="Sylfaen"/>
          <w:sz w:val="22"/>
          <w:szCs w:val="22"/>
        </w:rPr>
        <w:t xml:space="preserve"> </w:t>
      </w:r>
      <w:r w:rsidRPr="00B57DAB">
        <w:rPr>
          <w:rFonts w:ascii="GHEA Grapalat" w:hAnsi="GHEA Grapalat" w:cs="Sylfaen"/>
          <w:sz w:val="22"/>
          <w:szCs w:val="22"/>
        </w:rPr>
        <w:t>աշխատանքներ</w:t>
      </w:r>
      <w:r w:rsidR="005054A4" w:rsidRPr="00B57DAB">
        <w:rPr>
          <w:rFonts w:ascii="GHEA Grapalat" w:hAnsi="GHEA Grapalat" w:cs="Sylfaen"/>
          <w:sz w:val="22"/>
          <w:szCs w:val="22"/>
        </w:rPr>
        <w:t>ն ամբողջությամբ չեն ավարտվել, և կատարողական ակտերն ամբողջությամբ չեն ներկայացվել:</w:t>
      </w:r>
      <w:r w:rsidR="00D027DA" w:rsidRPr="00B57DAB">
        <w:rPr>
          <w:rFonts w:ascii="GHEA Grapalat" w:hAnsi="GHEA Grapalat" w:cs="Sylfaen"/>
          <w:sz w:val="22"/>
          <w:szCs w:val="22"/>
        </w:rPr>
        <w:t xml:space="preserve"> </w:t>
      </w:r>
      <w:r w:rsidRPr="00B57DAB">
        <w:rPr>
          <w:rFonts w:ascii="GHEA Grapalat" w:hAnsi="GHEA Grapalat" w:cs="Sylfaen"/>
          <w:sz w:val="22"/>
          <w:szCs w:val="22"/>
        </w:rPr>
        <w:t>Նշված ծրագրի շրջանակներում ծառայությունների ձեռքբերման ծախսերը կատարվել են 89.8%-ով՝ կազմելով 29.5 մլն դրամ: Շեղումը պայմանավորված է գնումների գործընթացի արդյունքում առաջացած տնտեսմամբ:</w:t>
      </w:r>
    </w:p>
    <w:p w:rsidR="005B7DCC" w:rsidRPr="00B57DAB" w:rsidRDefault="005B7DCC" w:rsidP="005B7DCC">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 xml:space="preserve">Նախորդ տարվա նույն ժամանակահատվածի համեմատ Կրթության որակի ապահովման ծրագրի ծախսերը նվազել են 51.7%-ով կամ 343.2 մլն դրամով, ինչը հիմնականում պայմանավորված </w:t>
      </w:r>
      <w:r w:rsidRPr="00B57DAB">
        <w:rPr>
          <w:rFonts w:ascii="GHEA Grapalat" w:hAnsi="GHEA Grapalat" w:cs="Sylfaen"/>
          <w:sz w:val="22"/>
          <w:szCs w:val="22"/>
        </w:rPr>
        <w:lastRenderedPageBreak/>
        <w:t xml:space="preserve">է Համաշխարհային բանկի աջակցությամբ իրականացվող Կրթության բարելավման ծրագրի շրջանակներում կապիտալ ներդրումների գծով ծախսերի 86.4% </w:t>
      </w:r>
      <w:r w:rsidR="005054A4" w:rsidRPr="00B57DAB">
        <w:rPr>
          <w:rFonts w:ascii="GHEA Grapalat" w:hAnsi="GHEA Grapalat" w:cs="Sylfaen"/>
          <w:sz w:val="22"/>
          <w:szCs w:val="22"/>
        </w:rPr>
        <w:t>(</w:t>
      </w:r>
      <w:r w:rsidRPr="00B57DAB">
        <w:rPr>
          <w:rFonts w:ascii="GHEA Grapalat" w:hAnsi="GHEA Grapalat" w:cs="Sylfaen"/>
          <w:sz w:val="22"/>
          <w:szCs w:val="22"/>
        </w:rPr>
        <w:t>412.4 մլն դրամ</w:t>
      </w:r>
      <w:r w:rsidR="005054A4" w:rsidRPr="00B57DAB">
        <w:rPr>
          <w:rFonts w:ascii="GHEA Grapalat" w:hAnsi="GHEA Grapalat" w:cs="Sylfaen"/>
          <w:sz w:val="22"/>
          <w:szCs w:val="22"/>
        </w:rPr>
        <w:t>) նվազմամբ</w:t>
      </w:r>
      <w:r w:rsidRPr="00B57DAB">
        <w:rPr>
          <w:rFonts w:ascii="GHEA Grapalat" w:hAnsi="GHEA Grapalat" w:cs="Sylfaen"/>
          <w:sz w:val="22"/>
          <w:szCs w:val="22"/>
        </w:rPr>
        <w:t>։</w:t>
      </w:r>
    </w:p>
    <w:p w:rsidR="005B7DCC" w:rsidRPr="00B57DAB" w:rsidRDefault="005B7DCC" w:rsidP="005B7DCC">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ՀՀ ԿԳՄՍ նախարարության պատասխանատվությամբ իրականացվող այլ ծրագրերից 5</w:t>
      </w:r>
      <w:r w:rsidR="004661AD" w:rsidRPr="00B57DAB">
        <w:rPr>
          <w:rFonts w:ascii="GHEA Grapalat" w:hAnsi="GHEA Grapalat" w:cs="Sylfaen"/>
          <w:sz w:val="22"/>
          <w:szCs w:val="22"/>
        </w:rPr>
        <w:t>56.5</w:t>
      </w:r>
      <w:r w:rsidR="004661AD" w:rsidRPr="00B57DAB">
        <w:rPr>
          <w:rFonts w:ascii="Courier New" w:hAnsi="Courier New" w:cs="Courier New"/>
          <w:sz w:val="22"/>
          <w:szCs w:val="22"/>
        </w:rPr>
        <w:t> </w:t>
      </w:r>
      <w:r w:rsidRPr="00B57DAB">
        <w:rPr>
          <w:rFonts w:ascii="GHEA Grapalat" w:hAnsi="GHEA Grapalat" w:cs="Sylfaen"/>
          <w:sz w:val="22"/>
          <w:szCs w:val="22"/>
        </w:rPr>
        <w:t xml:space="preserve">մլն դրամն օգտագործվել է </w:t>
      </w:r>
      <w:r w:rsidRPr="00B57DAB">
        <w:rPr>
          <w:rFonts w:ascii="GHEA Grapalat" w:hAnsi="GHEA Grapalat" w:cs="Sylfaen"/>
          <w:i/>
          <w:sz w:val="22"/>
          <w:szCs w:val="22"/>
        </w:rPr>
        <w:t>Մշակութային ժառանգության</w:t>
      </w:r>
      <w:r w:rsidRPr="00B57DAB">
        <w:rPr>
          <w:rFonts w:ascii="GHEA Grapalat" w:hAnsi="GHEA Grapalat" w:cs="Sylfaen"/>
          <w:sz w:val="22"/>
          <w:szCs w:val="22"/>
        </w:rPr>
        <w:t xml:space="preserve"> ծրագրի շրջանակներում՝ ապահովելով 93.8% կատարողական: Շեղումը հիմնականում պայմանավորված է թանգարանային ծառայությունների և ցուցահանդեսների կատարողականով, ինչպես նաև թանգարանների և պատկերասրահների հիմնանորոգման ծախսերի համար նախատեսված </w:t>
      </w:r>
      <w:r w:rsidR="004661AD" w:rsidRPr="00B57DAB">
        <w:rPr>
          <w:rFonts w:ascii="GHEA Grapalat" w:hAnsi="GHEA Grapalat" w:cs="Sylfaen"/>
          <w:sz w:val="22"/>
          <w:szCs w:val="22"/>
        </w:rPr>
        <w:t xml:space="preserve">12.1 մլն դրամի </w:t>
      </w:r>
      <w:r w:rsidRPr="00B57DAB">
        <w:rPr>
          <w:rFonts w:ascii="GHEA Grapalat" w:hAnsi="GHEA Grapalat" w:cs="Sylfaen"/>
          <w:sz w:val="22"/>
          <w:szCs w:val="22"/>
        </w:rPr>
        <w:t>միջոցները</w:t>
      </w:r>
      <w:r w:rsidR="004661AD" w:rsidRPr="00B57DAB">
        <w:rPr>
          <w:rFonts w:ascii="GHEA Grapalat" w:hAnsi="GHEA Grapalat" w:cs="Sylfaen"/>
          <w:sz w:val="22"/>
          <w:szCs w:val="22"/>
        </w:rPr>
        <w:t xml:space="preserve"> </w:t>
      </w:r>
      <w:r w:rsidRPr="00B57DAB">
        <w:rPr>
          <w:rFonts w:ascii="GHEA Grapalat" w:hAnsi="GHEA Grapalat" w:cs="Sylfaen"/>
          <w:sz w:val="22"/>
          <w:szCs w:val="22"/>
        </w:rPr>
        <w:t>չօգտագործելու հանգամանքով: Վերջինս պայմանավորված է համաձայնագր</w:t>
      </w:r>
      <w:r w:rsidR="004661AD" w:rsidRPr="00B57DAB">
        <w:rPr>
          <w:rFonts w:ascii="GHEA Grapalat" w:hAnsi="GHEA Grapalat" w:cs="Sylfaen"/>
          <w:sz w:val="22"/>
          <w:szCs w:val="22"/>
        </w:rPr>
        <w:t>ի՝ նախատեսված</w:t>
      </w:r>
      <w:r w:rsidRPr="00B57DAB">
        <w:rPr>
          <w:rFonts w:ascii="GHEA Grapalat" w:hAnsi="GHEA Grapalat" w:cs="Sylfaen"/>
          <w:sz w:val="22"/>
          <w:szCs w:val="22"/>
        </w:rPr>
        <w:t xml:space="preserve"> ժամկետից ուշ կնքմամբ, որի արդյունքում կատարված աշխատանքների</w:t>
      </w:r>
      <w:r w:rsidR="00D027DA" w:rsidRPr="00B57DAB">
        <w:rPr>
          <w:rFonts w:ascii="GHEA Grapalat" w:hAnsi="GHEA Grapalat" w:cs="Sylfaen"/>
          <w:sz w:val="22"/>
          <w:szCs w:val="22"/>
        </w:rPr>
        <w:t xml:space="preserve"> </w:t>
      </w:r>
      <w:r w:rsidRPr="00B57DAB">
        <w:rPr>
          <w:rFonts w:ascii="GHEA Grapalat" w:hAnsi="GHEA Grapalat" w:cs="Sylfaen"/>
          <w:sz w:val="22"/>
          <w:szCs w:val="22"/>
        </w:rPr>
        <w:t>դիմաց հաշվետու ժամանակա</w:t>
      </w:r>
      <w:r w:rsidR="004661AD" w:rsidRPr="00B57DAB">
        <w:rPr>
          <w:rFonts w:ascii="GHEA Grapalat" w:hAnsi="GHEA Grapalat" w:cs="Sylfaen"/>
          <w:sz w:val="22"/>
          <w:szCs w:val="22"/>
        </w:rPr>
        <w:t>հատվածո</w:t>
      </w:r>
      <w:r w:rsidRPr="00B57DAB">
        <w:rPr>
          <w:rFonts w:ascii="GHEA Grapalat" w:hAnsi="GHEA Grapalat" w:cs="Sylfaen"/>
          <w:sz w:val="22"/>
          <w:szCs w:val="22"/>
        </w:rPr>
        <w:t>ւմ կատարողական ակտեր չեն ներկայացվել:</w:t>
      </w:r>
    </w:p>
    <w:p w:rsidR="0056043F" w:rsidRPr="00B57DAB" w:rsidRDefault="005B7DCC" w:rsidP="005B7DCC">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 xml:space="preserve">Մշակութային ժառանգության ծրագրի գծով հատկացումների գերակշիռ մասը բաժին է ընկել թանգարանային ծառայությունների և ցուցահանդեսների միջոցառմանը, որի շրջանակներում կազմակերպվել է 57 ցուցահանդես՝ նախատեսված 51-ի դիմաց, թանգարանների այցելուների թիվը կազմել է 192900՝ </w:t>
      </w:r>
      <w:r w:rsidR="004661AD" w:rsidRPr="00B57DAB">
        <w:rPr>
          <w:rFonts w:ascii="GHEA Grapalat" w:hAnsi="GHEA Grapalat" w:cs="Sylfaen"/>
          <w:sz w:val="22"/>
          <w:szCs w:val="22"/>
        </w:rPr>
        <w:t>կան</w:t>
      </w:r>
      <w:r w:rsidRPr="00B57DAB">
        <w:rPr>
          <w:rFonts w:ascii="GHEA Grapalat" w:hAnsi="GHEA Grapalat" w:cs="Sylfaen"/>
          <w:sz w:val="22"/>
          <w:szCs w:val="22"/>
        </w:rPr>
        <w:t>խատեսված 53860-ի դիմաց, իսկ սպասարկվող ը</w:t>
      </w:r>
      <w:r w:rsidR="004661AD" w:rsidRPr="00B57DAB">
        <w:rPr>
          <w:rFonts w:ascii="GHEA Grapalat" w:hAnsi="GHEA Grapalat" w:cs="Sylfaen"/>
          <w:sz w:val="22"/>
          <w:szCs w:val="22"/>
        </w:rPr>
        <w:t>նթերցողների թիվը կազմել է 206՝ կան</w:t>
      </w:r>
      <w:r w:rsidRPr="00B57DAB">
        <w:rPr>
          <w:rFonts w:ascii="GHEA Grapalat" w:hAnsi="GHEA Grapalat" w:cs="Sylfaen"/>
          <w:sz w:val="22"/>
          <w:szCs w:val="22"/>
        </w:rPr>
        <w:t xml:space="preserve">խատեսված 320-ի դիմաց։ Թանգարանային համալրման առարկաների թիվը կազմել է 2679` նախատեսված 913-ի դիմաց, որը պայմանավորված է նվիրատվություններով, հնագիտական պեղումներով: Թանգարանային ծառայությունների և ցուցահանդեսների միջոցառման շրջանակներում օգտագործվել է 518.2 մլն դրամ՝ ապահովելով 95.8% կատարողական: Շեղումը պայմանավորված է </w:t>
      </w:r>
      <w:r w:rsidR="0056043F" w:rsidRPr="00B57DAB">
        <w:rPr>
          <w:rFonts w:ascii="GHEA Grapalat" w:hAnsi="GHEA Grapalat" w:cs="Sylfaen"/>
          <w:sz w:val="22"/>
          <w:szCs w:val="22"/>
        </w:rPr>
        <w:t>ավելացված արժեքի հարկի վճարման համար նախատեսված միջոցներն ամբողջությամբ չօգտագործելու, ինչպես նաև որոշ դրամաշնորհային մրցութային ծրագրերի պայմանագրերը կնքման փուլում գտնվելու հանգամանքներով:</w:t>
      </w:r>
    </w:p>
    <w:p w:rsidR="005B7DCC" w:rsidRPr="00B57DAB" w:rsidRDefault="005B7DCC" w:rsidP="005B7DCC">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Նախորդ տարվա նույն ժամանակահատվածի համեմատ Մշակութային ժառանգության ծրագրի ծախսերն աճել են 4.1%-ով (21.8 մլն դրամով)՝ հիմնականում պայմանավորված պատմամշակութային ժառանգության գիտահետազոտական աշխատանքների</w:t>
      </w:r>
      <w:r w:rsidR="00D027DA" w:rsidRPr="00B57DAB">
        <w:rPr>
          <w:rFonts w:ascii="GHEA Grapalat" w:hAnsi="GHEA Grapalat" w:cs="Sylfaen"/>
          <w:sz w:val="22"/>
          <w:szCs w:val="22"/>
        </w:rPr>
        <w:t xml:space="preserve"> </w:t>
      </w:r>
      <w:r w:rsidRPr="00B57DAB">
        <w:rPr>
          <w:rFonts w:ascii="GHEA Grapalat" w:hAnsi="GHEA Grapalat" w:cs="Sylfaen"/>
          <w:sz w:val="22"/>
          <w:szCs w:val="22"/>
        </w:rPr>
        <w:t>և հայկական պատմամշակութային հուշարձ</w:t>
      </w:r>
      <w:r w:rsidR="000504E3" w:rsidRPr="00B57DAB">
        <w:rPr>
          <w:rFonts w:ascii="GHEA Grapalat" w:hAnsi="GHEA Grapalat" w:cs="Sylfaen"/>
          <w:sz w:val="22"/>
          <w:szCs w:val="22"/>
        </w:rPr>
        <w:t>անների վավերագրմանն աջակցությա</w:t>
      </w:r>
      <w:r w:rsidRPr="00B57DAB">
        <w:rPr>
          <w:rFonts w:ascii="GHEA Grapalat" w:hAnsi="GHEA Grapalat" w:cs="Sylfaen"/>
          <w:sz w:val="22"/>
          <w:szCs w:val="22"/>
        </w:rPr>
        <w:t>ն միջոցառումների գծով ծախսերի</w:t>
      </w:r>
      <w:r w:rsidR="00D027DA" w:rsidRPr="00B57DAB">
        <w:rPr>
          <w:rFonts w:ascii="GHEA Grapalat" w:hAnsi="GHEA Grapalat" w:cs="Sylfaen"/>
          <w:sz w:val="22"/>
          <w:szCs w:val="22"/>
        </w:rPr>
        <w:t xml:space="preserve"> </w:t>
      </w:r>
      <w:r w:rsidRPr="00B57DAB">
        <w:rPr>
          <w:rFonts w:ascii="GHEA Grapalat" w:hAnsi="GHEA Grapalat" w:cs="Sylfaen"/>
          <w:sz w:val="22"/>
          <w:szCs w:val="22"/>
        </w:rPr>
        <w:t xml:space="preserve">համապատասխանաբար 122.1% (10.6 մլն դրամ) և 100% (5.9 մլն դրամ) աճով: </w:t>
      </w:r>
    </w:p>
    <w:p w:rsidR="003F2149" w:rsidRPr="00B57DAB" w:rsidRDefault="003F2149" w:rsidP="005E1FD9">
      <w:pPr>
        <w:autoSpaceDE w:val="0"/>
        <w:autoSpaceDN w:val="0"/>
        <w:adjustRightInd w:val="0"/>
        <w:spacing w:line="360" w:lineRule="auto"/>
        <w:ind w:firstLine="567"/>
        <w:jc w:val="both"/>
        <w:rPr>
          <w:rFonts w:ascii="GHEA Grapalat" w:hAnsi="GHEA Grapalat" w:cs="Sylfaen"/>
          <w:sz w:val="22"/>
          <w:szCs w:val="22"/>
        </w:rPr>
      </w:pPr>
    </w:p>
    <w:p w:rsidR="008B74FB" w:rsidRPr="00B57DAB" w:rsidRDefault="003F2149" w:rsidP="008B74FB">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i/>
          <w:sz w:val="22"/>
          <w:szCs w:val="22"/>
          <w:u w:val="single"/>
          <w:lang w:val="hy-AM"/>
        </w:rPr>
        <w:t>ՀՀ պաշտպանության նախարարության</w:t>
      </w:r>
      <w:r w:rsidRPr="00B57DAB">
        <w:rPr>
          <w:rFonts w:ascii="GHEA Grapalat" w:hAnsi="GHEA Grapalat" w:cs="GHEA Grapalat"/>
          <w:sz w:val="22"/>
          <w:szCs w:val="22"/>
          <w:lang w:val="hy-AM"/>
        </w:rPr>
        <w:t xml:space="preserve"> </w:t>
      </w:r>
      <w:r w:rsidR="008B74FB" w:rsidRPr="00B57DAB">
        <w:rPr>
          <w:rFonts w:ascii="GHEA Grapalat" w:hAnsi="GHEA Grapalat" w:cs="Times Armenian"/>
          <w:sz w:val="22"/>
          <w:szCs w:val="22"/>
        </w:rPr>
        <w:t>պատասխանատվությամբ 2022</w:t>
      </w:r>
      <w:r w:rsidR="008B74FB" w:rsidRPr="00B57DAB">
        <w:rPr>
          <w:rFonts w:ascii="GHEA Grapalat" w:hAnsi="GHEA Grapalat" w:cs="GHEA Grapalat"/>
          <w:sz w:val="22"/>
          <w:szCs w:val="22"/>
        </w:rPr>
        <w:t xml:space="preserve"> թվականի առաջին եռամսյակում</w:t>
      </w:r>
      <w:r w:rsidR="008B74FB" w:rsidRPr="00B57DAB">
        <w:rPr>
          <w:rFonts w:ascii="GHEA Grapalat" w:hAnsi="GHEA Grapalat" w:cs="GHEA Grapalat"/>
          <w:sz w:val="22"/>
          <w:szCs w:val="22"/>
          <w:lang w:val="ru-RU"/>
        </w:rPr>
        <w:t xml:space="preserve"> </w:t>
      </w:r>
      <w:r w:rsidR="008B74FB" w:rsidRPr="00B57DAB">
        <w:rPr>
          <w:rFonts w:ascii="GHEA Grapalat" w:hAnsi="GHEA Grapalat" w:cs="GHEA Grapalat"/>
          <w:sz w:val="22"/>
          <w:szCs w:val="22"/>
        </w:rPr>
        <w:t xml:space="preserve">կատարվել է պետական բյուջեի 5 ծրագիր: Ծախսերը </w:t>
      </w:r>
      <w:r w:rsidR="008B74FB" w:rsidRPr="00B57DAB">
        <w:rPr>
          <w:rFonts w:ascii="GHEA Grapalat" w:hAnsi="GHEA Grapalat" w:cs="GHEA Grapalat"/>
          <w:sz w:val="22"/>
          <w:szCs w:val="22"/>
          <w:lang w:val="ru-RU"/>
        </w:rPr>
        <w:t xml:space="preserve">կազմել են </w:t>
      </w:r>
      <w:r w:rsidR="008B74FB" w:rsidRPr="00B57DAB">
        <w:rPr>
          <w:rFonts w:ascii="GHEA Grapalat" w:hAnsi="GHEA Grapalat" w:cs="GHEA Grapalat"/>
          <w:sz w:val="22"/>
          <w:szCs w:val="22"/>
        </w:rPr>
        <w:t xml:space="preserve">շուրջ </w:t>
      </w:r>
      <w:r w:rsidR="008B74FB" w:rsidRPr="00B57DAB">
        <w:rPr>
          <w:rFonts w:ascii="GHEA Grapalat" w:hAnsi="GHEA Grapalat" w:cs="GHEA Grapalat"/>
          <w:sz w:val="22"/>
          <w:szCs w:val="22"/>
          <w:lang w:val="ru-RU"/>
        </w:rPr>
        <w:t>68</w:t>
      </w:r>
      <w:r w:rsidR="008B74FB" w:rsidRPr="00B57DAB">
        <w:rPr>
          <w:rFonts w:ascii="GHEA Grapalat" w:hAnsi="GHEA Grapalat" w:cs="GHEA Grapalat"/>
          <w:sz w:val="22"/>
          <w:szCs w:val="22"/>
        </w:rPr>
        <w:t>.5</w:t>
      </w:r>
      <w:r w:rsidR="008B74FB" w:rsidRPr="00B57DAB">
        <w:rPr>
          <w:rFonts w:ascii="GHEA Grapalat" w:hAnsi="GHEA Grapalat" w:cs="GHEA Grapalat"/>
          <w:sz w:val="22"/>
          <w:szCs w:val="22"/>
          <w:lang w:val="ru-RU"/>
        </w:rPr>
        <w:t xml:space="preserve"> մլրդ դրամ կամ նախատեսված միջոցների 8</w:t>
      </w:r>
      <w:r w:rsidR="008B74FB" w:rsidRPr="00B57DAB">
        <w:rPr>
          <w:rFonts w:ascii="GHEA Grapalat" w:hAnsi="GHEA Grapalat" w:cs="GHEA Grapalat"/>
          <w:sz w:val="22"/>
          <w:szCs w:val="22"/>
        </w:rPr>
        <w:t>2.8</w:t>
      </w:r>
      <w:r w:rsidR="008B74FB" w:rsidRPr="00B57DAB">
        <w:rPr>
          <w:rFonts w:ascii="GHEA Grapalat" w:hAnsi="GHEA Grapalat" w:cs="GHEA Grapalat"/>
          <w:sz w:val="22"/>
          <w:szCs w:val="22"/>
          <w:lang w:val="ru-RU"/>
        </w:rPr>
        <w:t>%</w:t>
      </w:r>
      <w:r w:rsidR="008B74FB" w:rsidRPr="00B57DAB">
        <w:rPr>
          <w:rFonts w:ascii="GHEA Grapalat" w:hAnsi="GHEA Grapalat" w:cs="GHEA Grapalat"/>
          <w:sz w:val="22"/>
          <w:szCs w:val="22"/>
          <w:lang w:val="ru-RU"/>
        </w:rPr>
        <w:noBreakHyphen/>
        <w:t xml:space="preserve">ը: </w:t>
      </w:r>
      <w:r w:rsidR="008B74FB" w:rsidRPr="00B57DAB">
        <w:rPr>
          <w:rFonts w:ascii="GHEA Grapalat" w:hAnsi="GHEA Grapalat" w:cs="GHEA Grapalat"/>
          <w:sz w:val="22"/>
          <w:szCs w:val="22"/>
        </w:rPr>
        <w:t xml:space="preserve">Շեղումը հիմնականում պայմանավորված է ՀՀ պաշտպանության </w:t>
      </w:r>
      <w:r w:rsidR="008B74FB" w:rsidRPr="00B57DAB">
        <w:rPr>
          <w:rFonts w:ascii="GHEA Grapalat" w:hAnsi="GHEA Grapalat"/>
          <w:sz w:val="22"/>
          <w:szCs w:val="22"/>
        </w:rPr>
        <w:t>ապահովման</w:t>
      </w:r>
      <w:r w:rsidR="008B74FB" w:rsidRPr="00B57DAB">
        <w:rPr>
          <w:rFonts w:ascii="GHEA Grapalat" w:hAnsi="GHEA Grapalat" w:cs="GHEA Grapalat"/>
          <w:sz w:val="22"/>
          <w:szCs w:val="22"/>
        </w:rPr>
        <w:t xml:space="preserve"> ծրագրի կատարողականով: Վերջինով է հիմնականում պայմանավորված նաև նախորդ տարվա առաջին եռամսյակի համեմատ ՀՀ պաշտպանության </w:t>
      </w:r>
      <w:r w:rsidR="008B74FB" w:rsidRPr="00B57DAB">
        <w:rPr>
          <w:rFonts w:ascii="GHEA Grapalat" w:hAnsi="GHEA Grapalat" w:cs="GHEA Grapalat"/>
          <w:sz w:val="22"/>
          <w:szCs w:val="22"/>
        </w:rPr>
        <w:lastRenderedPageBreak/>
        <w:t xml:space="preserve">նախարարության պատասխանատվությամբ իրականացվող ծրագրերի գծով ծախսերի 17.6% </w:t>
      </w:r>
      <w:r w:rsidR="00AE0CD0" w:rsidRPr="00B57DAB">
        <w:rPr>
          <w:rFonts w:ascii="GHEA Grapalat" w:hAnsi="GHEA Grapalat" w:cs="GHEA Grapalat"/>
          <w:sz w:val="22"/>
          <w:szCs w:val="22"/>
        </w:rPr>
        <w:t>(</w:t>
      </w:r>
      <w:r w:rsidR="008B74FB" w:rsidRPr="00B57DAB">
        <w:rPr>
          <w:rFonts w:ascii="GHEA Grapalat" w:hAnsi="GHEA Grapalat" w:cs="GHEA Grapalat"/>
          <w:sz w:val="22"/>
          <w:szCs w:val="22"/>
        </w:rPr>
        <w:t>14.6</w:t>
      </w:r>
      <w:r w:rsidR="00AE0CD0" w:rsidRPr="00B57DAB">
        <w:rPr>
          <w:rFonts w:ascii="Courier New" w:hAnsi="Courier New" w:cs="Courier New"/>
          <w:sz w:val="22"/>
          <w:szCs w:val="22"/>
        </w:rPr>
        <w:t> </w:t>
      </w:r>
      <w:r w:rsidR="008B74FB" w:rsidRPr="00B57DAB">
        <w:rPr>
          <w:rFonts w:ascii="GHEA Grapalat" w:hAnsi="GHEA Grapalat" w:cs="GHEA Grapalat"/>
          <w:sz w:val="22"/>
          <w:szCs w:val="22"/>
        </w:rPr>
        <w:t>մլրդ դրամ</w:t>
      </w:r>
      <w:r w:rsidR="00AE0CD0" w:rsidRPr="00B57DAB">
        <w:rPr>
          <w:rFonts w:ascii="GHEA Grapalat" w:hAnsi="GHEA Grapalat" w:cs="GHEA Grapalat"/>
          <w:sz w:val="22"/>
          <w:szCs w:val="22"/>
        </w:rPr>
        <w:t>)</w:t>
      </w:r>
      <w:r w:rsidR="008B74FB" w:rsidRPr="00B57DAB">
        <w:rPr>
          <w:rFonts w:ascii="GHEA Grapalat" w:hAnsi="GHEA Grapalat" w:cs="GHEA Grapalat"/>
          <w:sz w:val="22"/>
          <w:szCs w:val="22"/>
        </w:rPr>
        <w:t xml:space="preserve"> նվազումը: </w:t>
      </w:r>
    </w:p>
    <w:p w:rsidR="008B74FB" w:rsidRPr="00B57DAB" w:rsidRDefault="008B74FB" w:rsidP="008B74FB">
      <w:pPr>
        <w:autoSpaceDE w:val="0"/>
        <w:autoSpaceDN w:val="0"/>
        <w:adjustRightInd w:val="0"/>
        <w:spacing w:line="360" w:lineRule="auto"/>
        <w:ind w:firstLine="567"/>
        <w:jc w:val="both"/>
        <w:rPr>
          <w:rFonts w:ascii="GHEA Grapalat" w:hAnsi="GHEA Grapalat" w:cs="GHEA Grapalat"/>
          <w:sz w:val="22"/>
          <w:szCs w:val="22"/>
        </w:rPr>
      </w:pPr>
    </w:p>
    <w:p w:rsidR="008B74FB" w:rsidRPr="00B57DAB" w:rsidRDefault="008B74FB" w:rsidP="00770F24">
      <w:pPr>
        <w:pStyle w:val="Caption"/>
        <w:keepNext/>
        <w:numPr>
          <w:ilvl w:val="0"/>
          <w:numId w:val="8"/>
        </w:numPr>
        <w:tabs>
          <w:tab w:val="left" w:pos="1276"/>
        </w:tabs>
        <w:ind w:left="0" w:firstLine="0"/>
        <w:jc w:val="left"/>
        <w:rPr>
          <w:rFonts w:ascii="GHEA Grapalat" w:hAnsi="GHEA Grapalat"/>
          <w:i/>
          <w:sz w:val="18"/>
          <w:szCs w:val="18"/>
          <w:lang w:val="en-US"/>
        </w:rPr>
      </w:pPr>
      <w:r w:rsidRPr="00B57DAB">
        <w:rPr>
          <w:rFonts w:ascii="GHEA Grapalat" w:hAnsi="GHEA Grapalat"/>
          <w:i/>
          <w:sz w:val="18"/>
          <w:szCs w:val="18"/>
          <w:lang w:val="en-US"/>
        </w:rPr>
        <w:t>2022թ. առաջին եռամսյակում ՀՀ պաշտպանության նախարարության կողմից իրականացված ծրագրերը (մլն դրամ)</w:t>
      </w:r>
    </w:p>
    <w:tbl>
      <w:tblPr>
        <w:tblW w:w="10262" w:type="dxa"/>
        <w:jc w:val="center"/>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8"/>
        <w:gridCol w:w="1095"/>
        <w:gridCol w:w="1094"/>
        <w:gridCol w:w="1203"/>
        <w:gridCol w:w="1203"/>
        <w:gridCol w:w="1203"/>
        <w:gridCol w:w="1076"/>
      </w:tblGrid>
      <w:tr w:rsidR="00722F51" w:rsidRPr="00B57DAB" w:rsidTr="00D06624">
        <w:trPr>
          <w:trHeight w:val="300"/>
          <w:jc w:val="center"/>
        </w:trPr>
        <w:tc>
          <w:tcPr>
            <w:tcW w:w="3388" w:type="dxa"/>
            <w:tcBorders>
              <w:top w:val="single" w:sz="4" w:space="0" w:color="auto"/>
              <w:left w:val="single" w:sz="4" w:space="0" w:color="auto"/>
              <w:bottom w:val="single" w:sz="4" w:space="0" w:color="auto"/>
              <w:right w:val="single" w:sz="4" w:space="0" w:color="auto"/>
            </w:tcBorders>
            <w:noWrap/>
            <w:vAlign w:val="bottom"/>
            <w:hideMark/>
          </w:tcPr>
          <w:p w:rsidR="00722F51" w:rsidRPr="00B57DAB" w:rsidRDefault="00722F51" w:rsidP="001C165B">
            <w:pPr>
              <w:rPr>
                <w:rFonts w:ascii="GHEA Grapalat" w:hAnsi="GHEA Grapalat"/>
                <w:sz w:val="20"/>
                <w:szCs w:val="20"/>
              </w:rPr>
            </w:pPr>
          </w:p>
        </w:tc>
        <w:tc>
          <w:tcPr>
            <w:tcW w:w="1123" w:type="dxa"/>
            <w:tcBorders>
              <w:top w:val="single" w:sz="4" w:space="0" w:color="auto"/>
              <w:left w:val="single" w:sz="4" w:space="0" w:color="auto"/>
              <w:bottom w:val="single" w:sz="4" w:space="0" w:color="auto"/>
              <w:right w:val="single" w:sz="4" w:space="0" w:color="auto"/>
            </w:tcBorders>
            <w:hideMark/>
          </w:tcPr>
          <w:p w:rsidR="00722F51" w:rsidRPr="00B57DAB" w:rsidRDefault="00722F51" w:rsidP="00504BFB">
            <w:pPr>
              <w:jc w:val="center"/>
              <w:rPr>
                <w:rFonts w:ascii="GHEA Grapalat" w:hAnsi="GHEA Grapalat" w:cs="Calibri"/>
                <w:b/>
                <w:bCs/>
                <w:sz w:val="18"/>
                <w:szCs w:val="18"/>
                <w:lang w:val="hy-AM"/>
              </w:rPr>
            </w:pPr>
            <w:r w:rsidRPr="00B57DAB">
              <w:rPr>
                <w:rFonts w:ascii="GHEA Grapalat" w:hAnsi="GHEA Grapalat" w:cs="Calibri"/>
                <w:b/>
                <w:bCs/>
                <w:sz w:val="18"/>
                <w:szCs w:val="18"/>
              </w:rPr>
              <w:t>2021թ. առաջին եռամս-յակի փաստ</w:t>
            </w:r>
          </w:p>
        </w:tc>
        <w:tc>
          <w:tcPr>
            <w:tcW w:w="1122" w:type="dxa"/>
            <w:tcBorders>
              <w:top w:val="single" w:sz="4" w:space="0" w:color="auto"/>
              <w:left w:val="single" w:sz="4" w:space="0" w:color="auto"/>
              <w:bottom w:val="single" w:sz="4" w:space="0" w:color="auto"/>
              <w:right w:val="single" w:sz="4" w:space="0" w:color="auto"/>
            </w:tcBorders>
            <w:hideMark/>
          </w:tcPr>
          <w:p w:rsidR="00722F51" w:rsidRPr="00B57DAB" w:rsidRDefault="00722F51" w:rsidP="00504BFB">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 ճշտված պլան</w:t>
            </w:r>
          </w:p>
        </w:tc>
        <w:tc>
          <w:tcPr>
            <w:tcW w:w="1203" w:type="dxa"/>
            <w:tcBorders>
              <w:top w:val="single" w:sz="4" w:space="0" w:color="auto"/>
              <w:left w:val="single" w:sz="4" w:space="0" w:color="auto"/>
              <w:bottom w:val="single" w:sz="4" w:space="0" w:color="auto"/>
              <w:right w:val="single" w:sz="4" w:space="0" w:color="auto"/>
            </w:tcBorders>
            <w:noWrap/>
            <w:hideMark/>
          </w:tcPr>
          <w:p w:rsidR="00722F51" w:rsidRPr="00B57DAB" w:rsidRDefault="00722F51" w:rsidP="00504BFB">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 փաստ</w:t>
            </w:r>
          </w:p>
        </w:tc>
        <w:tc>
          <w:tcPr>
            <w:tcW w:w="1203" w:type="dxa"/>
            <w:tcBorders>
              <w:top w:val="single" w:sz="4" w:space="0" w:color="auto"/>
              <w:left w:val="single" w:sz="4" w:space="0" w:color="auto"/>
              <w:bottom w:val="single" w:sz="4" w:space="0" w:color="auto"/>
              <w:right w:val="single" w:sz="4" w:space="0" w:color="auto"/>
            </w:tcBorders>
            <w:hideMark/>
          </w:tcPr>
          <w:p w:rsidR="00722F51" w:rsidRPr="00B57DAB" w:rsidRDefault="00722F51" w:rsidP="00504BFB">
            <w:pPr>
              <w:jc w:val="center"/>
              <w:rPr>
                <w:rFonts w:ascii="GHEA Grapalat" w:hAnsi="GHEA Grapalat" w:cs="Calibri"/>
                <w:b/>
                <w:bCs/>
                <w:sz w:val="18"/>
                <w:szCs w:val="18"/>
              </w:rPr>
            </w:pPr>
            <w:r w:rsidRPr="00B57DAB">
              <w:rPr>
                <w:rFonts w:ascii="GHEA Grapalat" w:hAnsi="GHEA Grapalat" w:cs="Calibri"/>
                <w:b/>
                <w:bCs/>
                <w:sz w:val="18"/>
                <w:szCs w:val="18"/>
                <w:lang w:val="hy-AM"/>
              </w:rPr>
              <w:t>Կատարո-ղական</w:t>
            </w:r>
            <w:r w:rsidRPr="00B57DAB">
              <w:rPr>
                <w:rFonts w:ascii="GHEA Grapalat" w:hAnsi="GHEA Grapalat" w:cs="Calibri"/>
                <w:b/>
                <w:bCs/>
                <w:sz w:val="18"/>
                <w:szCs w:val="18"/>
              </w:rPr>
              <w:t>ն առաջին եռամսյակի</w:t>
            </w:r>
            <w:r w:rsidRPr="00B57DAB">
              <w:rPr>
                <w:rFonts w:ascii="GHEA Grapalat" w:hAnsi="GHEA Grapalat" w:cs="Calibri"/>
                <w:b/>
                <w:bCs/>
                <w:sz w:val="18"/>
                <w:szCs w:val="18"/>
                <w:lang w:val="hy-AM"/>
              </w:rPr>
              <w:t xml:space="preserve"> ճշտված պլանի նկատմամբ</w:t>
            </w:r>
            <w:r w:rsidRPr="00B57DAB">
              <w:rPr>
                <w:rFonts w:ascii="GHEA Grapalat" w:hAnsi="GHEA Grapalat" w:cs="Calibri"/>
                <w:b/>
                <w:bCs/>
                <w:sz w:val="18"/>
                <w:szCs w:val="18"/>
              </w:rPr>
              <w:t xml:space="preserve"> (%)</w:t>
            </w:r>
          </w:p>
        </w:tc>
        <w:tc>
          <w:tcPr>
            <w:tcW w:w="1203" w:type="dxa"/>
            <w:tcBorders>
              <w:top w:val="single" w:sz="4" w:space="0" w:color="auto"/>
              <w:left w:val="single" w:sz="4" w:space="0" w:color="auto"/>
              <w:bottom w:val="single" w:sz="4" w:space="0" w:color="auto"/>
              <w:right w:val="single" w:sz="4" w:space="0" w:color="auto"/>
            </w:tcBorders>
          </w:tcPr>
          <w:p w:rsidR="00722F51" w:rsidRPr="00B57DAB" w:rsidRDefault="00722F51" w:rsidP="00504BFB">
            <w:pPr>
              <w:jc w:val="center"/>
              <w:rPr>
                <w:rFonts w:ascii="GHEA Grapalat" w:hAnsi="GHEA Grapalat" w:cs="Calibri"/>
                <w:b/>
                <w:bCs/>
                <w:sz w:val="18"/>
                <w:szCs w:val="18"/>
              </w:rPr>
            </w:pPr>
            <w:r w:rsidRPr="00B57DAB">
              <w:rPr>
                <w:rFonts w:ascii="GHEA Grapalat" w:hAnsi="GHEA Grapalat" w:cs="Calibri"/>
                <w:b/>
                <w:bCs/>
                <w:sz w:val="18"/>
                <w:szCs w:val="18"/>
              </w:rPr>
              <w:t xml:space="preserve">2022թ. առաջին եռամսյակը 2021թ. </w:t>
            </w:r>
            <w:proofErr w:type="gramStart"/>
            <w:r w:rsidRPr="00B57DAB">
              <w:rPr>
                <w:rFonts w:ascii="GHEA Grapalat" w:hAnsi="GHEA Grapalat" w:cs="Calibri"/>
                <w:b/>
                <w:bCs/>
                <w:sz w:val="18"/>
                <w:szCs w:val="18"/>
              </w:rPr>
              <w:t>առաջին</w:t>
            </w:r>
            <w:proofErr w:type="gramEnd"/>
            <w:r w:rsidRPr="00B57DAB">
              <w:rPr>
                <w:rFonts w:ascii="GHEA Grapalat" w:hAnsi="GHEA Grapalat" w:cs="Calibri"/>
                <w:b/>
                <w:bCs/>
                <w:sz w:val="18"/>
                <w:szCs w:val="18"/>
              </w:rPr>
              <w:t xml:space="preserve"> եռամսյակի նկատմամբ (%)</w:t>
            </w:r>
          </w:p>
        </w:tc>
        <w:tc>
          <w:tcPr>
            <w:tcW w:w="1020" w:type="dxa"/>
            <w:tcBorders>
              <w:top w:val="single" w:sz="4" w:space="0" w:color="auto"/>
              <w:left w:val="single" w:sz="4" w:space="0" w:color="auto"/>
              <w:bottom w:val="single" w:sz="4" w:space="0" w:color="auto"/>
              <w:right w:val="single" w:sz="4" w:space="0" w:color="auto"/>
            </w:tcBorders>
          </w:tcPr>
          <w:p w:rsidR="00722F51" w:rsidRPr="00B57DAB" w:rsidRDefault="00722F51" w:rsidP="00504BFB">
            <w:pPr>
              <w:jc w:val="center"/>
              <w:rPr>
                <w:rFonts w:ascii="GHEA Grapalat" w:hAnsi="GHEA Grapalat" w:cs="Calibri"/>
                <w:b/>
                <w:color w:val="000000"/>
                <w:sz w:val="18"/>
                <w:szCs w:val="18"/>
              </w:rPr>
            </w:pPr>
            <w:r w:rsidRPr="00B57DAB">
              <w:rPr>
                <w:rFonts w:ascii="GHEA Grapalat" w:hAnsi="GHEA Grapalat" w:cs="Calibri"/>
                <w:b/>
                <w:color w:val="000000"/>
                <w:sz w:val="18"/>
                <w:szCs w:val="18"/>
              </w:rPr>
              <w:t>2022թ. և 2021թ. տարբե-րությունը</w:t>
            </w:r>
          </w:p>
        </w:tc>
      </w:tr>
      <w:tr w:rsidR="00722F51" w:rsidRPr="00B57DAB" w:rsidTr="00D06624">
        <w:trPr>
          <w:trHeight w:val="331"/>
          <w:jc w:val="center"/>
        </w:trPr>
        <w:tc>
          <w:tcPr>
            <w:tcW w:w="3388" w:type="dxa"/>
            <w:tcBorders>
              <w:top w:val="single" w:sz="4" w:space="0" w:color="auto"/>
              <w:left w:val="single" w:sz="4" w:space="0" w:color="auto"/>
              <w:bottom w:val="single" w:sz="4" w:space="0" w:color="auto"/>
              <w:right w:val="single" w:sz="4" w:space="0" w:color="auto"/>
            </w:tcBorders>
            <w:vAlign w:val="bottom"/>
            <w:hideMark/>
          </w:tcPr>
          <w:p w:rsidR="00722F51" w:rsidRPr="00B57DAB" w:rsidRDefault="00722F51" w:rsidP="00722F51">
            <w:pPr>
              <w:rPr>
                <w:rFonts w:ascii="GHEA Grapalat" w:hAnsi="GHEA Grapalat"/>
                <w:b/>
                <w:sz w:val="18"/>
                <w:szCs w:val="18"/>
              </w:rPr>
            </w:pPr>
            <w:r w:rsidRPr="00B57DAB">
              <w:rPr>
                <w:rFonts w:ascii="GHEA Grapalat" w:hAnsi="GHEA Grapalat"/>
                <w:b/>
                <w:sz w:val="18"/>
                <w:szCs w:val="18"/>
              </w:rPr>
              <w:t>ԸՆԴԱՄԵՆԸ</w:t>
            </w:r>
          </w:p>
        </w:tc>
        <w:tc>
          <w:tcPr>
            <w:tcW w:w="1123" w:type="dxa"/>
            <w:tcBorders>
              <w:top w:val="single" w:sz="4" w:space="0" w:color="auto"/>
              <w:left w:val="single" w:sz="4" w:space="0" w:color="auto"/>
              <w:bottom w:val="single" w:sz="4" w:space="0" w:color="auto"/>
              <w:right w:val="single" w:sz="4" w:space="0" w:color="auto"/>
            </w:tcBorders>
            <w:vAlign w:val="bottom"/>
            <w:hideMark/>
          </w:tcPr>
          <w:p w:rsidR="00722F51" w:rsidRPr="00B57DAB" w:rsidRDefault="00722F51" w:rsidP="00722F51">
            <w:pPr>
              <w:jc w:val="right"/>
              <w:rPr>
                <w:rFonts w:ascii="GHEA Grapalat" w:hAnsi="GHEA Grapalat"/>
                <w:b/>
                <w:bCs/>
                <w:sz w:val="18"/>
                <w:szCs w:val="18"/>
              </w:rPr>
            </w:pPr>
            <w:r w:rsidRPr="00B57DAB">
              <w:rPr>
                <w:rFonts w:ascii="GHEA Grapalat" w:hAnsi="GHEA Grapalat"/>
                <w:b/>
                <w:bCs/>
                <w:sz w:val="18"/>
                <w:szCs w:val="18"/>
              </w:rPr>
              <w:t>83,069.5</w:t>
            </w:r>
          </w:p>
        </w:tc>
        <w:tc>
          <w:tcPr>
            <w:tcW w:w="1122" w:type="dxa"/>
            <w:tcBorders>
              <w:top w:val="single" w:sz="4" w:space="0" w:color="auto"/>
              <w:left w:val="single" w:sz="4" w:space="0" w:color="auto"/>
              <w:bottom w:val="single" w:sz="4" w:space="0" w:color="auto"/>
              <w:right w:val="single" w:sz="4" w:space="0" w:color="auto"/>
            </w:tcBorders>
            <w:vAlign w:val="bottom"/>
            <w:hideMark/>
          </w:tcPr>
          <w:p w:rsidR="00722F51" w:rsidRPr="00B57DAB" w:rsidRDefault="00722F51" w:rsidP="00722F51">
            <w:pPr>
              <w:jc w:val="right"/>
              <w:rPr>
                <w:rFonts w:ascii="GHEA Grapalat" w:hAnsi="GHEA Grapalat"/>
                <w:b/>
                <w:bCs/>
                <w:sz w:val="18"/>
                <w:szCs w:val="18"/>
              </w:rPr>
            </w:pPr>
            <w:r w:rsidRPr="00B57DAB">
              <w:rPr>
                <w:rFonts w:ascii="GHEA Grapalat" w:hAnsi="GHEA Grapalat"/>
                <w:b/>
                <w:bCs/>
                <w:sz w:val="18"/>
                <w:szCs w:val="18"/>
              </w:rPr>
              <w:t>82,696.6</w:t>
            </w:r>
          </w:p>
        </w:tc>
        <w:tc>
          <w:tcPr>
            <w:tcW w:w="1203" w:type="dxa"/>
            <w:tcBorders>
              <w:top w:val="single" w:sz="4" w:space="0" w:color="auto"/>
              <w:left w:val="single" w:sz="4" w:space="0" w:color="auto"/>
              <w:bottom w:val="single" w:sz="4" w:space="0" w:color="auto"/>
              <w:right w:val="single" w:sz="4" w:space="0" w:color="auto"/>
            </w:tcBorders>
            <w:vAlign w:val="bottom"/>
            <w:hideMark/>
          </w:tcPr>
          <w:p w:rsidR="00722F51" w:rsidRPr="00B57DAB" w:rsidRDefault="00722F51" w:rsidP="00722F51">
            <w:pPr>
              <w:jc w:val="right"/>
              <w:rPr>
                <w:rFonts w:ascii="GHEA Grapalat" w:hAnsi="GHEA Grapalat"/>
                <w:b/>
                <w:bCs/>
                <w:sz w:val="18"/>
                <w:szCs w:val="18"/>
              </w:rPr>
            </w:pPr>
            <w:r w:rsidRPr="00B57DAB">
              <w:rPr>
                <w:rFonts w:ascii="GHEA Grapalat" w:hAnsi="GHEA Grapalat"/>
                <w:b/>
                <w:bCs/>
                <w:sz w:val="18"/>
                <w:szCs w:val="18"/>
              </w:rPr>
              <w:t>68,463.2</w:t>
            </w:r>
          </w:p>
        </w:tc>
        <w:tc>
          <w:tcPr>
            <w:tcW w:w="1203" w:type="dxa"/>
            <w:tcBorders>
              <w:top w:val="single" w:sz="4" w:space="0" w:color="auto"/>
              <w:left w:val="single" w:sz="4" w:space="0" w:color="auto"/>
              <w:bottom w:val="single" w:sz="4" w:space="0" w:color="auto"/>
              <w:right w:val="single" w:sz="4" w:space="0" w:color="auto"/>
            </w:tcBorders>
            <w:vAlign w:val="bottom"/>
            <w:hideMark/>
          </w:tcPr>
          <w:p w:rsidR="00722F51" w:rsidRPr="00B57DAB" w:rsidRDefault="00722F51" w:rsidP="00722F51">
            <w:pPr>
              <w:jc w:val="right"/>
              <w:rPr>
                <w:rFonts w:ascii="GHEA Grapalat" w:hAnsi="GHEA Grapalat"/>
                <w:b/>
                <w:bCs/>
                <w:sz w:val="18"/>
                <w:szCs w:val="18"/>
              </w:rPr>
            </w:pPr>
            <w:r w:rsidRPr="00B57DAB">
              <w:rPr>
                <w:rFonts w:ascii="GHEA Grapalat" w:hAnsi="GHEA Grapalat"/>
                <w:b/>
                <w:bCs/>
                <w:sz w:val="18"/>
                <w:szCs w:val="18"/>
              </w:rPr>
              <w:t>82.8</w:t>
            </w:r>
          </w:p>
        </w:tc>
        <w:tc>
          <w:tcPr>
            <w:tcW w:w="1203" w:type="dxa"/>
            <w:tcBorders>
              <w:top w:val="single" w:sz="4" w:space="0" w:color="auto"/>
              <w:left w:val="single" w:sz="4" w:space="0" w:color="auto"/>
              <w:bottom w:val="single" w:sz="4" w:space="0" w:color="auto"/>
              <w:right w:val="single" w:sz="4" w:space="0" w:color="auto"/>
            </w:tcBorders>
            <w:vAlign w:val="bottom"/>
            <w:hideMark/>
          </w:tcPr>
          <w:p w:rsidR="00722F51" w:rsidRPr="00B57DAB" w:rsidRDefault="00722F51" w:rsidP="00504BFB">
            <w:pPr>
              <w:jc w:val="right"/>
              <w:rPr>
                <w:rFonts w:ascii="GHEA Grapalat" w:hAnsi="GHEA Grapalat"/>
                <w:b/>
                <w:bCs/>
                <w:sz w:val="18"/>
                <w:szCs w:val="18"/>
              </w:rPr>
            </w:pPr>
            <w:r w:rsidRPr="00B57DAB">
              <w:rPr>
                <w:rFonts w:ascii="GHEA Grapalat" w:hAnsi="GHEA Grapalat"/>
                <w:b/>
                <w:bCs/>
                <w:sz w:val="18"/>
                <w:szCs w:val="18"/>
              </w:rPr>
              <w:t>82.4</w:t>
            </w:r>
          </w:p>
        </w:tc>
        <w:tc>
          <w:tcPr>
            <w:tcW w:w="1020" w:type="dxa"/>
            <w:tcBorders>
              <w:top w:val="single" w:sz="4" w:space="0" w:color="auto"/>
              <w:left w:val="single" w:sz="4" w:space="0" w:color="auto"/>
              <w:bottom w:val="single" w:sz="4" w:space="0" w:color="auto"/>
              <w:right w:val="single" w:sz="4" w:space="0" w:color="auto"/>
            </w:tcBorders>
            <w:vAlign w:val="bottom"/>
            <w:hideMark/>
          </w:tcPr>
          <w:p w:rsidR="00722F51" w:rsidRPr="00B57DAB" w:rsidRDefault="00A445B6" w:rsidP="00722F51">
            <w:pPr>
              <w:jc w:val="right"/>
              <w:rPr>
                <w:rFonts w:ascii="GHEA Grapalat" w:hAnsi="GHEA Grapalat"/>
                <w:b/>
                <w:bCs/>
                <w:sz w:val="18"/>
                <w:szCs w:val="18"/>
              </w:rPr>
            </w:pPr>
            <w:r w:rsidRPr="00B57DAB">
              <w:rPr>
                <w:rFonts w:ascii="GHEA Grapalat" w:hAnsi="GHEA Grapalat"/>
                <w:b/>
                <w:bCs/>
                <w:sz w:val="18"/>
                <w:szCs w:val="18"/>
              </w:rPr>
              <w:t>(14,606.3)</w:t>
            </w:r>
          </w:p>
        </w:tc>
      </w:tr>
      <w:tr w:rsidR="00722F51" w:rsidRPr="00B57DAB" w:rsidTr="00D06624">
        <w:trPr>
          <w:trHeight w:val="331"/>
          <w:jc w:val="center"/>
        </w:trPr>
        <w:tc>
          <w:tcPr>
            <w:tcW w:w="3388" w:type="dxa"/>
            <w:tcBorders>
              <w:top w:val="single" w:sz="4" w:space="0" w:color="auto"/>
              <w:left w:val="single" w:sz="4" w:space="0" w:color="auto"/>
              <w:bottom w:val="single" w:sz="4" w:space="0" w:color="auto"/>
              <w:right w:val="single" w:sz="4" w:space="0" w:color="auto"/>
            </w:tcBorders>
            <w:vAlign w:val="bottom"/>
            <w:hideMark/>
          </w:tcPr>
          <w:p w:rsidR="00722F51" w:rsidRPr="00B57DAB" w:rsidRDefault="00722F51" w:rsidP="00722F51">
            <w:pPr>
              <w:rPr>
                <w:rFonts w:ascii="GHEA Grapalat" w:hAnsi="GHEA Grapalat"/>
                <w:sz w:val="18"/>
                <w:szCs w:val="18"/>
              </w:rPr>
            </w:pPr>
            <w:r w:rsidRPr="00B57DAB">
              <w:rPr>
                <w:rFonts w:ascii="GHEA Grapalat" w:hAnsi="GHEA Grapalat"/>
                <w:sz w:val="18"/>
                <w:szCs w:val="18"/>
              </w:rPr>
              <w:t>ՀՀ պաշտպանության ապահովում</w:t>
            </w:r>
          </w:p>
        </w:tc>
        <w:tc>
          <w:tcPr>
            <w:tcW w:w="1123" w:type="dxa"/>
            <w:tcBorders>
              <w:top w:val="single" w:sz="4" w:space="0" w:color="auto"/>
              <w:left w:val="single" w:sz="4" w:space="0" w:color="auto"/>
              <w:bottom w:val="single" w:sz="4" w:space="0" w:color="auto"/>
              <w:right w:val="single" w:sz="4" w:space="0" w:color="auto"/>
            </w:tcBorders>
            <w:vAlign w:val="bottom"/>
            <w:hideMark/>
          </w:tcPr>
          <w:p w:rsidR="00722F51" w:rsidRPr="00B57DAB" w:rsidRDefault="00722F51" w:rsidP="00722F51">
            <w:pPr>
              <w:jc w:val="right"/>
              <w:rPr>
                <w:rFonts w:ascii="GHEA Grapalat" w:hAnsi="GHEA Grapalat"/>
                <w:sz w:val="18"/>
                <w:szCs w:val="18"/>
              </w:rPr>
            </w:pPr>
            <w:r w:rsidRPr="00B57DAB">
              <w:rPr>
                <w:rFonts w:ascii="GHEA Grapalat" w:hAnsi="GHEA Grapalat"/>
                <w:sz w:val="18"/>
                <w:szCs w:val="18"/>
              </w:rPr>
              <w:t>82,732.2</w:t>
            </w:r>
          </w:p>
        </w:tc>
        <w:tc>
          <w:tcPr>
            <w:tcW w:w="1122" w:type="dxa"/>
            <w:tcBorders>
              <w:top w:val="single" w:sz="4" w:space="0" w:color="auto"/>
              <w:left w:val="single" w:sz="4" w:space="0" w:color="auto"/>
              <w:bottom w:val="single" w:sz="4" w:space="0" w:color="auto"/>
              <w:right w:val="single" w:sz="4" w:space="0" w:color="auto"/>
            </w:tcBorders>
            <w:vAlign w:val="bottom"/>
            <w:hideMark/>
          </w:tcPr>
          <w:p w:rsidR="00722F51" w:rsidRPr="00B57DAB" w:rsidRDefault="00722F51" w:rsidP="00722F51">
            <w:pPr>
              <w:jc w:val="right"/>
              <w:rPr>
                <w:rFonts w:ascii="GHEA Grapalat" w:hAnsi="GHEA Grapalat"/>
                <w:sz w:val="18"/>
                <w:szCs w:val="18"/>
              </w:rPr>
            </w:pPr>
            <w:r w:rsidRPr="00B57DAB">
              <w:rPr>
                <w:rFonts w:ascii="GHEA Grapalat" w:hAnsi="GHEA Grapalat"/>
                <w:sz w:val="18"/>
                <w:szCs w:val="18"/>
              </w:rPr>
              <w:t>81,674.6</w:t>
            </w:r>
          </w:p>
        </w:tc>
        <w:tc>
          <w:tcPr>
            <w:tcW w:w="1203" w:type="dxa"/>
            <w:tcBorders>
              <w:top w:val="single" w:sz="4" w:space="0" w:color="auto"/>
              <w:left w:val="single" w:sz="4" w:space="0" w:color="auto"/>
              <w:bottom w:val="single" w:sz="4" w:space="0" w:color="auto"/>
              <w:right w:val="single" w:sz="4" w:space="0" w:color="auto"/>
            </w:tcBorders>
            <w:vAlign w:val="bottom"/>
            <w:hideMark/>
          </w:tcPr>
          <w:p w:rsidR="00722F51" w:rsidRPr="00B57DAB" w:rsidRDefault="00722F51" w:rsidP="00722F51">
            <w:pPr>
              <w:jc w:val="right"/>
              <w:rPr>
                <w:rFonts w:ascii="GHEA Grapalat" w:hAnsi="GHEA Grapalat"/>
                <w:sz w:val="18"/>
                <w:szCs w:val="18"/>
              </w:rPr>
            </w:pPr>
            <w:r w:rsidRPr="00B57DAB">
              <w:rPr>
                <w:rFonts w:ascii="GHEA Grapalat" w:hAnsi="GHEA Grapalat"/>
                <w:sz w:val="18"/>
                <w:szCs w:val="18"/>
              </w:rPr>
              <w:t>67,792.7</w:t>
            </w:r>
          </w:p>
        </w:tc>
        <w:tc>
          <w:tcPr>
            <w:tcW w:w="1203" w:type="dxa"/>
            <w:tcBorders>
              <w:top w:val="single" w:sz="4" w:space="0" w:color="auto"/>
              <w:left w:val="single" w:sz="4" w:space="0" w:color="auto"/>
              <w:bottom w:val="single" w:sz="4" w:space="0" w:color="auto"/>
              <w:right w:val="single" w:sz="4" w:space="0" w:color="auto"/>
            </w:tcBorders>
            <w:vAlign w:val="bottom"/>
            <w:hideMark/>
          </w:tcPr>
          <w:p w:rsidR="00722F51" w:rsidRPr="00B57DAB" w:rsidRDefault="00722F51" w:rsidP="00722F51">
            <w:pPr>
              <w:jc w:val="right"/>
              <w:rPr>
                <w:rFonts w:ascii="GHEA Grapalat" w:hAnsi="GHEA Grapalat"/>
                <w:sz w:val="18"/>
                <w:szCs w:val="18"/>
              </w:rPr>
            </w:pPr>
            <w:r w:rsidRPr="00B57DAB">
              <w:rPr>
                <w:rFonts w:ascii="GHEA Grapalat" w:hAnsi="GHEA Grapalat"/>
                <w:sz w:val="18"/>
                <w:szCs w:val="18"/>
              </w:rPr>
              <w:t>83.0</w:t>
            </w:r>
          </w:p>
        </w:tc>
        <w:tc>
          <w:tcPr>
            <w:tcW w:w="1203" w:type="dxa"/>
            <w:tcBorders>
              <w:top w:val="single" w:sz="4" w:space="0" w:color="auto"/>
              <w:left w:val="single" w:sz="4" w:space="0" w:color="auto"/>
              <w:bottom w:val="single" w:sz="4" w:space="0" w:color="auto"/>
              <w:right w:val="single" w:sz="4" w:space="0" w:color="auto"/>
            </w:tcBorders>
            <w:vAlign w:val="bottom"/>
            <w:hideMark/>
          </w:tcPr>
          <w:p w:rsidR="00722F51" w:rsidRPr="00B57DAB" w:rsidRDefault="00722F51" w:rsidP="00504BFB">
            <w:pPr>
              <w:jc w:val="right"/>
              <w:rPr>
                <w:rFonts w:ascii="GHEA Grapalat" w:hAnsi="GHEA Grapalat"/>
                <w:sz w:val="18"/>
                <w:szCs w:val="18"/>
              </w:rPr>
            </w:pPr>
            <w:r w:rsidRPr="00B57DAB">
              <w:rPr>
                <w:rFonts w:ascii="GHEA Grapalat" w:hAnsi="GHEA Grapalat"/>
                <w:sz w:val="18"/>
                <w:szCs w:val="18"/>
              </w:rPr>
              <w:t>81.9</w:t>
            </w:r>
          </w:p>
        </w:tc>
        <w:tc>
          <w:tcPr>
            <w:tcW w:w="1020" w:type="dxa"/>
            <w:tcBorders>
              <w:top w:val="single" w:sz="4" w:space="0" w:color="auto"/>
              <w:left w:val="single" w:sz="4" w:space="0" w:color="auto"/>
              <w:bottom w:val="single" w:sz="4" w:space="0" w:color="auto"/>
              <w:right w:val="single" w:sz="4" w:space="0" w:color="auto"/>
            </w:tcBorders>
            <w:vAlign w:val="bottom"/>
            <w:hideMark/>
          </w:tcPr>
          <w:p w:rsidR="00722F51" w:rsidRPr="00B57DAB" w:rsidRDefault="00A445B6" w:rsidP="00722F51">
            <w:pPr>
              <w:jc w:val="right"/>
              <w:rPr>
                <w:rFonts w:ascii="GHEA Grapalat" w:hAnsi="GHEA Grapalat"/>
                <w:sz w:val="18"/>
                <w:szCs w:val="18"/>
              </w:rPr>
            </w:pPr>
            <w:r w:rsidRPr="00B57DAB">
              <w:rPr>
                <w:rFonts w:ascii="GHEA Grapalat" w:hAnsi="GHEA Grapalat"/>
                <w:sz w:val="18"/>
                <w:szCs w:val="18"/>
              </w:rPr>
              <w:t>(14,939.4)</w:t>
            </w:r>
          </w:p>
        </w:tc>
      </w:tr>
      <w:tr w:rsidR="00722F51" w:rsidRPr="00B57DAB" w:rsidTr="00D06624">
        <w:trPr>
          <w:trHeight w:val="300"/>
          <w:jc w:val="center"/>
        </w:trPr>
        <w:tc>
          <w:tcPr>
            <w:tcW w:w="3388" w:type="dxa"/>
            <w:tcBorders>
              <w:top w:val="single" w:sz="4" w:space="0" w:color="auto"/>
              <w:left w:val="single" w:sz="4" w:space="0" w:color="auto"/>
              <w:bottom w:val="single" w:sz="4" w:space="0" w:color="auto"/>
              <w:right w:val="single" w:sz="4" w:space="0" w:color="auto"/>
            </w:tcBorders>
            <w:vAlign w:val="bottom"/>
            <w:hideMark/>
          </w:tcPr>
          <w:p w:rsidR="00722F51" w:rsidRPr="00B57DAB" w:rsidRDefault="00722F51" w:rsidP="00722F51">
            <w:pPr>
              <w:rPr>
                <w:rFonts w:ascii="GHEA Grapalat" w:hAnsi="GHEA Grapalat"/>
                <w:sz w:val="18"/>
                <w:szCs w:val="18"/>
              </w:rPr>
            </w:pPr>
            <w:r w:rsidRPr="00B57DAB">
              <w:rPr>
                <w:rFonts w:ascii="GHEA Grapalat" w:hAnsi="GHEA Grapalat"/>
                <w:sz w:val="18"/>
                <w:szCs w:val="18"/>
              </w:rPr>
              <w:t>Ռազմաբժշկական սպասարկում և առողջապահական ծառայություններ</w:t>
            </w:r>
          </w:p>
        </w:tc>
        <w:tc>
          <w:tcPr>
            <w:tcW w:w="1123" w:type="dxa"/>
            <w:tcBorders>
              <w:top w:val="single" w:sz="4" w:space="0" w:color="auto"/>
              <w:left w:val="single" w:sz="4" w:space="0" w:color="auto"/>
              <w:bottom w:val="single" w:sz="4" w:space="0" w:color="auto"/>
              <w:right w:val="single" w:sz="4" w:space="0" w:color="auto"/>
            </w:tcBorders>
            <w:vAlign w:val="bottom"/>
            <w:hideMark/>
          </w:tcPr>
          <w:p w:rsidR="00722F51" w:rsidRPr="00B57DAB" w:rsidRDefault="00722F51" w:rsidP="00722F51">
            <w:pPr>
              <w:jc w:val="right"/>
              <w:rPr>
                <w:rFonts w:ascii="GHEA Grapalat" w:hAnsi="GHEA Grapalat"/>
                <w:sz w:val="18"/>
                <w:szCs w:val="18"/>
              </w:rPr>
            </w:pPr>
            <w:r w:rsidRPr="00B57DAB">
              <w:rPr>
                <w:rFonts w:ascii="GHEA Grapalat" w:hAnsi="GHEA Grapalat"/>
                <w:sz w:val="18"/>
                <w:szCs w:val="18"/>
              </w:rPr>
              <w:t>-</w:t>
            </w:r>
          </w:p>
        </w:tc>
        <w:tc>
          <w:tcPr>
            <w:tcW w:w="1122" w:type="dxa"/>
            <w:tcBorders>
              <w:top w:val="single" w:sz="4" w:space="0" w:color="auto"/>
              <w:left w:val="single" w:sz="4" w:space="0" w:color="auto"/>
              <w:bottom w:val="single" w:sz="4" w:space="0" w:color="auto"/>
              <w:right w:val="single" w:sz="4" w:space="0" w:color="auto"/>
            </w:tcBorders>
            <w:vAlign w:val="bottom"/>
            <w:hideMark/>
          </w:tcPr>
          <w:p w:rsidR="00722F51" w:rsidRPr="00B57DAB" w:rsidRDefault="00722F51" w:rsidP="00722F51">
            <w:pPr>
              <w:jc w:val="right"/>
              <w:rPr>
                <w:rFonts w:ascii="GHEA Grapalat" w:hAnsi="GHEA Grapalat"/>
                <w:sz w:val="18"/>
                <w:szCs w:val="18"/>
              </w:rPr>
            </w:pPr>
            <w:r w:rsidRPr="00B57DAB">
              <w:rPr>
                <w:rFonts w:ascii="GHEA Grapalat" w:hAnsi="GHEA Grapalat"/>
                <w:sz w:val="18"/>
                <w:szCs w:val="18"/>
              </w:rPr>
              <w:t>455.3</w:t>
            </w:r>
          </w:p>
        </w:tc>
        <w:tc>
          <w:tcPr>
            <w:tcW w:w="1203" w:type="dxa"/>
            <w:tcBorders>
              <w:top w:val="single" w:sz="4" w:space="0" w:color="auto"/>
              <w:left w:val="single" w:sz="4" w:space="0" w:color="auto"/>
              <w:bottom w:val="single" w:sz="4" w:space="0" w:color="auto"/>
              <w:right w:val="single" w:sz="4" w:space="0" w:color="auto"/>
            </w:tcBorders>
            <w:vAlign w:val="bottom"/>
            <w:hideMark/>
          </w:tcPr>
          <w:p w:rsidR="00722F51" w:rsidRPr="00B57DAB" w:rsidRDefault="00722F51" w:rsidP="00722F51">
            <w:pPr>
              <w:jc w:val="right"/>
              <w:rPr>
                <w:rFonts w:ascii="GHEA Grapalat" w:hAnsi="GHEA Grapalat"/>
                <w:sz w:val="18"/>
                <w:szCs w:val="18"/>
              </w:rPr>
            </w:pPr>
            <w:r w:rsidRPr="00B57DAB">
              <w:rPr>
                <w:rFonts w:ascii="GHEA Grapalat" w:hAnsi="GHEA Grapalat"/>
                <w:sz w:val="18"/>
                <w:szCs w:val="18"/>
              </w:rPr>
              <w:t>289.1</w:t>
            </w:r>
          </w:p>
        </w:tc>
        <w:tc>
          <w:tcPr>
            <w:tcW w:w="1203" w:type="dxa"/>
            <w:tcBorders>
              <w:top w:val="single" w:sz="4" w:space="0" w:color="auto"/>
              <w:left w:val="single" w:sz="4" w:space="0" w:color="auto"/>
              <w:bottom w:val="single" w:sz="4" w:space="0" w:color="auto"/>
              <w:right w:val="single" w:sz="4" w:space="0" w:color="auto"/>
            </w:tcBorders>
            <w:vAlign w:val="bottom"/>
            <w:hideMark/>
          </w:tcPr>
          <w:p w:rsidR="00722F51" w:rsidRPr="00B57DAB" w:rsidRDefault="00722F51" w:rsidP="00722F51">
            <w:pPr>
              <w:jc w:val="right"/>
              <w:rPr>
                <w:rFonts w:ascii="GHEA Grapalat" w:hAnsi="GHEA Grapalat"/>
                <w:sz w:val="18"/>
                <w:szCs w:val="18"/>
              </w:rPr>
            </w:pPr>
            <w:r w:rsidRPr="00B57DAB">
              <w:rPr>
                <w:rFonts w:ascii="GHEA Grapalat" w:hAnsi="GHEA Grapalat"/>
                <w:sz w:val="18"/>
                <w:szCs w:val="18"/>
              </w:rPr>
              <w:t>63.5</w:t>
            </w:r>
          </w:p>
        </w:tc>
        <w:tc>
          <w:tcPr>
            <w:tcW w:w="1203" w:type="dxa"/>
            <w:tcBorders>
              <w:top w:val="single" w:sz="4" w:space="0" w:color="auto"/>
              <w:left w:val="single" w:sz="4" w:space="0" w:color="auto"/>
              <w:bottom w:val="single" w:sz="4" w:space="0" w:color="auto"/>
              <w:right w:val="single" w:sz="4" w:space="0" w:color="auto"/>
            </w:tcBorders>
            <w:vAlign w:val="bottom"/>
            <w:hideMark/>
          </w:tcPr>
          <w:p w:rsidR="00722F51" w:rsidRPr="00B57DAB" w:rsidRDefault="00722F51" w:rsidP="00504BFB">
            <w:pPr>
              <w:jc w:val="right"/>
              <w:rPr>
                <w:rFonts w:ascii="GHEA Grapalat" w:hAnsi="GHEA Grapalat"/>
                <w:sz w:val="18"/>
                <w:szCs w:val="18"/>
              </w:rPr>
            </w:pPr>
            <w:r w:rsidRPr="00B57DAB">
              <w:rPr>
                <w:rFonts w:ascii="GHEA Grapalat" w:hAnsi="GHEA Grapalat" w:cs="Courier New"/>
                <w:sz w:val="18"/>
                <w:szCs w:val="18"/>
              </w:rPr>
              <w:t>-</w:t>
            </w:r>
          </w:p>
        </w:tc>
        <w:tc>
          <w:tcPr>
            <w:tcW w:w="1020" w:type="dxa"/>
            <w:tcBorders>
              <w:top w:val="single" w:sz="4" w:space="0" w:color="auto"/>
              <w:left w:val="single" w:sz="4" w:space="0" w:color="auto"/>
              <w:bottom w:val="single" w:sz="4" w:space="0" w:color="auto"/>
              <w:right w:val="single" w:sz="4" w:space="0" w:color="auto"/>
            </w:tcBorders>
            <w:vAlign w:val="bottom"/>
            <w:hideMark/>
          </w:tcPr>
          <w:p w:rsidR="00722F51" w:rsidRPr="00B57DAB" w:rsidRDefault="00A445B6" w:rsidP="00722F51">
            <w:pPr>
              <w:jc w:val="right"/>
              <w:rPr>
                <w:rFonts w:ascii="GHEA Grapalat" w:hAnsi="GHEA Grapalat"/>
                <w:sz w:val="18"/>
                <w:szCs w:val="18"/>
              </w:rPr>
            </w:pPr>
            <w:r w:rsidRPr="00B57DAB">
              <w:rPr>
                <w:rFonts w:ascii="GHEA Grapalat" w:hAnsi="GHEA Grapalat" w:cs="Courier New"/>
                <w:sz w:val="18"/>
                <w:szCs w:val="18"/>
              </w:rPr>
              <w:t>289.1</w:t>
            </w:r>
          </w:p>
        </w:tc>
      </w:tr>
      <w:tr w:rsidR="00722F51" w:rsidRPr="00B57DAB" w:rsidTr="00D06624">
        <w:trPr>
          <w:trHeight w:val="300"/>
          <w:jc w:val="center"/>
        </w:trPr>
        <w:tc>
          <w:tcPr>
            <w:tcW w:w="3388" w:type="dxa"/>
            <w:tcBorders>
              <w:top w:val="single" w:sz="4" w:space="0" w:color="auto"/>
              <w:left w:val="single" w:sz="4" w:space="0" w:color="auto"/>
              <w:bottom w:val="single" w:sz="4" w:space="0" w:color="auto"/>
              <w:right w:val="single" w:sz="4" w:space="0" w:color="auto"/>
            </w:tcBorders>
            <w:vAlign w:val="bottom"/>
            <w:hideMark/>
          </w:tcPr>
          <w:p w:rsidR="00722F51" w:rsidRPr="00B57DAB" w:rsidRDefault="00722F51" w:rsidP="00722F51">
            <w:pPr>
              <w:rPr>
                <w:rFonts w:ascii="GHEA Grapalat" w:hAnsi="GHEA Grapalat"/>
                <w:sz w:val="18"/>
                <w:szCs w:val="18"/>
              </w:rPr>
            </w:pPr>
            <w:r w:rsidRPr="00B57DAB">
              <w:rPr>
                <w:rFonts w:ascii="GHEA Grapalat" w:hAnsi="GHEA Grapalat"/>
                <w:sz w:val="18"/>
                <w:szCs w:val="18"/>
              </w:rPr>
              <w:t>Այլ ծրագրեր</w:t>
            </w:r>
          </w:p>
        </w:tc>
        <w:tc>
          <w:tcPr>
            <w:tcW w:w="1123" w:type="dxa"/>
            <w:tcBorders>
              <w:top w:val="single" w:sz="4" w:space="0" w:color="auto"/>
              <w:left w:val="single" w:sz="4" w:space="0" w:color="auto"/>
              <w:bottom w:val="single" w:sz="4" w:space="0" w:color="auto"/>
              <w:right w:val="single" w:sz="4" w:space="0" w:color="auto"/>
            </w:tcBorders>
            <w:vAlign w:val="bottom"/>
            <w:hideMark/>
          </w:tcPr>
          <w:p w:rsidR="00722F51" w:rsidRPr="00B57DAB" w:rsidRDefault="00722F51" w:rsidP="00722F51">
            <w:pPr>
              <w:jc w:val="right"/>
              <w:rPr>
                <w:rFonts w:ascii="GHEA Grapalat" w:hAnsi="GHEA Grapalat"/>
                <w:sz w:val="18"/>
                <w:szCs w:val="18"/>
              </w:rPr>
            </w:pPr>
            <w:r w:rsidRPr="00B57DAB">
              <w:rPr>
                <w:rFonts w:ascii="GHEA Grapalat" w:hAnsi="GHEA Grapalat"/>
                <w:sz w:val="18"/>
                <w:szCs w:val="18"/>
              </w:rPr>
              <w:t>337.4</w:t>
            </w:r>
          </w:p>
        </w:tc>
        <w:tc>
          <w:tcPr>
            <w:tcW w:w="1122" w:type="dxa"/>
            <w:tcBorders>
              <w:top w:val="single" w:sz="4" w:space="0" w:color="auto"/>
              <w:left w:val="single" w:sz="4" w:space="0" w:color="auto"/>
              <w:bottom w:val="single" w:sz="4" w:space="0" w:color="auto"/>
              <w:right w:val="single" w:sz="4" w:space="0" w:color="auto"/>
            </w:tcBorders>
            <w:vAlign w:val="bottom"/>
            <w:hideMark/>
          </w:tcPr>
          <w:p w:rsidR="00722F51" w:rsidRPr="00B57DAB" w:rsidRDefault="00722F51" w:rsidP="00722F51">
            <w:pPr>
              <w:jc w:val="right"/>
              <w:rPr>
                <w:rFonts w:ascii="GHEA Grapalat" w:hAnsi="GHEA Grapalat"/>
                <w:sz w:val="18"/>
                <w:szCs w:val="18"/>
              </w:rPr>
            </w:pPr>
            <w:r w:rsidRPr="00B57DAB">
              <w:rPr>
                <w:rFonts w:ascii="GHEA Grapalat" w:hAnsi="GHEA Grapalat"/>
                <w:sz w:val="18"/>
                <w:szCs w:val="18"/>
              </w:rPr>
              <w:t>566.7</w:t>
            </w:r>
          </w:p>
        </w:tc>
        <w:tc>
          <w:tcPr>
            <w:tcW w:w="1203" w:type="dxa"/>
            <w:tcBorders>
              <w:top w:val="single" w:sz="4" w:space="0" w:color="auto"/>
              <w:left w:val="single" w:sz="4" w:space="0" w:color="auto"/>
              <w:bottom w:val="single" w:sz="4" w:space="0" w:color="auto"/>
              <w:right w:val="single" w:sz="4" w:space="0" w:color="auto"/>
            </w:tcBorders>
            <w:vAlign w:val="bottom"/>
            <w:hideMark/>
          </w:tcPr>
          <w:p w:rsidR="00722F51" w:rsidRPr="00B57DAB" w:rsidRDefault="00722F51" w:rsidP="00722F51">
            <w:pPr>
              <w:jc w:val="right"/>
              <w:rPr>
                <w:rFonts w:ascii="GHEA Grapalat" w:hAnsi="GHEA Grapalat"/>
                <w:sz w:val="18"/>
                <w:szCs w:val="18"/>
              </w:rPr>
            </w:pPr>
            <w:r w:rsidRPr="00B57DAB">
              <w:rPr>
                <w:rFonts w:ascii="GHEA Grapalat" w:hAnsi="GHEA Grapalat"/>
                <w:sz w:val="18"/>
                <w:szCs w:val="18"/>
              </w:rPr>
              <w:t>381.4</w:t>
            </w:r>
          </w:p>
        </w:tc>
        <w:tc>
          <w:tcPr>
            <w:tcW w:w="1203" w:type="dxa"/>
            <w:tcBorders>
              <w:top w:val="single" w:sz="4" w:space="0" w:color="auto"/>
              <w:left w:val="single" w:sz="4" w:space="0" w:color="auto"/>
              <w:bottom w:val="single" w:sz="4" w:space="0" w:color="auto"/>
              <w:right w:val="single" w:sz="4" w:space="0" w:color="auto"/>
            </w:tcBorders>
            <w:vAlign w:val="bottom"/>
            <w:hideMark/>
          </w:tcPr>
          <w:p w:rsidR="00722F51" w:rsidRPr="00B57DAB" w:rsidRDefault="00722F51" w:rsidP="00722F51">
            <w:pPr>
              <w:jc w:val="right"/>
              <w:rPr>
                <w:rFonts w:ascii="GHEA Grapalat" w:hAnsi="GHEA Grapalat"/>
                <w:sz w:val="18"/>
                <w:szCs w:val="18"/>
              </w:rPr>
            </w:pPr>
            <w:r w:rsidRPr="00B57DAB">
              <w:rPr>
                <w:rFonts w:ascii="GHEA Grapalat" w:hAnsi="GHEA Grapalat"/>
                <w:sz w:val="18"/>
                <w:szCs w:val="18"/>
              </w:rPr>
              <w:t>67.3</w:t>
            </w:r>
          </w:p>
        </w:tc>
        <w:tc>
          <w:tcPr>
            <w:tcW w:w="1203" w:type="dxa"/>
            <w:tcBorders>
              <w:top w:val="single" w:sz="4" w:space="0" w:color="auto"/>
              <w:left w:val="single" w:sz="4" w:space="0" w:color="auto"/>
              <w:bottom w:val="single" w:sz="4" w:space="0" w:color="auto"/>
              <w:right w:val="single" w:sz="4" w:space="0" w:color="auto"/>
            </w:tcBorders>
            <w:vAlign w:val="bottom"/>
            <w:hideMark/>
          </w:tcPr>
          <w:p w:rsidR="00722F51" w:rsidRPr="00B57DAB" w:rsidRDefault="00722F51" w:rsidP="00504BFB">
            <w:pPr>
              <w:jc w:val="right"/>
              <w:rPr>
                <w:rFonts w:ascii="GHEA Grapalat" w:hAnsi="GHEA Grapalat"/>
                <w:sz w:val="18"/>
                <w:szCs w:val="18"/>
              </w:rPr>
            </w:pPr>
            <w:r w:rsidRPr="00B57DAB">
              <w:rPr>
                <w:rFonts w:ascii="GHEA Grapalat" w:hAnsi="GHEA Grapalat"/>
                <w:sz w:val="18"/>
                <w:szCs w:val="18"/>
              </w:rPr>
              <w:t>113.0</w:t>
            </w:r>
          </w:p>
        </w:tc>
        <w:tc>
          <w:tcPr>
            <w:tcW w:w="1020" w:type="dxa"/>
            <w:tcBorders>
              <w:top w:val="single" w:sz="4" w:space="0" w:color="auto"/>
              <w:left w:val="single" w:sz="4" w:space="0" w:color="auto"/>
              <w:bottom w:val="single" w:sz="4" w:space="0" w:color="auto"/>
              <w:right w:val="single" w:sz="4" w:space="0" w:color="auto"/>
            </w:tcBorders>
            <w:vAlign w:val="bottom"/>
            <w:hideMark/>
          </w:tcPr>
          <w:p w:rsidR="00722F51" w:rsidRPr="00B57DAB" w:rsidRDefault="00A445B6" w:rsidP="00722F51">
            <w:pPr>
              <w:jc w:val="right"/>
              <w:rPr>
                <w:rFonts w:ascii="GHEA Grapalat" w:hAnsi="GHEA Grapalat"/>
                <w:sz w:val="18"/>
                <w:szCs w:val="18"/>
              </w:rPr>
            </w:pPr>
            <w:r w:rsidRPr="00B57DAB">
              <w:rPr>
                <w:rFonts w:ascii="GHEA Grapalat" w:hAnsi="GHEA Grapalat"/>
                <w:sz w:val="18"/>
                <w:szCs w:val="18"/>
              </w:rPr>
              <w:t>44.0</w:t>
            </w:r>
          </w:p>
        </w:tc>
      </w:tr>
    </w:tbl>
    <w:p w:rsidR="008B74FB" w:rsidRPr="00B57DAB" w:rsidRDefault="008B74FB" w:rsidP="008B74FB">
      <w:pPr>
        <w:autoSpaceDE w:val="0"/>
        <w:autoSpaceDN w:val="0"/>
        <w:adjustRightInd w:val="0"/>
        <w:spacing w:line="360" w:lineRule="auto"/>
        <w:ind w:firstLine="567"/>
        <w:jc w:val="both"/>
        <w:rPr>
          <w:rFonts w:ascii="GHEA Grapalat" w:hAnsi="GHEA Grapalat"/>
          <w:sz w:val="20"/>
          <w:szCs w:val="20"/>
        </w:rPr>
      </w:pPr>
    </w:p>
    <w:p w:rsidR="008B74FB" w:rsidRPr="00B57DAB" w:rsidRDefault="008B74FB" w:rsidP="008B74FB">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Sylfaen"/>
          <w:sz w:val="22"/>
          <w:szCs w:val="22"/>
        </w:rPr>
        <w:t>Հաշվետու ժամանակահատվածում</w:t>
      </w:r>
      <w:r w:rsidRPr="00B57DAB">
        <w:rPr>
          <w:rFonts w:ascii="GHEA Grapalat" w:hAnsi="GHEA Grapalat"/>
          <w:sz w:val="22"/>
          <w:szCs w:val="22"/>
        </w:rPr>
        <w:t xml:space="preserve"> </w:t>
      </w:r>
      <w:r w:rsidRPr="00B57DAB">
        <w:rPr>
          <w:rFonts w:ascii="GHEA Grapalat" w:hAnsi="GHEA Grapalat" w:cs="GHEA Grapalat"/>
          <w:i/>
          <w:sz w:val="22"/>
          <w:szCs w:val="22"/>
        </w:rPr>
        <w:t>ՀՀ պաշտպանության ապահովման</w:t>
      </w:r>
      <w:r w:rsidRPr="00B57DAB">
        <w:rPr>
          <w:rFonts w:ascii="GHEA Grapalat" w:hAnsi="GHEA Grapalat"/>
          <w:sz w:val="22"/>
          <w:szCs w:val="22"/>
        </w:rPr>
        <w:t xml:space="preserve"> ծրագրի շրջանակներում օգտագործվել է </w:t>
      </w:r>
      <w:r w:rsidRPr="00B57DAB">
        <w:rPr>
          <w:rFonts w:ascii="GHEA Grapalat" w:hAnsi="GHEA Grapalat" w:cs="GHEA Grapalat"/>
          <w:sz w:val="22"/>
          <w:szCs w:val="22"/>
          <w:lang w:val="ru-RU"/>
        </w:rPr>
        <w:t xml:space="preserve">շուրջ </w:t>
      </w:r>
      <w:r w:rsidRPr="00B57DAB">
        <w:rPr>
          <w:rFonts w:ascii="GHEA Grapalat" w:hAnsi="GHEA Grapalat"/>
          <w:sz w:val="22"/>
          <w:szCs w:val="22"/>
        </w:rPr>
        <w:t xml:space="preserve">67.8 մլրդ դրամ կամ նախատեսված միջոցների 83%-ը: </w:t>
      </w:r>
      <w:r w:rsidRPr="00B57DAB">
        <w:rPr>
          <w:rFonts w:ascii="GHEA Grapalat" w:hAnsi="GHEA Grapalat" w:cs="GHEA Grapalat"/>
          <w:sz w:val="22"/>
          <w:szCs w:val="22"/>
        </w:rPr>
        <w:t xml:space="preserve">Շեղումը հիմնականում պայմանավորված է </w:t>
      </w:r>
      <w:r w:rsidR="002C0576" w:rsidRPr="00B57DAB">
        <w:rPr>
          <w:rFonts w:ascii="GHEA Grapalat" w:hAnsi="GHEA Grapalat" w:cs="GHEA Grapalat"/>
          <w:sz w:val="22"/>
          <w:szCs w:val="22"/>
        </w:rPr>
        <w:t>«Ռ</w:t>
      </w:r>
      <w:r w:rsidRPr="00B57DAB">
        <w:rPr>
          <w:rFonts w:ascii="GHEA Grapalat" w:hAnsi="GHEA Grapalat" w:cs="GHEA Grapalat"/>
          <w:sz w:val="22"/>
          <w:szCs w:val="22"/>
        </w:rPr>
        <w:t>ազմական կարիքների բավարար</w:t>
      </w:r>
      <w:r w:rsidR="002C0576" w:rsidRPr="00B57DAB">
        <w:rPr>
          <w:rFonts w:ascii="GHEA Grapalat" w:hAnsi="GHEA Grapalat" w:cs="GHEA Grapalat"/>
          <w:sz w:val="22"/>
          <w:szCs w:val="22"/>
        </w:rPr>
        <w:t>ում» միջոցառման</w:t>
      </w:r>
      <w:r w:rsidRPr="00B57DAB">
        <w:rPr>
          <w:rFonts w:ascii="GHEA Grapalat" w:hAnsi="GHEA Grapalat" w:cs="GHEA Grapalat"/>
          <w:sz w:val="22"/>
          <w:szCs w:val="22"/>
        </w:rPr>
        <w:t xml:space="preserve"> կատարողականով: </w:t>
      </w:r>
      <w:r w:rsidRPr="00B57DAB">
        <w:rPr>
          <w:rFonts w:ascii="GHEA Grapalat" w:hAnsi="GHEA Grapalat" w:cs="Sylfaen"/>
          <w:sz w:val="22"/>
          <w:szCs w:val="22"/>
        </w:rPr>
        <w:t xml:space="preserve">Հատկացված միջոցներն ուղղվել են չորս միջոցառումների իրականացմանը, որոնցից երկուսի համար նախատեսված 22.4 մլն դրամ միջոցներն օգտագործվել են </w:t>
      </w:r>
      <w:r w:rsidRPr="00B57DAB">
        <w:rPr>
          <w:rFonts w:ascii="GHEA Grapalat" w:hAnsi="GHEA Grapalat"/>
          <w:sz w:val="22"/>
          <w:szCs w:val="22"/>
        </w:rPr>
        <w:t>ամբողջությամբ</w:t>
      </w:r>
      <w:r w:rsidRPr="00B57DAB">
        <w:rPr>
          <w:rFonts w:ascii="GHEA Grapalat" w:hAnsi="GHEA Grapalat" w:cs="GHEA Grapalat"/>
          <w:sz w:val="22"/>
          <w:szCs w:val="22"/>
        </w:rPr>
        <w:t>: Ծրագրի շրջանակներում 40.4 մլրդ դրամ է ուղղվել ռազմական կարիքների բավարարմանը՝ ապահովելով 78% կատարողական, շուրջ 27.4 մլրդ դրամ՝ ՀՀ պաշտպանության նախարարության շենքային պայմանների բարելավմանը՝ կազմելով նախատեսվածի 91.7%-ը: Կատարողականի նշված ցուցանիշները պայմանավորված են գնման գործընթացի արդյունքում պայմանագրերի՝ նախատեսվածից ցածր գներով, ինչպես նաև սահմանված հիմքերով և ընթացակարգերով հաշվառման մեջ պարտավորությունների ձևակերպումների բացակայությամբ: Նախորդ տարվա առաջին եռամսյակի համեմատ ՀՀ պաշտպանության ապահովման ծրագրի ծախսերը նվազել են 18.1%-ով կամ 14.9 մլրդ դրամով՝ հիմնականում պայմանավորված ՀՀ պաշտպանության նախարարության շենքային պայմանների բարելավման</w:t>
      </w:r>
      <w:r w:rsidR="0054001E" w:rsidRPr="00B57DAB">
        <w:rPr>
          <w:rFonts w:ascii="GHEA Grapalat" w:hAnsi="GHEA Grapalat" w:cs="GHEA Grapalat"/>
          <w:sz w:val="22"/>
          <w:szCs w:val="22"/>
        </w:rPr>
        <w:t xml:space="preserve"> ծախսերի 34.1% (14.2 մլրդ դրամ</w:t>
      </w:r>
      <w:r w:rsidRPr="00B57DAB">
        <w:rPr>
          <w:rFonts w:ascii="GHEA Grapalat" w:hAnsi="GHEA Grapalat" w:cs="GHEA Grapalat"/>
          <w:sz w:val="22"/>
          <w:szCs w:val="22"/>
        </w:rPr>
        <w:t xml:space="preserve">) նվազմամբ: </w:t>
      </w:r>
    </w:p>
    <w:p w:rsidR="008B74FB" w:rsidRPr="00B57DAB" w:rsidRDefault="008B74FB" w:rsidP="008B74FB">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 xml:space="preserve">2022 թվականին առաջին եռամսյակում </w:t>
      </w:r>
      <w:r w:rsidRPr="00B57DAB">
        <w:rPr>
          <w:rFonts w:ascii="GHEA Grapalat" w:hAnsi="GHEA Grapalat" w:cs="GHEA Grapalat"/>
          <w:i/>
          <w:sz w:val="22"/>
          <w:szCs w:val="22"/>
        </w:rPr>
        <w:t>Ռազմաբժշկական սպասարկման և առողջապահական ծառայությունների</w:t>
      </w:r>
      <w:r w:rsidRPr="00B57DAB">
        <w:rPr>
          <w:rFonts w:ascii="GHEA Grapalat" w:hAnsi="GHEA Grapalat" w:cs="GHEA Grapalat"/>
          <w:sz w:val="22"/>
          <w:szCs w:val="22"/>
        </w:rPr>
        <w:t xml:space="preserve"> ծրագրի </w:t>
      </w:r>
      <w:r w:rsidRPr="00B57DAB">
        <w:rPr>
          <w:rFonts w:ascii="GHEA Grapalat" w:hAnsi="GHEA Grapalat" w:cs="Sylfaen"/>
          <w:sz w:val="22"/>
          <w:szCs w:val="22"/>
        </w:rPr>
        <w:t>ծախսերը կազմել են 289.1 մլն</w:t>
      </w:r>
      <w:r w:rsidRPr="00B57DAB">
        <w:rPr>
          <w:rFonts w:ascii="GHEA Grapalat" w:hAnsi="GHEA Grapalat" w:cs="GHEA Grapalat"/>
          <w:sz w:val="22"/>
          <w:szCs w:val="22"/>
        </w:rPr>
        <w:t xml:space="preserve"> դրամ</w:t>
      </w:r>
      <w:r w:rsidRPr="00B57DAB">
        <w:rPr>
          <w:rFonts w:ascii="GHEA Grapalat" w:hAnsi="GHEA Grapalat" w:cs="Sylfaen"/>
          <w:sz w:val="22"/>
          <w:szCs w:val="22"/>
        </w:rPr>
        <w:t xml:space="preserve"> կամ ծրագրված ցուցանիշի </w:t>
      </w:r>
      <w:r w:rsidRPr="00B57DAB">
        <w:rPr>
          <w:rFonts w:ascii="GHEA Grapalat" w:hAnsi="GHEA Grapalat" w:cs="GHEA Grapalat"/>
          <w:sz w:val="22"/>
          <w:szCs w:val="22"/>
        </w:rPr>
        <w:t xml:space="preserve">63.5%-ը: </w:t>
      </w:r>
      <w:r w:rsidR="009D7665" w:rsidRPr="00B57DAB">
        <w:rPr>
          <w:rFonts w:ascii="GHEA Grapalat" w:hAnsi="GHEA Grapalat" w:cs="GHEA Grapalat"/>
          <w:sz w:val="22"/>
          <w:szCs w:val="22"/>
        </w:rPr>
        <w:t>Չ</w:t>
      </w:r>
      <w:r w:rsidRPr="00B57DAB">
        <w:rPr>
          <w:rFonts w:ascii="GHEA Grapalat" w:hAnsi="GHEA Grapalat"/>
          <w:sz w:val="22"/>
          <w:szCs w:val="22"/>
        </w:rPr>
        <w:t>են օգտագործվել ծրագրում ընդգրկված չորս միջոցառումնե</w:t>
      </w:r>
      <w:r w:rsidR="009D7665" w:rsidRPr="00B57DAB">
        <w:rPr>
          <w:rFonts w:ascii="GHEA Grapalat" w:hAnsi="GHEA Grapalat"/>
          <w:sz w:val="22"/>
          <w:szCs w:val="22"/>
        </w:rPr>
        <w:t>րի համար նախատեսված շուրջ 166.2</w:t>
      </w:r>
      <w:r w:rsidR="009D7665" w:rsidRPr="00B57DAB">
        <w:rPr>
          <w:rFonts w:ascii="Courier New" w:hAnsi="Courier New" w:cs="Courier New"/>
          <w:sz w:val="22"/>
          <w:szCs w:val="22"/>
        </w:rPr>
        <w:t> </w:t>
      </w:r>
      <w:r w:rsidRPr="00B57DAB">
        <w:rPr>
          <w:rFonts w:ascii="GHEA Grapalat" w:hAnsi="GHEA Grapalat"/>
          <w:sz w:val="22"/>
          <w:szCs w:val="22"/>
        </w:rPr>
        <w:t>մլն դրամ միջոցները</w:t>
      </w:r>
      <w:r w:rsidR="009D7665" w:rsidRPr="00B57DAB">
        <w:rPr>
          <w:rFonts w:ascii="GHEA Grapalat" w:hAnsi="GHEA Grapalat"/>
          <w:sz w:val="22"/>
          <w:szCs w:val="22"/>
        </w:rPr>
        <w:t>՝</w:t>
      </w:r>
      <w:r w:rsidRPr="00B57DAB">
        <w:rPr>
          <w:rFonts w:ascii="GHEA Grapalat" w:hAnsi="GHEA Grapalat"/>
          <w:sz w:val="22"/>
          <w:szCs w:val="22"/>
        </w:rPr>
        <w:t xml:space="preserve"> պայմանավորված սահմանված հիմքերով և ընթացակարգերով </w:t>
      </w:r>
      <w:r w:rsidRPr="00B57DAB">
        <w:rPr>
          <w:rFonts w:ascii="GHEA Grapalat" w:hAnsi="GHEA Grapalat"/>
          <w:sz w:val="22"/>
          <w:szCs w:val="22"/>
        </w:rPr>
        <w:lastRenderedPageBreak/>
        <w:t>հաշվառման մեջ պարտավորությունների ձևակերպումների բացակայությամբ:</w:t>
      </w:r>
      <w:r w:rsidRPr="00B57DAB">
        <w:rPr>
          <w:rFonts w:ascii="GHEA Grapalat" w:hAnsi="GHEA Grapalat" w:cs="GHEA Grapalat"/>
          <w:sz w:val="22"/>
          <w:szCs w:val="22"/>
        </w:rPr>
        <w:t xml:space="preserve"> Ծրագրի շրջանակներում հատկացված միջոցներն </w:t>
      </w:r>
      <w:r w:rsidR="009D7665" w:rsidRPr="00B57DAB">
        <w:rPr>
          <w:rFonts w:ascii="GHEA Grapalat" w:hAnsi="GHEA Grapalat" w:cs="GHEA Grapalat"/>
          <w:sz w:val="22"/>
          <w:szCs w:val="22"/>
        </w:rPr>
        <w:t>ուղղ</w:t>
      </w:r>
      <w:r w:rsidRPr="00B57DAB">
        <w:rPr>
          <w:rFonts w:ascii="GHEA Grapalat" w:hAnsi="GHEA Grapalat" w:cs="GHEA Grapalat"/>
          <w:sz w:val="22"/>
          <w:szCs w:val="22"/>
        </w:rPr>
        <w:t xml:space="preserve">վել են 2 </w:t>
      </w:r>
      <w:r w:rsidR="009D7665" w:rsidRPr="00B57DAB">
        <w:rPr>
          <w:rFonts w:ascii="GHEA Grapalat" w:hAnsi="GHEA Grapalat" w:cs="GHEA Grapalat"/>
          <w:sz w:val="22"/>
          <w:szCs w:val="22"/>
        </w:rPr>
        <w:t>զինծառայողի</w:t>
      </w:r>
      <w:r w:rsidRPr="00B57DAB">
        <w:rPr>
          <w:rFonts w:ascii="GHEA Grapalat" w:hAnsi="GHEA Grapalat" w:cs="GHEA Grapalat"/>
          <w:sz w:val="22"/>
          <w:szCs w:val="22"/>
        </w:rPr>
        <w:t xml:space="preserve"> </w:t>
      </w:r>
      <w:r w:rsidRPr="00B57DAB">
        <w:rPr>
          <w:rFonts w:ascii="GHEA Grapalat" w:hAnsi="GHEA Grapalat"/>
          <w:sz w:val="22"/>
          <w:szCs w:val="22"/>
        </w:rPr>
        <w:t xml:space="preserve">առողջական վիճակի բարելավման նպատակով </w:t>
      </w:r>
      <w:r w:rsidRPr="00B57DAB">
        <w:rPr>
          <w:rFonts w:ascii="GHEA Grapalat" w:hAnsi="GHEA Grapalat" w:cs="GHEA Grapalat"/>
          <w:sz w:val="22"/>
          <w:szCs w:val="22"/>
        </w:rPr>
        <w:t>Հայաստանի Հանրապետությունից դուրս բժշկական օգնութ</w:t>
      </w:r>
      <w:r w:rsidR="009D7665" w:rsidRPr="00B57DAB">
        <w:rPr>
          <w:rFonts w:ascii="GHEA Grapalat" w:hAnsi="GHEA Grapalat" w:cs="GHEA Grapalat"/>
          <w:sz w:val="22"/>
          <w:szCs w:val="22"/>
        </w:rPr>
        <w:t>յան ծառայությունների ձեռքբերմանը</w:t>
      </w:r>
      <w:r w:rsidRPr="00B57DAB">
        <w:rPr>
          <w:rFonts w:ascii="GHEA Grapalat" w:hAnsi="GHEA Grapalat" w:cs="GHEA Grapalat"/>
          <w:sz w:val="22"/>
          <w:szCs w:val="22"/>
        </w:rPr>
        <w:t>: 2021 թվականի առաջին եռամսյակում Ռազմաբժշկական սպասարկման և առողջապահական ծառայությունների ծրագրին հատկացված միջոցները չէին օգտագործվել:</w:t>
      </w:r>
    </w:p>
    <w:p w:rsidR="008B74FB" w:rsidRPr="00B57DAB" w:rsidRDefault="008B74FB" w:rsidP="008B74FB">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 xml:space="preserve">Այլ ծրագրերում ընդգրկված՝ </w:t>
      </w:r>
      <w:r w:rsidRPr="00B57DAB">
        <w:rPr>
          <w:rFonts w:ascii="GHEA Grapalat" w:hAnsi="GHEA Grapalat" w:cs="GHEA Grapalat"/>
          <w:i/>
          <w:sz w:val="22"/>
          <w:szCs w:val="22"/>
        </w:rPr>
        <w:t>Միջազգային ռազմական համագործակցության</w:t>
      </w:r>
      <w:r w:rsidRPr="00B57DAB">
        <w:rPr>
          <w:rFonts w:ascii="GHEA Grapalat" w:hAnsi="GHEA Grapalat" w:cs="GHEA Grapalat"/>
          <w:sz w:val="22"/>
          <w:szCs w:val="22"/>
        </w:rPr>
        <w:t xml:space="preserve"> ծրագրի ծախսերը կազմել են 196.9 մլն դրամ՝ ապահովելով 83.4% կատարողական: Միջոցներն օգտագործվել են 13 երկրներում</w:t>
      </w:r>
      <w:r w:rsidR="00DB7CC4" w:rsidRPr="00B57DAB">
        <w:rPr>
          <w:rFonts w:ascii="GHEA Grapalat" w:hAnsi="GHEA Grapalat" w:cs="GHEA Grapalat"/>
          <w:sz w:val="22"/>
          <w:szCs w:val="22"/>
        </w:rPr>
        <w:t xml:space="preserve"> 11 ՀՀ ռազմական կցորդների</w:t>
      </w:r>
      <w:r w:rsidRPr="00B57DAB">
        <w:rPr>
          <w:rFonts w:ascii="GHEA Grapalat" w:hAnsi="GHEA Grapalat" w:cs="GHEA Grapalat"/>
          <w:sz w:val="22"/>
          <w:szCs w:val="22"/>
        </w:rPr>
        <w:t xml:space="preserve"> և </w:t>
      </w:r>
      <w:r w:rsidR="00DB7CC4" w:rsidRPr="00B57DAB">
        <w:rPr>
          <w:rFonts w:ascii="GHEA Grapalat" w:hAnsi="GHEA Grapalat" w:cs="GHEA Grapalat"/>
          <w:sz w:val="22"/>
          <w:szCs w:val="22"/>
        </w:rPr>
        <w:t xml:space="preserve">միջազգային կազմակերպություններում ռազմական և ռազմաքաղաքական 5 ներկայացուցիչների </w:t>
      </w:r>
      <w:r w:rsidRPr="00B57DAB">
        <w:rPr>
          <w:rFonts w:ascii="GHEA Grapalat" w:hAnsi="GHEA Grapalat" w:cs="GHEA Grapalat"/>
          <w:sz w:val="22"/>
          <w:szCs w:val="22"/>
        </w:rPr>
        <w:t>պահպանման նպատակով: Նախորդ տարվա առաջին եռամսյակի համեմատ նշված ծախսերը նվազել են 8.8%-ով կամ 19.1 մլն դրամով:</w:t>
      </w:r>
    </w:p>
    <w:p w:rsidR="003F2149" w:rsidRPr="00B57DAB" w:rsidRDefault="003F2149" w:rsidP="003F2149">
      <w:pPr>
        <w:autoSpaceDE w:val="0"/>
        <w:autoSpaceDN w:val="0"/>
        <w:adjustRightInd w:val="0"/>
        <w:spacing w:line="360" w:lineRule="auto"/>
        <w:ind w:firstLine="567"/>
        <w:jc w:val="both"/>
        <w:rPr>
          <w:rFonts w:ascii="GHEA Grapalat" w:hAnsi="GHEA Grapalat" w:cs="GHEA Grapalat"/>
          <w:sz w:val="22"/>
          <w:szCs w:val="22"/>
          <w:lang w:val="hy-AM"/>
        </w:rPr>
      </w:pPr>
    </w:p>
    <w:p w:rsidR="008A20E7" w:rsidRPr="00B57DAB" w:rsidRDefault="003F2149" w:rsidP="008A20E7">
      <w:pPr>
        <w:autoSpaceDE w:val="0"/>
        <w:autoSpaceDN w:val="0"/>
        <w:adjustRightInd w:val="0"/>
        <w:spacing w:line="360" w:lineRule="auto"/>
        <w:ind w:firstLine="567"/>
        <w:jc w:val="both"/>
        <w:rPr>
          <w:rFonts w:ascii="GHEA Grapalat" w:hAnsi="GHEA Grapalat" w:cs="Arial"/>
          <w:sz w:val="22"/>
          <w:szCs w:val="22"/>
          <w:lang w:val="zu-ZA"/>
        </w:rPr>
      </w:pPr>
      <w:r w:rsidRPr="00B57DAB">
        <w:rPr>
          <w:rFonts w:ascii="GHEA Grapalat" w:hAnsi="GHEA Grapalat" w:cs="Arial"/>
          <w:i/>
          <w:sz w:val="22"/>
          <w:szCs w:val="22"/>
          <w:u w:val="single"/>
        </w:rPr>
        <w:t>ՀՀ</w:t>
      </w:r>
      <w:r w:rsidRPr="00B57DAB">
        <w:rPr>
          <w:rFonts w:ascii="GHEA Grapalat" w:hAnsi="GHEA Grapalat"/>
          <w:i/>
          <w:sz w:val="22"/>
          <w:szCs w:val="22"/>
          <w:u w:val="single"/>
        </w:rPr>
        <w:t xml:space="preserve"> </w:t>
      </w:r>
      <w:r w:rsidRPr="00B57DAB">
        <w:rPr>
          <w:rFonts w:ascii="GHEA Grapalat" w:hAnsi="GHEA Grapalat" w:cs="Arial"/>
          <w:i/>
          <w:sz w:val="22"/>
          <w:szCs w:val="22"/>
          <w:u w:val="single"/>
        </w:rPr>
        <w:t>աշխատանքի</w:t>
      </w:r>
      <w:r w:rsidRPr="00B57DAB">
        <w:rPr>
          <w:rFonts w:ascii="GHEA Grapalat" w:hAnsi="GHEA Grapalat"/>
          <w:i/>
          <w:sz w:val="22"/>
          <w:szCs w:val="22"/>
          <w:u w:val="single"/>
        </w:rPr>
        <w:t xml:space="preserve"> </w:t>
      </w:r>
      <w:r w:rsidRPr="00B57DAB">
        <w:rPr>
          <w:rFonts w:ascii="GHEA Grapalat" w:hAnsi="GHEA Grapalat" w:cs="Arial"/>
          <w:i/>
          <w:sz w:val="22"/>
          <w:szCs w:val="22"/>
          <w:u w:val="single"/>
        </w:rPr>
        <w:t>և</w:t>
      </w:r>
      <w:r w:rsidRPr="00B57DAB">
        <w:rPr>
          <w:rFonts w:ascii="GHEA Grapalat" w:hAnsi="GHEA Grapalat"/>
          <w:i/>
          <w:sz w:val="22"/>
          <w:szCs w:val="22"/>
          <w:u w:val="single"/>
        </w:rPr>
        <w:t xml:space="preserve"> </w:t>
      </w:r>
      <w:r w:rsidRPr="00B57DAB">
        <w:rPr>
          <w:rFonts w:ascii="GHEA Grapalat" w:hAnsi="GHEA Grapalat" w:cs="Arial"/>
          <w:i/>
          <w:sz w:val="22"/>
          <w:szCs w:val="22"/>
          <w:u w:val="single"/>
        </w:rPr>
        <w:t>սոցիալական</w:t>
      </w:r>
      <w:r w:rsidRPr="00B57DAB">
        <w:rPr>
          <w:rFonts w:ascii="GHEA Grapalat" w:hAnsi="GHEA Grapalat"/>
          <w:i/>
          <w:sz w:val="22"/>
          <w:szCs w:val="22"/>
          <w:u w:val="single"/>
        </w:rPr>
        <w:t xml:space="preserve"> </w:t>
      </w:r>
      <w:r w:rsidRPr="00B57DAB">
        <w:rPr>
          <w:rFonts w:ascii="GHEA Grapalat" w:hAnsi="GHEA Grapalat" w:cs="Arial"/>
          <w:i/>
          <w:sz w:val="22"/>
          <w:szCs w:val="22"/>
          <w:u w:val="single"/>
        </w:rPr>
        <w:t>հարցերի</w:t>
      </w:r>
      <w:r w:rsidRPr="00B57DAB">
        <w:rPr>
          <w:rFonts w:ascii="GHEA Grapalat" w:hAnsi="GHEA Grapalat"/>
          <w:i/>
          <w:sz w:val="22"/>
          <w:szCs w:val="22"/>
          <w:u w:val="single"/>
        </w:rPr>
        <w:t xml:space="preserve"> </w:t>
      </w:r>
      <w:r w:rsidRPr="00B57DAB">
        <w:rPr>
          <w:rFonts w:ascii="GHEA Grapalat" w:hAnsi="GHEA Grapalat" w:cs="Arial"/>
          <w:i/>
          <w:sz w:val="22"/>
          <w:szCs w:val="22"/>
          <w:u w:val="single"/>
        </w:rPr>
        <w:t>նախարարության</w:t>
      </w:r>
      <w:r w:rsidRPr="00B57DAB">
        <w:rPr>
          <w:rFonts w:ascii="GHEA Grapalat" w:hAnsi="GHEA Grapalat"/>
          <w:sz w:val="22"/>
          <w:szCs w:val="22"/>
        </w:rPr>
        <w:t xml:space="preserve"> </w:t>
      </w:r>
      <w:r w:rsidR="008A20E7" w:rsidRPr="00B57DAB">
        <w:rPr>
          <w:rFonts w:ascii="GHEA Grapalat" w:hAnsi="GHEA Grapalat"/>
          <w:sz w:val="22"/>
          <w:szCs w:val="22"/>
        </w:rPr>
        <w:t xml:space="preserve">պատասխանատվությամբ 2022 թվականի առաջին եռամսյակի ընթացքում կատարվել են 16 ծրագրեր, որոնց ուղղվել է </w:t>
      </w:r>
      <w:r w:rsidR="008A20E7" w:rsidRPr="00B57DAB">
        <w:rPr>
          <w:rFonts w:ascii="GHEA Grapalat" w:hAnsi="GHEA Grapalat" w:cs="Sylfaen"/>
          <w:sz w:val="22"/>
          <w:szCs w:val="22"/>
        </w:rPr>
        <w:t>շուրջ 143.8</w:t>
      </w:r>
      <w:r w:rsidR="00A41200" w:rsidRPr="00B57DAB">
        <w:rPr>
          <w:rFonts w:ascii="Courier New" w:hAnsi="Courier New" w:cs="Courier New"/>
          <w:sz w:val="22"/>
          <w:szCs w:val="22"/>
        </w:rPr>
        <w:t> </w:t>
      </w:r>
      <w:r w:rsidR="008A20E7" w:rsidRPr="00B57DAB">
        <w:rPr>
          <w:rFonts w:ascii="GHEA Grapalat" w:hAnsi="GHEA Grapalat" w:cs="Sylfaen"/>
          <w:sz w:val="22"/>
          <w:szCs w:val="22"/>
        </w:rPr>
        <w:t>մլրդ դրամ՝</w:t>
      </w:r>
      <w:r w:rsidR="008A20E7" w:rsidRPr="00B57DAB">
        <w:rPr>
          <w:rFonts w:ascii="GHEA Grapalat" w:hAnsi="GHEA Grapalat" w:cs="Times Armenian"/>
          <w:sz w:val="22"/>
          <w:szCs w:val="22"/>
        </w:rPr>
        <w:t xml:space="preserve"> </w:t>
      </w:r>
      <w:r w:rsidR="008A20E7" w:rsidRPr="00B57DAB">
        <w:rPr>
          <w:rFonts w:ascii="GHEA Grapalat" w:hAnsi="GHEA Grapalat" w:cs="Sylfaen"/>
          <w:sz w:val="22"/>
          <w:szCs w:val="22"/>
        </w:rPr>
        <w:t>ապահովելով</w:t>
      </w:r>
      <w:r w:rsidR="008A20E7" w:rsidRPr="00B57DAB">
        <w:rPr>
          <w:rFonts w:ascii="GHEA Grapalat" w:hAnsi="GHEA Grapalat" w:cs="Times Armenian"/>
          <w:sz w:val="22"/>
          <w:szCs w:val="22"/>
        </w:rPr>
        <w:t xml:space="preserve"> եռամսյա </w:t>
      </w:r>
      <w:r w:rsidR="008A20E7" w:rsidRPr="00B57DAB">
        <w:rPr>
          <w:rFonts w:ascii="GHEA Grapalat" w:hAnsi="GHEA Grapalat" w:cs="Sylfaen"/>
          <w:sz w:val="22"/>
          <w:szCs w:val="22"/>
        </w:rPr>
        <w:t>ծրագրված ցուցանիշի 91</w:t>
      </w:r>
      <w:r w:rsidR="008A20E7" w:rsidRPr="00B57DAB">
        <w:rPr>
          <w:rFonts w:ascii="GHEA Grapalat" w:hAnsi="GHEA Grapalat" w:cs="Times Armenian"/>
          <w:sz w:val="22"/>
          <w:szCs w:val="22"/>
        </w:rPr>
        <w:t>%-ը, ընդ որում բոլոր ծրագրերում արձանագրվել են շեղումներ:</w:t>
      </w:r>
      <w:r w:rsidR="008B34AD" w:rsidRPr="00B57DAB">
        <w:rPr>
          <w:rFonts w:ascii="GHEA Grapalat" w:hAnsi="GHEA Grapalat" w:cs="Times Armenian"/>
          <w:sz w:val="22"/>
          <w:szCs w:val="22"/>
        </w:rPr>
        <w:t xml:space="preserve"> Առավել խոշոր շեղումն արձանագրվել է Կենսաթոշակային ապահովության ծրագրում:</w:t>
      </w:r>
      <w:r w:rsidR="008A20E7" w:rsidRPr="00B57DAB">
        <w:rPr>
          <w:rFonts w:ascii="GHEA Grapalat" w:hAnsi="GHEA Grapalat" w:cs="Times Armenian"/>
          <w:sz w:val="22"/>
          <w:szCs w:val="22"/>
        </w:rPr>
        <w:t xml:space="preserve"> </w:t>
      </w:r>
      <w:r w:rsidR="008A20E7" w:rsidRPr="00B57DAB">
        <w:rPr>
          <w:rFonts w:ascii="GHEA Grapalat" w:hAnsi="GHEA Grapalat" w:cs="Arial"/>
          <w:sz w:val="22"/>
          <w:szCs w:val="22"/>
          <w:lang w:val="zu-ZA"/>
        </w:rPr>
        <w:t xml:space="preserve">2021 թվականի նույն </w:t>
      </w:r>
      <w:r w:rsidR="008A20E7" w:rsidRPr="00B57DAB">
        <w:rPr>
          <w:rFonts w:ascii="GHEA Grapalat" w:hAnsi="GHEA Grapalat" w:cs="Sylfaen"/>
          <w:sz w:val="22"/>
          <w:szCs w:val="22"/>
        </w:rPr>
        <w:t>ժամանակահատվածի</w:t>
      </w:r>
      <w:r w:rsidR="008A20E7" w:rsidRPr="00B57DAB">
        <w:rPr>
          <w:rFonts w:ascii="GHEA Grapalat" w:hAnsi="GHEA Grapalat" w:cs="Arial"/>
          <w:sz w:val="22"/>
          <w:szCs w:val="22"/>
          <w:lang w:val="zu-ZA"/>
        </w:rPr>
        <w:t xml:space="preserve"> համեմատ </w:t>
      </w:r>
      <w:r w:rsidR="008A20E7" w:rsidRPr="00B57DAB">
        <w:rPr>
          <w:rFonts w:ascii="GHEA Grapalat" w:hAnsi="GHEA Grapalat" w:cs="Arial"/>
          <w:sz w:val="22"/>
          <w:szCs w:val="22"/>
        </w:rPr>
        <w:t>աշխատանքի</w:t>
      </w:r>
      <w:r w:rsidR="008A20E7" w:rsidRPr="00B57DAB">
        <w:rPr>
          <w:rFonts w:ascii="GHEA Grapalat" w:hAnsi="GHEA Grapalat"/>
          <w:sz w:val="22"/>
          <w:szCs w:val="22"/>
        </w:rPr>
        <w:t xml:space="preserve"> </w:t>
      </w:r>
      <w:r w:rsidR="008A20E7" w:rsidRPr="00B57DAB">
        <w:rPr>
          <w:rFonts w:ascii="GHEA Grapalat" w:hAnsi="GHEA Grapalat" w:cs="Arial"/>
          <w:sz w:val="22"/>
          <w:szCs w:val="22"/>
        </w:rPr>
        <w:t>և</w:t>
      </w:r>
      <w:r w:rsidR="008A20E7" w:rsidRPr="00B57DAB">
        <w:rPr>
          <w:rFonts w:ascii="GHEA Grapalat" w:hAnsi="GHEA Grapalat"/>
          <w:sz w:val="22"/>
          <w:szCs w:val="22"/>
        </w:rPr>
        <w:t xml:space="preserve"> </w:t>
      </w:r>
      <w:r w:rsidR="008A20E7" w:rsidRPr="00B57DAB">
        <w:rPr>
          <w:rFonts w:ascii="GHEA Grapalat" w:hAnsi="GHEA Grapalat" w:cs="Arial"/>
          <w:sz w:val="22"/>
          <w:szCs w:val="22"/>
        </w:rPr>
        <w:t>սոցիալական</w:t>
      </w:r>
      <w:r w:rsidR="008A20E7" w:rsidRPr="00B57DAB">
        <w:rPr>
          <w:rFonts w:ascii="GHEA Grapalat" w:hAnsi="GHEA Grapalat"/>
          <w:sz w:val="22"/>
          <w:szCs w:val="22"/>
        </w:rPr>
        <w:t xml:space="preserve"> </w:t>
      </w:r>
      <w:r w:rsidR="008A20E7" w:rsidRPr="00B57DAB">
        <w:rPr>
          <w:rFonts w:ascii="GHEA Grapalat" w:hAnsi="GHEA Grapalat" w:cs="Arial"/>
          <w:sz w:val="22"/>
          <w:szCs w:val="22"/>
        </w:rPr>
        <w:t>հարցերի</w:t>
      </w:r>
      <w:r w:rsidR="008A20E7" w:rsidRPr="00B57DAB">
        <w:rPr>
          <w:rFonts w:ascii="GHEA Grapalat" w:hAnsi="GHEA Grapalat"/>
          <w:sz w:val="22"/>
          <w:szCs w:val="22"/>
        </w:rPr>
        <w:t xml:space="preserve"> </w:t>
      </w:r>
      <w:r w:rsidR="008A20E7" w:rsidRPr="00B57DAB">
        <w:rPr>
          <w:rFonts w:ascii="GHEA Grapalat" w:hAnsi="GHEA Grapalat" w:cs="Arial"/>
          <w:sz w:val="22"/>
          <w:szCs w:val="22"/>
        </w:rPr>
        <w:t>նախարարության</w:t>
      </w:r>
      <w:r w:rsidR="008A20E7" w:rsidRPr="00B57DAB">
        <w:rPr>
          <w:rFonts w:ascii="GHEA Grapalat" w:hAnsi="GHEA Grapalat" w:cs="Arial"/>
          <w:sz w:val="22"/>
          <w:szCs w:val="22"/>
          <w:lang w:val="zu-ZA"/>
        </w:rPr>
        <w:t xml:space="preserve"> ծախսերը նվազել են 1.9%</w:t>
      </w:r>
      <w:r w:rsidR="008A20E7" w:rsidRPr="00B57DAB">
        <w:rPr>
          <w:rFonts w:ascii="GHEA Grapalat" w:hAnsi="GHEA Grapalat" w:cs="Arial"/>
          <w:sz w:val="22"/>
          <w:szCs w:val="22"/>
          <w:lang w:val="zu-ZA"/>
        </w:rPr>
        <w:noBreakHyphen/>
        <w:t>ո</w:t>
      </w:r>
      <w:r w:rsidR="008A20E7" w:rsidRPr="00B57DAB">
        <w:rPr>
          <w:rFonts w:ascii="GHEA Grapalat" w:hAnsi="GHEA Grapalat" w:cs="Arial"/>
          <w:sz w:val="22"/>
          <w:szCs w:val="22"/>
        </w:rPr>
        <w:t>վ</w:t>
      </w:r>
      <w:r w:rsidR="008A20E7" w:rsidRPr="00B57DAB">
        <w:rPr>
          <w:rFonts w:ascii="GHEA Grapalat" w:hAnsi="GHEA Grapalat" w:cs="Arial"/>
          <w:sz w:val="22"/>
          <w:szCs w:val="22"/>
          <w:lang w:val="zu-ZA"/>
        </w:rPr>
        <w:t xml:space="preserve"> </w:t>
      </w:r>
      <w:r w:rsidR="008A20E7" w:rsidRPr="00B57DAB">
        <w:rPr>
          <w:rFonts w:ascii="GHEA Grapalat" w:hAnsi="GHEA Grapalat" w:cs="Arial"/>
          <w:sz w:val="22"/>
          <w:szCs w:val="22"/>
        </w:rPr>
        <w:t>կամ</w:t>
      </w:r>
      <w:r w:rsidR="008A20E7" w:rsidRPr="00B57DAB">
        <w:rPr>
          <w:rFonts w:ascii="GHEA Grapalat" w:hAnsi="GHEA Grapalat" w:cs="Arial"/>
          <w:sz w:val="22"/>
          <w:szCs w:val="22"/>
          <w:lang w:val="zu-ZA"/>
        </w:rPr>
        <w:t xml:space="preserve"> 2.7 </w:t>
      </w:r>
      <w:r w:rsidR="008A20E7" w:rsidRPr="00B57DAB">
        <w:rPr>
          <w:rFonts w:ascii="GHEA Grapalat" w:hAnsi="GHEA Grapalat" w:cs="Arial"/>
          <w:sz w:val="22"/>
          <w:szCs w:val="22"/>
        </w:rPr>
        <w:t>մլրդ</w:t>
      </w:r>
      <w:r w:rsidR="008A20E7" w:rsidRPr="00B57DAB">
        <w:rPr>
          <w:rFonts w:ascii="GHEA Grapalat" w:hAnsi="GHEA Grapalat" w:cs="Arial"/>
          <w:sz w:val="22"/>
          <w:szCs w:val="22"/>
          <w:lang w:val="zu-ZA"/>
        </w:rPr>
        <w:t xml:space="preserve"> </w:t>
      </w:r>
      <w:r w:rsidR="008A20E7" w:rsidRPr="00B57DAB">
        <w:rPr>
          <w:rFonts w:ascii="GHEA Grapalat" w:hAnsi="GHEA Grapalat" w:cs="Arial"/>
          <w:sz w:val="22"/>
          <w:szCs w:val="22"/>
        </w:rPr>
        <w:t>դրամով՝</w:t>
      </w:r>
      <w:r w:rsidR="008A20E7" w:rsidRPr="00B57DAB">
        <w:rPr>
          <w:rFonts w:ascii="GHEA Grapalat" w:hAnsi="GHEA Grapalat" w:cs="Arial"/>
          <w:sz w:val="22"/>
          <w:szCs w:val="22"/>
          <w:lang w:val="zu-ZA"/>
        </w:rPr>
        <w:t xml:space="preserve"> </w:t>
      </w:r>
      <w:r w:rsidR="008A20E7" w:rsidRPr="00B57DAB">
        <w:rPr>
          <w:rFonts w:ascii="GHEA Grapalat" w:hAnsi="GHEA Grapalat" w:cs="Arial"/>
          <w:sz w:val="22"/>
          <w:szCs w:val="22"/>
        </w:rPr>
        <w:t>հիմնականում</w:t>
      </w:r>
      <w:r w:rsidR="008A20E7" w:rsidRPr="00B57DAB">
        <w:rPr>
          <w:rFonts w:ascii="GHEA Grapalat" w:hAnsi="GHEA Grapalat" w:cs="Arial"/>
          <w:sz w:val="22"/>
          <w:szCs w:val="22"/>
          <w:lang w:val="zu-ZA"/>
        </w:rPr>
        <w:t xml:space="preserve"> պայմանավորված </w:t>
      </w:r>
      <w:r w:rsidR="008A20E7" w:rsidRPr="00B57DAB">
        <w:rPr>
          <w:rFonts w:ascii="GHEA Grapalat" w:hAnsi="GHEA Grapalat" w:cs="Times Armenian"/>
          <w:sz w:val="22"/>
          <w:szCs w:val="22"/>
        </w:rPr>
        <w:t>Սոցիալական ապահովության</w:t>
      </w:r>
      <w:r w:rsidR="008A20E7" w:rsidRPr="00B57DAB">
        <w:rPr>
          <w:rFonts w:ascii="GHEA Grapalat" w:hAnsi="GHEA Grapalat" w:cs="Arial"/>
          <w:sz w:val="22"/>
          <w:szCs w:val="22"/>
          <w:lang w:val="zu-ZA"/>
        </w:rPr>
        <w:t xml:space="preserve"> ծրագրի </w:t>
      </w:r>
      <w:r w:rsidR="008A20E7" w:rsidRPr="00B57DAB">
        <w:rPr>
          <w:rFonts w:ascii="GHEA Grapalat" w:hAnsi="GHEA Grapalat" w:cs="Arial"/>
          <w:sz w:val="22"/>
          <w:szCs w:val="22"/>
        </w:rPr>
        <w:t>շրջանակներում</w:t>
      </w:r>
      <w:r w:rsidR="008A20E7" w:rsidRPr="00B57DAB">
        <w:rPr>
          <w:rFonts w:ascii="GHEA Grapalat" w:hAnsi="GHEA Grapalat" w:cs="Arial"/>
          <w:sz w:val="22"/>
          <w:szCs w:val="22"/>
          <w:lang w:val="zu-ZA"/>
        </w:rPr>
        <w:t xml:space="preserve"> </w:t>
      </w:r>
      <w:r w:rsidR="008A20E7" w:rsidRPr="00B57DAB">
        <w:rPr>
          <w:rFonts w:ascii="GHEA Grapalat" w:hAnsi="GHEA Grapalat" w:cs="Arial"/>
          <w:sz w:val="22"/>
          <w:szCs w:val="22"/>
        </w:rPr>
        <w:t>կատարված</w:t>
      </w:r>
      <w:r w:rsidR="008A20E7" w:rsidRPr="00B57DAB">
        <w:rPr>
          <w:rFonts w:ascii="GHEA Grapalat" w:hAnsi="GHEA Grapalat" w:cs="Arial"/>
          <w:sz w:val="22"/>
          <w:szCs w:val="22"/>
          <w:lang w:val="zu-ZA"/>
        </w:rPr>
        <w:t xml:space="preserve"> </w:t>
      </w:r>
      <w:r w:rsidR="008A20E7" w:rsidRPr="00B57DAB">
        <w:rPr>
          <w:rFonts w:ascii="GHEA Grapalat" w:hAnsi="GHEA Grapalat" w:cs="Arial"/>
          <w:sz w:val="22"/>
          <w:szCs w:val="22"/>
        </w:rPr>
        <w:t>ծախսերի</w:t>
      </w:r>
      <w:r w:rsidR="008A20E7" w:rsidRPr="00B57DAB">
        <w:rPr>
          <w:rFonts w:ascii="GHEA Grapalat" w:hAnsi="GHEA Grapalat" w:cs="Arial"/>
          <w:sz w:val="22"/>
          <w:szCs w:val="22"/>
          <w:lang w:val="zu-ZA"/>
        </w:rPr>
        <w:t xml:space="preserve"> նվազմամբ:</w:t>
      </w:r>
    </w:p>
    <w:p w:rsidR="008A20E7" w:rsidRPr="00B57DAB" w:rsidRDefault="008A20E7" w:rsidP="00770F24">
      <w:pPr>
        <w:pStyle w:val="Caption"/>
        <w:keepNext/>
        <w:numPr>
          <w:ilvl w:val="0"/>
          <w:numId w:val="8"/>
        </w:numPr>
        <w:tabs>
          <w:tab w:val="left" w:pos="1276"/>
        </w:tabs>
        <w:ind w:left="0" w:firstLine="0"/>
        <w:jc w:val="left"/>
        <w:rPr>
          <w:rFonts w:ascii="GHEA Grapalat" w:hAnsi="GHEA Grapalat"/>
          <w:i/>
          <w:sz w:val="18"/>
          <w:szCs w:val="18"/>
          <w:lang w:val="hy-AM"/>
        </w:rPr>
      </w:pPr>
      <w:r w:rsidRPr="00B57DAB">
        <w:rPr>
          <w:rFonts w:ascii="GHEA Grapalat" w:hAnsi="GHEA Grapalat"/>
          <w:i/>
          <w:sz w:val="18"/>
          <w:szCs w:val="18"/>
          <w:lang w:val="zu-ZA"/>
        </w:rPr>
        <w:t>2</w:t>
      </w:r>
      <w:r w:rsidRPr="00B57DAB">
        <w:rPr>
          <w:rFonts w:ascii="GHEA Grapalat" w:hAnsi="GHEA Grapalat"/>
          <w:i/>
          <w:sz w:val="18"/>
          <w:szCs w:val="18"/>
          <w:lang w:val="hy-AM"/>
        </w:rPr>
        <w:t>02</w:t>
      </w:r>
      <w:r w:rsidRPr="00B57DAB">
        <w:rPr>
          <w:rFonts w:ascii="GHEA Grapalat" w:hAnsi="GHEA Grapalat"/>
          <w:i/>
          <w:sz w:val="18"/>
          <w:szCs w:val="18"/>
          <w:lang w:val="zu-ZA"/>
        </w:rPr>
        <w:t>2</w:t>
      </w:r>
      <w:r w:rsidRPr="00B57DAB">
        <w:rPr>
          <w:rFonts w:ascii="GHEA Grapalat" w:hAnsi="GHEA Grapalat"/>
          <w:i/>
          <w:sz w:val="18"/>
          <w:szCs w:val="18"/>
          <w:lang w:val="hy-AM"/>
        </w:rPr>
        <w:t xml:space="preserve">թ. </w:t>
      </w:r>
      <w:r w:rsidRPr="00B57DAB">
        <w:rPr>
          <w:rFonts w:ascii="GHEA Grapalat" w:hAnsi="GHEA Grapalat"/>
          <w:i/>
          <w:sz w:val="18"/>
          <w:szCs w:val="18"/>
          <w:lang w:val="en-US"/>
        </w:rPr>
        <w:t>առաջին</w:t>
      </w:r>
      <w:r w:rsidRPr="00B57DAB">
        <w:rPr>
          <w:rFonts w:ascii="GHEA Grapalat" w:hAnsi="GHEA Grapalat"/>
          <w:i/>
          <w:sz w:val="18"/>
          <w:szCs w:val="18"/>
          <w:lang w:val="zu-ZA"/>
        </w:rPr>
        <w:t xml:space="preserve"> </w:t>
      </w:r>
      <w:r w:rsidRPr="00B57DAB">
        <w:rPr>
          <w:rFonts w:ascii="GHEA Grapalat" w:hAnsi="GHEA Grapalat"/>
          <w:i/>
          <w:sz w:val="18"/>
          <w:szCs w:val="18"/>
          <w:lang w:val="en-US"/>
        </w:rPr>
        <w:t>եռամսյակի</w:t>
      </w:r>
      <w:r w:rsidRPr="00B57DAB">
        <w:rPr>
          <w:rFonts w:ascii="GHEA Grapalat" w:hAnsi="GHEA Grapalat"/>
          <w:i/>
          <w:sz w:val="18"/>
          <w:szCs w:val="18"/>
          <w:lang w:val="zu-ZA"/>
        </w:rPr>
        <w:t xml:space="preserve"> </w:t>
      </w:r>
      <w:r w:rsidRPr="00B57DAB">
        <w:rPr>
          <w:rFonts w:ascii="GHEA Grapalat" w:hAnsi="GHEA Grapalat"/>
          <w:i/>
          <w:sz w:val="18"/>
          <w:szCs w:val="18"/>
          <w:lang w:val="en-US"/>
        </w:rPr>
        <w:t>ընթացքում</w:t>
      </w:r>
      <w:r w:rsidRPr="00B57DAB">
        <w:rPr>
          <w:rFonts w:ascii="GHEA Grapalat" w:hAnsi="GHEA Grapalat"/>
          <w:i/>
          <w:sz w:val="18"/>
          <w:szCs w:val="18"/>
          <w:lang w:val="zu-ZA"/>
        </w:rPr>
        <w:t xml:space="preserve"> </w:t>
      </w:r>
      <w:r w:rsidRPr="00B57DAB">
        <w:rPr>
          <w:rFonts w:ascii="GHEA Grapalat" w:hAnsi="GHEA Grapalat"/>
          <w:i/>
          <w:sz w:val="18"/>
          <w:szCs w:val="18"/>
          <w:lang w:val="hy-AM"/>
        </w:rPr>
        <w:t>ՀՀ աշխատանքի և սոցիալական հարցերի նախարարության կողմից իրականացված ծրագրերը (մլն դրամ)</w:t>
      </w:r>
    </w:p>
    <w:tbl>
      <w:tblPr>
        <w:tblW w:w="10190" w:type="dxa"/>
        <w:jc w:val="center"/>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1"/>
        <w:gridCol w:w="1134"/>
        <w:gridCol w:w="1134"/>
        <w:gridCol w:w="1134"/>
        <w:gridCol w:w="1276"/>
        <w:gridCol w:w="1275"/>
        <w:gridCol w:w="1126"/>
      </w:tblGrid>
      <w:tr w:rsidR="00A41200" w:rsidRPr="00B57DAB" w:rsidTr="00A41200">
        <w:trPr>
          <w:trHeight w:val="1421"/>
          <w:jc w:val="center"/>
        </w:trPr>
        <w:tc>
          <w:tcPr>
            <w:tcW w:w="3111" w:type="dxa"/>
            <w:shd w:val="clear" w:color="auto" w:fill="auto"/>
            <w:noWrap/>
            <w:vAlign w:val="bottom"/>
            <w:hideMark/>
          </w:tcPr>
          <w:p w:rsidR="008A20E7" w:rsidRPr="00B57DAB" w:rsidRDefault="008A20E7" w:rsidP="00772ED1">
            <w:pPr>
              <w:rPr>
                <w:rFonts w:ascii="GHEA Grapalat" w:hAnsi="GHEA Grapalat"/>
                <w:sz w:val="18"/>
                <w:szCs w:val="18"/>
              </w:rPr>
            </w:pPr>
          </w:p>
        </w:tc>
        <w:tc>
          <w:tcPr>
            <w:tcW w:w="1134" w:type="dxa"/>
          </w:tcPr>
          <w:p w:rsidR="008A20E7" w:rsidRPr="00B57DAB" w:rsidRDefault="008A20E7" w:rsidP="00772ED1">
            <w:pPr>
              <w:jc w:val="center"/>
              <w:rPr>
                <w:rFonts w:ascii="GHEA Grapalat" w:hAnsi="GHEA Grapalat" w:cs="Calibri"/>
                <w:b/>
                <w:bCs/>
                <w:sz w:val="18"/>
                <w:szCs w:val="18"/>
                <w:lang w:val="hy-AM"/>
              </w:rPr>
            </w:pPr>
            <w:r w:rsidRPr="00B57DAB">
              <w:rPr>
                <w:rFonts w:ascii="GHEA Grapalat" w:hAnsi="GHEA Grapalat" w:cs="Calibri"/>
                <w:b/>
                <w:bCs/>
                <w:sz w:val="18"/>
                <w:szCs w:val="18"/>
              </w:rPr>
              <w:t>2021թ. առաջին եռամս-յակի փաստ</w:t>
            </w:r>
          </w:p>
        </w:tc>
        <w:tc>
          <w:tcPr>
            <w:tcW w:w="1134" w:type="dxa"/>
          </w:tcPr>
          <w:p w:rsidR="008A20E7" w:rsidRPr="00B57DAB" w:rsidRDefault="008A20E7" w:rsidP="00772ED1">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 ճշտված պլան</w:t>
            </w:r>
          </w:p>
        </w:tc>
        <w:tc>
          <w:tcPr>
            <w:tcW w:w="1134" w:type="dxa"/>
            <w:shd w:val="clear" w:color="auto" w:fill="auto"/>
            <w:noWrap/>
            <w:hideMark/>
          </w:tcPr>
          <w:p w:rsidR="008A20E7" w:rsidRPr="00B57DAB" w:rsidRDefault="008A20E7" w:rsidP="00772ED1">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 փաստ</w:t>
            </w:r>
          </w:p>
        </w:tc>
        <w:tc>
          <w:tcPr>
            <w:tcW w:w="1276" w:type="dxa"/>
          </w:tcPr>
          <w:p w:rsidR="008A20E7" w:rsidRPr="00B57DAB" w:rsidRDefault="008A20E7" w:rsidP="00772ED1">
            <w:pPr>
              <w:jc w:val="center"/>
              <w:rPr>
                <w:rFonts w:ascii="GHEA Grapalat" w:hAnsi="GHEA Grapalat" w:cs="Calibri"/>
                <w:b/>
                <w:bCs/>
                <w:sz w:val="18"/>
                <w:szCs w:val="18"/>
              </w:rPr>
            </w:pPr>
            <w:r w:rsidRPr="00B57DAB">
              <w:rPr>
                <w:rFonts w:ascii="GHEA Grapalat" w:hAnsi="GHEA Grapalat" w:cs="Calibri"/>
                <w:b/>
                <w:bCs/>
                <w:sz w:val="18"/>
                <w:szCs w:val="18"/>
                <w:lang w:val="hy-AM"/>
              </w:rPr>
              <w:t>Կատարո-ղական</w:t>
            </w:r>
            <w:r w:rsidRPr="00B57DAB">
              <w:rPr>
                <w:rFonts w:ascii="GHEA Grapalat" w:hAnsi="GHEA Grapalat" w:cs="Calibri"/>
                <w:b/>
                <w:bCs/>
                <w:sz w:val="18"/>
                <w:szCs w:val="18"/>
              </w:rPr>
              <w:t>ն առաջին եռամսյակի</w:t>
            </w:r>
            <w:r w:rsidRPr="00B57DAB">
              <w:rPr>
                <w:rFonts w:ascii="GHEA Grapalat" w:hAnsi="GHEA Grapalat" w:cs="Calibri"/>
                <w:b/>
                <w:bCs/>
                <w:sz w:val="18"/>
                <w:szCs w:val="18"/>
                <w:lang w:val="hy-AM"/>
              </w:rPr>
              <w:t xml:space="preserve"> ճշտված պլանի նկատմամբ</w:t>
            </w:r>
            <w:r w:rsidRPr="00B57DAB">
              <w:rPr>
                <w:rFonts w:ascii="GHEA Grapalat" w:hAnsi="GHEA Grapalat" w:cs="Calibri"/>
                <w:b/>
                <w:bCs/>
                <w:sz w:val="18"/>
                <w:szCs w:val="18"/>
              </w:rPr>
              <w:t xml:space="preserve"> (%)</w:t>
            </w:r>
          </w:p>
        </w:tc>
        <w:tc>
          <w:tcPr>
            <w:tcW w:w="1275" w:type="dxa"/>
          </w:tcPr>
          <w:p w:rsidR="008A20E7" w:rsidRPr="00B57DAB" w:rsidRDefault="008A20E7" w:rsidP="00772ED1">
            <w:pPr>
              <w:jc w:val="center"/>
              <w:rPr>
                <w:rFonts w:ascii="GHEA Grapalat" w:hAnsi="GHEA Grapalat" w:cs="Calibri"/>
                <w:b/>
                <w:bCs/>
                <w:sz w:val="18"/>
                <w:szCs w:val="18"/>
              </w:rPr>
            </w:pPr>
            <w:r w:rsidRPr="00B57DAB">
              <w:rPr>
                <w:rFonts w:ascii="GHEA Grapalat" w:hAnsi="GHEA Grapalat" w:cs="Calibri"/>
                <w:b/>
                <w:bCs/>
                <w:sz w:val="18"/>
                <w:szCs w:val="18"/>
              </w:rPr>
              <w:t xml:space="preserve">2022թ. առաջին եռամսյակը 2021թ. </w:t>
            </w:r>
            <w:proofErr w:type="gramStart"/>
            <w:r w:rsidRPr="00B57DAB">
              <w:rPr>
                <w:rFonts w:ascii="GHEA Grapalat" w:hAnsi="GHEA Grapalat" w:cs="Calibri"/>
                <w:b/>
                <w:bCs/>
                <w:sz w:val="18"/>
                <w:szCs w:val="18"/>
              </w:rPr>
              <w:t>առաջին</w:t>
            </w:r>
            <w:proofErr w:type="gramEnd"/>
            <w:r w:rsidRPr="00B57DAB">
              <w:rPr>
                <w:rFonts w:ascii="GHEA Grapalat" w:hAnsi="GHEA Grapalat" w:cs="Calibri"/>
                <w:b/>
                <w:bCs/>
                <w:sz w:val="18"/>
                <w:szCs w:val="18"/>
              </w:rPr>
              <w:t xml:space="preserve"> եռամսյակի նկատմամբ (%)</w:t>
            </w:r>
          </w:p>
        </w:tc>
        <w:tc>
          <w:tcPr>
            <w:tcW w:w="1126" w:type="dxa"/>
          </w:tcPr>
          <w:p w:rsidR="008A20E7" w:rsidRPr="00B57DAB" w:rsidRDefault="008A20E7" w:rsidP="00772ED1">
            <w:pPr>
              <w:jc w:val="center"/>
              <w:rPr>
                <w:rFonts w:ascii="GHEA Grapalat" w:hAnsi="GHEA Grapalat" w:cs="Calibri"/>
                <w:b/>
                <w:color w:val="000000"/>
                <w:sz w:val="18"/>
                <w:szCs w:val="18"/>
              </w:rPr>
            </w:pPr>
            <w:r w:rsidRPr="00B57DAB">
              <w:rPr>
                <w:rFonts w:ascii="GHEA Grapalat" w:hAnsi="GHEA Grapalat" w:cs="Calibri"/>
                <w:b/>
                <w:color w:val="000000"/>
                <w:sz w:val="18"/>
                <w:szCs w:val="18"/>
              </w:rPr>
              <w:t>2022թ. և 2021թ. տարբե-րությունը</w:t>
            </w:r>
          </w:p>
        </w:tc>
      </w:tr>
      <w:tr w:rsidR="00A41200" w:rsidRPr="00B57DAB" w:rsidTr="00A41200">
        <w:trPr>
          <w:trHeight w:val="252"/>
          <w:jc w:val="center"/>
        </w:trPr>
        <w:tc>
          <w:tcPr>
            <w:tcW w:w="3111" w:type="dxa"/>
            <w:shd w:val="clear" w:color="auto" w:fill="auto"/>
            <w:vAlign w:val="bottom"/>
          </w:tcPr>
          <w:p w:rsidR="008A20E7" w:rsidRPr="00B57DAB" w:rsidRDefault="008A20E7" w:rsidP="008A20E7">
            <w:pPr>
              <w:rPr>
                <w:rFonts w:ascii="GHEA Grapalat" w:hAnsi="GHEA Grapalat" w:cs="Calibri"/>
                <w:b/>
                <w:color w:val="000000"/>
                <w:sz w:val="18"/>
                <w:szCs w:val="18"/>
              </w:rPr>
            </w:pPr>
            <w:r w:rsidRPr="00B57DAB">
              <w:rPr>
                <w:rFonts w:ascii="GHEA Grapalat" w:hAnsi="GHEA Grapalat" w:cs="Calibri"/>
                <w:b/>
                <w:color w:val="000000"/>
                <w:sz w:val="18"/>
                <w:szCs w:val="18"/>
              </w:rPr>
              <w:t>ԸՆԴԱՄԵՆԸ</w:t>
            </w:r>
          </w:p>
        </w:tc>
        <w:tc>
          <w:tcPr>
            <w:tcW w:w="1134" w:type="dxa"/>
            <w:vAlign w:val="bottom"/>
          </w:tcPr>
          <w:p w:rsidR="008A20E7" w:rsidRPr="00B57DAB" w:rsidRDefault="008A20E7" w:rsidP="008A20E7">
            <w:pPr>
              <w:jc w:val="right"/>
              <w:rPr>
                <w:rFonts w:ascii="GHEA Grapalat" w:hAnsi="GHEA Grapalat"/>
                <w:b/>
                <w:bCs/>
                <w:sz w:val="18"/>
                <w:szCs w:val="18"/>
              </w:rPr>
            </w:pPr>
            <w:r w:rsidRPr="00B57DAB">
              <w:rPr>
                <w:rFonts w:ascii="GHEA Grapalat" w:hAnsi="GHEA Grapalat"/>
                <w:b/>
                <w:bCs/>
                <w:sz w:val="18"/>
                <w:szCs w:val="18"/>
              </w:rPr>
              <w:t>146,460.0</w:t>
            </w:r>
          </w:p>
        </w:tc>
        <w:tc>
          <w:tcPr>
            <w:tcW w:w="1134" w:type="dxa"/>
            <w:vAlign w:val="bottom"/>
          </w:tcPr>
          <w:p w:rsidR="008A20E7" w:rsidRPr="00B57DAB" w:rsidRDefault="008A20E7" w:rsidP="008A20E7">
            <w:pPr>
              <w:jc w:val="right"/>
              <w:rPr>
                <w:rFonts w:ascii="GHEA Grapalat" w:hAnsi="GHEA Grapalat"/>
                <w:b/>
                <w:bCs/>
                <w:sz w:val="18"/>
                <w:szCs w:val="18"/>
              </w:rPr>
            </w:pPr>
            <w:r w:rsidRPr="00B57DAB">
              <w:rPr>
                <w:rFonts w:ascii="GHEA Grapalat" w:hAnsi="GHEA Grapalat"/>
                <w:b/>
                <w:bCs/>
                <w:sz w:val="18"/>
                <w:szCs w:val="18"/>
              </w:rPr>
              <w:t>157,950.5</w:t>
            </w:r>
          </w:p>
        </w:tc>
        <w:tc>
          <w:tcPr>
            <w:tcW w:w="1134" w:type="dxa"/>
            <w:shd w:val="clear" w:color="auto" w:fill="auto"/>
            <w:vAlign w:val="bottom"/>
          </w:tcPr>
          <w:p w:rsidR="008A20E7" w:rsidRPr="00B57DAB" w:rsidRDefault="008A20E7" w:rsidP="008A20E7">
            <w:pPr>
              <w:jc w:val="right"/>
              <w:rPr>
                <w:rFonts w:ascii="GHEA Grapalat" w:hAnsi="GHEA Grapalat"/>
                <w:b/>
                <w:bCs/>
                <w:sz w:val="18"/>
                <w:szCs w:val="18"/>
              </w:rPr>
            </w:pPr>
            <w:r w:rsidRPr="00B57DAB">
              <w:rPr>
                <w:rFonts w:ascii="GHEA Grapalat" w:hAnsi="GHEA Grapalat"/>
                <w:b/>
                <w:bCs/>
                <w:sz w:val="18"/>
                <w:szCs w:val="18"/>
              </w:rPr>
              <w:t>143,750.0</w:t>
            </w:r>
          </w:p>
        </w:tc>
        <w:tc>
          <w:tcPr>
            <w:tcW w:w="1276" w:type="dxa"/>
            <w:vAlign w:val="bottom"/>
          </w:tcPr>
          <w:p w:rsidR="008A20E7" w:rsidRPr="00B57DAB" w:rsidRDefault="008A20E7" w:rsidP="008A20E7">
            <w:pPr>
              <w:jc w:val="right"/>
              <w:rPr>
                <w:rFonts w:ascii="GHEA Grapalat" w:hAnsi="GHEA Grapalat"/>
                <w:b/>
                <w:bCs/>
                <w:sz w:val="18"/>
                <w:szCs w:val="18"/>
              </w:rPr>
            </w:pPr>
            <w:r w:rsidRPr="00B57DAB">
              <w:rPr>
                <w:rFonts w:ascii="GHEA Grapalat" w:hAnsi="GHEA Grapalat"/>
                <w:b/>
                <w:bCs/>
                <w:sz w:val="18"/>
                <w:szCs w:val="18"/>
              </w:rPr>
              <w:t>91.0</w:t>
            </w:r>
          </w:p>
        </w:tc>
        <w:tc>
          <w:tcPr>
            <w:tcW w:w="1275" w:type="dxa"/>
            <w:vAlign w:val="bottom"/>
          </w:tcPr>
          <w:p w:rsidR="008A20E7" w:rsidRPr="00B57DAB" w:rsidRDefault="008A20E7" w:rsidP="008A20E7">
            <w:pPr>
              <w:jc w:val="right"/>
              <w:rPr>
                <w:rFonts w:ascii="GHEA Grapalat" w:hAnsi="GHEA Grapalat"/>
                <w:b/>
                <w:bCs/>
                <w:sz w:val="18"/>
                <w:szCs w:val="18"/>
              </w:rPr>
            </w:pPr>
            <w:r w:rsidRPr="00B57DAB">
              <w:rPr>
                <w:rFonts w:ascii="GHEA Grapalat" w:hAnsi="GHEA Grapalat"/>
                <w:b/>
                <w:bCs/>
                <w:sz w:val="18"/>
                <w:szCs w:val="18"/>
              </w:rPr>
              <w:t>98.1</w:t>
            </w:r>
          </w:p>
        </w:tc>
        <w:tc>
          <w:tcPr>
            <w:tcW w:w="1126" w:type="dxa"/>
            <w:vAlign w:val="bottom"/>
          </w:tcPr>
          <w:p w:rsidR="008A20E7" w:rsidRPr="00B57DAB" w:rsidRDefault="008A20E7" w:rsidP="008A20E7">
            <w:pPr>
              <w:jc w:val="right"/>
              <w:rPr>
                <w:rFonts w:ascii="GHEA Grapalat" w:hAnsi="GHEA Grapalat"/>
                <w:b/>
                <w:bCs/>
                <w:sz w:val="18"/>
                <w:szCs w:val="18"/>
              </w:rPr>
            </w:pPr>
            <w:r w:rsidRPr="00B57DAB">
              <w:rPr>
                <w:rFonts w:ascii="GHEA Grapalat" w:hAnsi="GHEA Grapalat"/>
                <w:b/>
                <w:bCs/>
                <w:sz w:val="18"/>
                <w:szCs w:val="18"/>
              </w:rPr>
              <w:t>(2,709.9)</w:t>
            </w:r>
          </w:p>
        </w:tc>
      </w:tr>
      <w:tr w:rsidR="00A41200" w:rsidRPr="00B57DAB" w:rsidTr="00A41200">
        <w:trPr>
          <w:trHeight w:val="300"/>
          <w:jc w:val="center"/>
        </w:trPr>
        <w:tc>
          <w:tcPr>
            <w:tcW w:w="3111" w:type="dxa"/>
            <w:shd w:val="clear" w:color="auto" w:fill="auto"/>
            <w:vAlign w:val="bottom"/>
          </w:tcPr>
          <w:p w:rsidR="008A20E7" w:rsidRPr="00B57DAB" w:rsidRDefault="008A20E7" w:rsidP="008A20E7">
            <w:pPr>
              <w:rPr>
                <w:rFonts w:ascii="GHEA Grapalat" w:hAnsi="GHEA Grapalat" w:cs="Calibri"/>
                <w:color w:val="000000"/>
                <w:sz w:val="18"/>
                <w:szCs w:val="18"/>
              </w:rPr>
            </w:pPr>
            <w:r w:rsidRPr="00B57DAB">
              <w:rPr>
                <w:rFonts w:ascii="GHEA Grapalat" w:hAnsi="GHEA Grapalat" w:cs="Calibri"/>
                <w:color w:val="000000"/>
                <w:sz w:val="18"/>
                <w:szCs w:val="18"/>
              </w:rPr>
              <w:t>Անապահով սոցիալական խմբերին աջակցություն</w:t>
            </w:r>
          </w:p>
        </w:tc>
        <w:tc>
          <w:tcPr>
            <w:tcW w:w="1134" w:type="dxa"/>
            <w:vAlign w:val="bottom"/>
          </w:tcPr>
          <w:p w:rsidR="008A20E7" w:rsidRPr="00B57DAB" w:rsidRDefault="008A20E7" w:rsidP="008A20E7">
            <w:pPr>
              <w:jc w:val="right"/>
              <w:rPr>
                <w:rFonts w:ascii="GHEA Grapalat" w:hAnsi="GHEA Grapalat"/>
                <w:sz w:val="18"/>
                <w:szCs w:val="18"/>
              </w:rPr>
            </w:pPr>
            <w:r w:rsidRPr="00B57DAB">
              <w:rPr>
                <w:rFonts w:ascii="GHEA Grapalat" w:hAnsi="GHEA Grapalat"/>
                <w:sz w:val="18"/>
                <w:szCs w:val="18"/>
              </w:rPr>
              <w:t>7,722.3</w:t>
            </w:r>
          </w:p>
        </w:tc>
        <w:tc>
          <w:tcPr>
            <w:tcW w:w="1134" w:type="dxa"/>
            <w:vAlign w:val="bottom"/>
          </w:tcPr>
          <w:p w:rsidR="008A20E7" w:rsidRPr="00B57DAB" w:rsidRDefault="008A20E7" w:rsidP="008A20E7">
            <w:pPr>
              <w:jc w:val="right"/>
              <w:rPr>
                <w:rFonts w:ascii="GHEA Grapalat" w:hAnsi="GHEA Grapalat"/>
                <w:sz w:val="18"/>
                <w:szCs w:val="18"/>
              </w:rPr>
            </w:pPr>
            <w:r w:rsidRPr="00B57DAB">
              <w:rPr>
                <w:rFonts w:ascii="GHEA Grapalat" w:hAnsi="GHEA Grapalat"/>
                <w:sz w:val="18"/>
                <w:szCs w:val="18"/>
              </w:rPr>
              <w:t>7,789.1</w:t>
            </w:r>
          </w:p>
        </w:tc>
        <w:tc>
          <w:tcPr>
            <w:tcW w:w="1134" w:type="dxa"/>
            <w:shd w:val="clear" w:color="auto" w:fill="auto"/>
            <w:vAlign w:val="bottom"/>
          </w:tcPr>
          <w:p w:rsidR="008A20E7" w:rsidRPr="00B57DAB" w:rsidRDefault="008A20E7" w:rsidP="008A20E7">
            <w:pPr>
              <w:jc w:val="right"/>
              <w:rPr>
                <w:rFonts w:ascii="GHEA Grapalat" w:hAnsi="GHEA Grapalat"/>
                <w:sz w:val="18"/>
                <w:szCs w:val="18"/>
              </w:rPr>
            </w:pPr>
            <w:r w:rsidRPr="00B57DAB">
              <w:rPr>
                <w:rFonts w:ascii="GHEA Grapalat" w:hAnsi="GHEA Grapalat"/>
                <w:sz w:val="18"/>
                <w:szCs w:val="18"/>
              </w:rPr>
              <w:t>7,132.5</w:t>
            </w:r>
          </w:p>
        </w:tc>
        <w:tc>
          <w:tcPr>
            <w:tcW w:w="1276" w:type="dxa"/>
            <w:vAlign w:val="bottom"/>
          </w:tcPr>
          <w:p w:rsidR="008A20E7" w:rsidRPr="00B57DAB" w:rsidRDefault="008A20E7" w:rsidP="008A20E7">
            <w:pPr>
              <w:jc w:val="right"/>
              <w:rPr>
                <w:rFonts w:ascii="GHEA Grapalat" w:hAnsi="GHEA Grapalat"/>
                <w:sz w:val="18"/>
                <w:szCs w:val="18"/>
              </w:rPr>
            </w:pPr>
            <w:r w:rsidRPr="00B57DAB">
              <w:rPr>
                <w:rFonts w:ascii="GHEA Grapalat" w:hAnsi="GHEA Grapalat"/>
                <w:sz w:val="18"/>
                <w:szCs w:val="18"/>
              </w:rPr>
              <w:t>91.6</w:t>
            </w:r>
          </w:p>
        </w:tc>
        <w:tc>
          <w:tcPr>
            <w:tcW w:w="1275" w:type="dxa"/>
            <w:vAlign w:val="bottom"/>
          </w:tcPr>
          <w:p w:rsidR="008A20E7" w:rsidRPr="00B57DAB" w:rsidRDefault="008A20E7" w:rsidP="008A20E7">
            <w:pPr>
              <w:jc w:val="right"/>
              <w:rPr>
                <w:rFonts w:ascii="GHEA Grapalat" w:hAnsi="GHEA Grapalat"/>
                <w:sz w:val="18"/>
                <w:szCs w:val="18"/>
              </w:rPr>
            </w:pPr>
            <w:r w:rsidRPr="00B57DAB">
              <w:rPr>
                <w:rFonts w:ascii="GHEA Grapalat" w:hAnsi="GHEA Grapalat"/>
                <w:sz w:val="18"/>
                <w:szCs w:val="18"/>
              </w:rPr>
              <w:t>92.4</w:t>
            </w:r>
          </w:p>
        </w:tc>
        <w:tc>
          <w:tcPr>
            <w:tcW w:w="1126" w:type="dxa"/>
            <w:vAlign w:val="bottom"/>
          </w:tcPr>
          <w:p w:rsidR="008A20E7" w:rsidRPr="00B57DAB" w:rsidRDefault="008A20E7" w:rsidP="008A20E7">
            <w:pPr>
              <w:jc w:val="right"/>
              <w:rPr>
                <w:rFonts w:ascii="GHEA Grapalat" w:hAnsi="GHEA Grapalat"/>
                <w:sz w:val="18"/>
                <w:szCs w:val="18"/>
              </w:rPr>
            </w:pPr>
            <w:r w:rsidRPr="00B57DAB">
              <w:rPr>
                <w:rFonts w:ascii="GHEA Grapalat" w:hAnsi="GHEA Grapalat"/>
                <w:sz w:val="18"/>
                <w:szCs w:val="18"/>
              </w:rPr>
              <w:t>(589.7)</w:t>
            </w:r>
          </w:p>
        </w:tc>
      </w:tr>
      <w:tr w:rsidR="00A41200" w:rsidRPr="00B57DAB" w:rsidTr="00A41200">
        <w:trPr>
          <w:trHeight w:val="300"/>
          <w:jc w:val="center"/>
        </w:trPr>
        <w:tc>
          <w:tcPr>
            <w:tcW w:w="3111" w:type="dxa"/>
            <w:shd w:val="clear" w:color="auto" w:fill="auto"/>
            <w:vAlign w:val="bottom"/>
          </w:tcPr>
          <w:p w:rsidR="008A20E7" w:rsidRPr="00B57DAB" w:rsidRDefault="008A20E7" w:rsidP="008A20E7">
            <w:pPr>
              <w:rPr>
                <w:rFonts w:ascii="GHEA Grapalat" w:hAnsi="GHEA Grapalat" w:cs="Calibri"/>
                <w:color w:val="000000"/>
                <w:sz w:val="18"/>
                <w:szCs w:val="18"/>
              </w:rPr>
            </w:pPr>
            <w:r w:rsidRPr="00B57DAB">
              <w:rPr>
                <w:rFonts w:ascii="GHEA Grapalat" w:hAnsi="GHEA Grapalat" w:cs="Calibri"/>
                <w:color w:val="000000"/>
                <w:sz w:val="18"/>
                <w:szCs w:val="18"/>
              </w:rPr>
              <w:t>Ժողովրդագրական վիճակի բարելավում</w:t>
            </w:r>
          </w:p>
        </w:tc>
        <w:tc>
          <w:tcPr>
            <w:tcW w:w="1134" w:type="dxa"/>
            <w:vAlign w:val="bottom"/>
          </w:tcPr>
          <w:p w:rsidR="008A20E7" w:rsidRPr="00B57DAB" w:rsidRDefault="008A20E7" w:rsidP="008A20E7">
            <w:pPr>
              <w:jc w:val="right"/>
              <w:rPr>
                <w:rFonts w:ascii="GHEA Grapalat" w:hAnsi="GHEA Grapalat"/>
                <w:sz w:val="18"/>
                <w:szCs w:val="18"/>
              </w:rPr>
            </w:pPr>
            <w:r w:rsidRPr="00B57DAB">
              <w:rPr>
                <w:rFonts w:ascii="GHEA Grapalat" w:hAnsi="GHEA Grapalat"/>
                <w:sz w:val="18"/>
                <w:szCs w:val="18"/>
              </w:rPr>
              <w:t>6,309.4</w:t>
            </w:r>
          </w:p>
        </w:tc>
        <w:tc>
          <w:tcPr>
            <w:tcW w:w="1134" w:type="dxa"/>
            <w:vAlign w:val="bottom"/>
          </w:tcPr>
          <w:p w:rsidR="008A20E7" w:rsidRPr="00B57DAB" w:rsidRDefault="008A20E7" w:rsidP="008A20E7">
            <w:pPr>
              <w:jc w:val="right"/>
              <w:rPr>
                <w:rFonts w:ascii="GHEA Grapalat" w:hAnsi="GHEA Grapalat"/>
                <w:sz w:val="18"/>
                <w:szCs w:val="18"/>
              </w:rPr>
            </w:pPr>
            <w:r w:rsidRPr="00B57DAB">
              <w:rPr>
                <w:rFonts w:ascii="GHEA Grapalat" w:hAnsi="GHEA Grapalat"/>
                <w:sz w:val="18"/>
                <w:szCs w:val="18"/>
              </w:rPr>
              <w:t>9,374.4</w:t>
            </w:r>
          </w:p>
        </w:tc>
        <w:tc>
          <w:tcPr>
            <w:tcW w:w="1134" w:type="dxa"/>
            <w:shd w:val="clear" w:color="auto" w:fill="auto"/>
            <w:vAlign w:val="bottom"/>
            <w:hideMark/>
          </w:tcPr>
          <w:p w:rsidR="008A20E7" w:rsidRPr="00B57DAB" w:rsidRDefault="008A20E7" w:rsidP="008A20E7">
            <w:pPr>
              <w:jc w:val="right"/>
              <w:rPr>
                <w:rFonts w:ascii="GHEA Grapalat" w:hAnsi="GHEA Grapalat"/>
                <w:sz w:val="18"/>
                <w:szCs w:val="18"/>
              </w:rPr>
            </w:pPr>
            <w:r w:rsidRPr="00B57DAB">
              <w:rPr>
                <w:rFonts w:ascii="GHEA Grapalat" w:hAnsi="GHEA Grapalat"/>
                <w:sz w:val="18"/>
                <w:szCs w:val="18"/>
              </w:rPr>
              <w:t>8,900.0</w:t>
            </w:r>
          </w:p>
        </w:tc>
        <w:tc>
          <w:tcPr>
            <w:tcW w:w="1276" w:type="dxa"/>
            <w:vAlign w:val="bottom"/>
          </w:tcPr>
          <w:p w:rsidR="008A20E7" w:rsidRPr="00B57DAB" w:rsidRDefault="008A20E7" w:rsidP="008A20E7">
            <w:pPr>
              <w:jc w:val="right"/>
              <w:rPr>
                <w:rFonts w:ascii="GHEA Grapalat" w:hAnsi="GHEA Grapalat"/>
                <w:sz w:val="18"/>
                <w:szCs w:val="18"/>
              </w:rPr>
            </w:pPr>
            <w:r w:rsidRPr="00B57DAB">
              <w:rPr>
                <w:rFonts w:ascii="GHEA Grapalat" w:hAnsi="GHEA Grapalat"/>
                <w:sz w:val="18"/>
                <w:szCs w:val="18"/>
              </w:rPr>
              <w:t>94.9</w:t>
            </w:r>
          </w:p>
        </w:tc>
        <w:tc>
          <w:tcPr>
            <w:tcW w:w="1275" w:type="dxa"/>
            <w:vAlign w:val="bottom"/>
          </w:tcPr>
          <w:p w:rsidR="008A20E7" w:rsidRPr="00B57DAB" w:rsidRDefault="008A20E7" w:rsidP="008A20E7">
            <w:pPr>
              <w:jc w:val="right"/>
              <w:rPr>
                <w:rFonts w:ascii="GHEA Grapalat" w:hAnsi="GHEA Grapalat"/>
                <w:sz w:val="18"/>
                <w:szCs w:val="18"/>
              </w:rPr>
            </w:pPr>
            <w:r w:rsidRPr="00B57DAB">
              <w:rPr>
                <w:rFonts w:ascii="GHEA Grapalat" w:hAnsi="GHEA Grapalat"/>
                <w:sz w:val="18"/>
                <w:szCs w:val="18"/>
              </w:rPr>
              <w:t>141.1</w:t>
            </w:r>
          </w:p>
        </w:tc>
        <w:tc>
          <w:tcPr>
            <w:tcW w:w="1126" w:type="dxa"/>
            <w:vAlign w:val="bottom"/>
          </w:tcPr>
          <w:p w:rsidR="008A20E7" w:rsidRPr="00B57DAB" w:rsidRDefault="008A20E7" w:rsidP="008A20E7">
            <w:pPr>
              <w:jc w:val="right"/>
              <w:rPr>
                <w:rFonts w:ascii="GHEA Grapalat" w:hAnsi="GHEA Grapalat"/>
                <w:sz w:val="18"/>
                <w:szCs w:val="18"/>
              </w:rPr>
            </w:pPr>
            <w:r w:rsidRPr="00B57DAB">
              <w:rPr>
                <w:rFonts w:ascii="GHEA Grapalat" w:hAnsi="GHEA Grapalat"/>
                <w:sz w:val="18"/>
                <w:szCs w:val="18"/>
              </w:rPr>
              <w:t>2,590.6</w:t>
            </w:r>
          </w:p>
        </w:tc>
      </w:tr>
      <w:tr w:rsidR="00F0420E" w:rsidRPr="00B57DAB" w:rsidTr="00F0420E">
        <w:trPr>
          <w:trHeight w:val="300"/>
          <w:jc w:val="center"/>
        </w:trPr>
        <w:tc>
          <w:tcPr>
            <w:tcW w:w="3111" w:type="dxa"/>
            <w:shd w:val="clear" w:color="auto" w:fill="auto"/>
            <w:vAlign w:val="bottom"/>
          </w:tcPr>
          <w:p w:rsidR="00F0420E" w:rsidRPr="00B57DAB" w:rsidRDefault="00F0420E" w:rsidP="00F0420E">
            <w:pPr>
              <w:spacing w:line="256" w:lineRule="auto"/>
              <w:rPr>
                <w:rFonts w:ascii="GHEA Grapalat" w:hAnsi="GHEA Grapalat" w:cs="Calibri"/>
                <w:color w:val="000000"/>
                <w:sz w:val="18"/>
                <w:szCs w:val="18"/>
              </w:rPr>
            </w:pPr>
            <w:r w:rsidRPr="00B57DAB">
              <w:rPr>
                <w:rFonts w:ascii="GHEA Grapalat" w:hAnsi="GHEA Grapalat" w:cs="Calibri"/>
                <w:color w:val="000000"/>
                <w:sz w:val="18"/>
                <w:szCs w:val="18"/>
              </w:rPr>
              <w:t>Սոցիալական աջակցություն անաշխատունակության դեպքում</w:t>
            </w:r>
          </w:p>
        </w:tc>
        <w:tc>
          <w:tcPr>
            <w:tcW w:w="1134" w:type="dxa"/>
            <w:vAlign w:val="bottom"/>
          </w:tcPr>
          <w:p w:rsidR="00F0420E" w:rsidRPr="00B57DAB" w:rsidRDefault="00F0420E" w:rsidP="00F0420E">
            <w:pPr>
              <w:spacing w:line="256" w:lineRule="auto"/>
              <w:jc w:val="right"/>
              <w:rPr>
                <w:rFonts w:ascii="GHEA Grapalat" w:hAnsi="GHEA Grapalat"/>
                <w:sz w:val="18"/>
                <w:szCs w:val="18"/>
              </w:rPr>
            </w:pPr>
            <w:r w:rsidRPr="00B57DAB">
              <w:rPr>
                <w:rFonts w:ascii="GHEA Grapalat" w:hAnsi="GHEA Grapalat"/>
                <w:sz w:val="18"/>
                <w:szCs w:val="18"/>
              </w:rPr>
              <w:t>3,991.4</w:t>
            </w:r>
          </w:p>
        </w:tc>
        <w:tc>
          <w:tcPr>
            <w:tcW w:w="1134" w:type="dxa"/>
            <w:vAlign w:val="bottom"/>
          </w:tcPr>
          <w:p w:rsidR="00F0420E" w:rsidRPr="00B57DAB" w:rsidRDefault="00F0420E" w:rsidP="00F0420E">
            <w:pPr>
              <w:spacing w:line="256" w:lineRule="auto"/>
              <w:jc w:val="right"/>
              <w:rPr>
                <w:rFonts w:ascii="GHEA Grapalat" w:hAnsi="GHEA Grapalat"/>
                <w:sz w:val="18"/>
                <w:szCs w:val="18"/>
              </w:rPr>
            </w:pPr>
            <w:r w:rsidRPr="00B57DAB">
              <w:rPr>
                <w:rFonts w:ascii="GHEA Grapalat" w:hAnsi="GHEA Grapalat"/>
                <w:sz w:val="18"/>
                <w:szCs w:val="18"/>
              </w:rPr>
              <w:t>4,699.4</w:t>
            </w:r>
          </w:p>
        </w:tc>
        <w:tc>
          <w:tcPr>
            <w:tcW w:w="1134" w:type="dxa"/>
            <w:shd w:val="clear" w:color="auto" w:fill="auto"/>
            <w:vAlign w:val="bottom"/>
          </w:tcPr>
          <w:p w:rsidR="00F0420E" w:rsidRPr="00B57DAB" w:rsidRDefault="00F0420E" w:rsidP="00F0420E">
            <w:pPr>
              <w:spacing w:line="256" w:lineRule="auto"/>
              <w:jc w:val="right"/>
              <w:rPr>
                <w:rFonts w:ascii="GHEA Grapalat" w:hAnsi="GHEA Grapalat"/>
                <w:sz w:val="18"/>
                <w:szCs w:val="18"/>
              </w:rPr>
            </w:pPr>
            <w:r w:rsidRPr="00B57DAB">
              <w:rPr>
                <w:rFonts w:ascii="GHEA Grapalat" w:hAnsi="GHEA Grapalat"/>
                <w:sz w:val="18"/>
                <w:szCs w:val="18"/>
              </w:rPr>
              <w:t>4,574.0</w:t>
            </w:r>
          </w:p>
        </w:tc>
        <w:tc>
          <w:tcPr>
            <w:tcW w:w="1276" w:type="dxa"/>
            <w:vAlign w:val="bottom"/>
          </w:tcPr>
          <w:p w:rsidR="00F0420E" w:rsidRPr="00B57DAB" w:rsidRDefault="00F0420E" w:rsidP="00F0420E">
            <w:pPr>
              <w:spacing w:line="256" w:lineRule="auto"/>
              <w:jc w:val="right"/>
              <w:rPr>
                <w:rFonts w:ascii="GHEA Grapalat" w:hAnsi="GHEA Grapalat"/>
                <w:sz w:val="18"/>
                <w:szCs w:val="18"/>
              </w:rPr>
            </w:pPr>
            <w:r w:rsidRPr="00B57DAB">
              <w:rPr>
                <w:rFonts w:ascii="GHEA Grapalat" w:hAnsi="GHEA Grapalat"/>
                <w:sz w:val="18"/>
                <w:szCs w:val="18"/>
              </w:rPr>
              <w:t>97.3</w:t>
            </w:r>
          </w:p>
        </w:tc>
        <w:tc>
          <w:tcPr>
            <w:tcW w:w="1275" w:type="dxa"/>
            <w:vAlign w:val="bottom"/>
          </w:tcPr>
          <w:p w:rsidR="00F0420E" w:rsidRPr="00B57DAB" w:rsidRDefault="00F0420E" w:rsidP="00F0420E">
            <w:pPr>
              <w:spacing w:line="256" w:lineRule="auto"/>
              <w:jc w:val="right"/>
              <w:rPr>
                <w:rFonts w:ascii="GHEA Grapalat" w:hAnsi="GHEA Grapalat"/>
                <w:sz w:val="18"/>
                <w:szCs w:val="18"/>
              </w:rPr>
            </w:pPr>
            <w:r w:rsidRPr="00B57DAB">
              <w:rPr>
                <w:rFonts w:ascii="GHEA Grapalat" w:hAnsi="GHEA Grapalat"/>
                <w:sz w:val="18"/>
                <w:szCs w:val="18"/>
              </w:rPr>
              <w:t>114.6</w:t>
            </w:r>
          </w:p>
        </w:tc>
        <w:tc>
          <w:tcPr>
            <w:tcW w:w="1126" w:type="dxa"/>
            <w:vAlign w:val="bottom"/>
          </w:tcPr>
          <w:p w:rsidR="00F0420E" w:rsidRPr="00B57DAB" w:rsidRDefault="00F0420E" w:rsidP="00F0420E">
            <w:pPr>
              <w:spacing w:line="256" w:lineRule="auto"/>
              <w:jc w:val="right"/>
              <w:rPr>
                <w:rFonts w:ascii="GHEA Grapalat" w:hAnsi="GHEA Grapalat"/>
                <w:sz w:val="18"/>
                <w:szCs w:val="18"/>
              </w:rPr>
            </w:pPr>
            <w:r w:rsidRPr="00B57DAB">
              <w:rPr>
                <w:rFonts w:ascii="GHEA Grapalat" w:hAnsi="GHEA Grapalat"/>
                <w:sz w:val="18"/>
                <w:szCs w:val="18"/>
              </w:rPr>
              <w:t>582.6</w:t>
            </w:r>
          </w:p>
        </w:tc>
      </w:tr>
      <w:tr w:rsidR="00A41200" w:rsidRPr="00B57DAB" w:rsidTr="00A41200">
        <w:trPr>
          <w:trHeight w:val="300"/>
          <w:jc w:val="center"/>
        </w:trPr>
        <w:tc>
          <w:tcPr>
            <w:tcW w:w="3111" w:type="dxa"/>
            <w:shd w:val="clear" w:color="auto" w:fill="auto"/>
            <w:vAlign w:val="bottom"/>
            <w:hideMark/>
          </w:tcPr>
          <w:p w:rsidR="008A20E7" w:rsidRPr="00B57DAB" w:rsidRDefault="008A20E7" w:rsidP="008A20E7">
            <w:pPr>
              <w:rPr>
                <w:rFonts w:ascii="GHEA Grapalat" w:hAnsi="GHEA Grapalat" w:cs="Calibri"/>
                <w:color w:val="000000"/>
                <w:sz w:val="18"/>
                <w:szCs w:val="18"/>
              </w:rPr>
            </w:pPr>
            <w:r w:rsidRPr="00B57DAB">
              <w:rPr>
                <w:rFonts w:ascii="GHEA Grapalat" w:hAnsi="GHEA Grapalat" w:cs="Calibri"/>
                <w:color w:val="000000"/>
                <w:sz w:val="18"/>
                <w:szCs w:val="18"/>
              </w:rPr>
              <w:t>Կենսաթոշակային ապահովություն</w:t>
            </w:r>
          </w:p>
        </w:tc>
        <w:tc>
          <w:tcPr>
            <w:tcW w:w="1134" w:type="dxa"/>
            <w:vAlign w:val="bottom"/>
          </w:tcPr>
          <w:p w:rsidR="008A20E7" w:rsidRPr="00B57DAB" w:rsidRDefault="008A20E7" w:rsidP="008A20E7">
            <w:pPr>
              <w:jc w:val="right"/>
              <w:rPr>
                <w:rFonts w:ascii="GHEA Grapalat" w:hAnsi="GHEA Grapalat"/>
                <w:sz w:val="18"/>
                <w:szCs w:val="18"/>
              </w:rPr>
            </w:pPr>
            <w:r w:rsidRPr="00B57DAB">
              <w:rPr>
                <w:rFonts w:ascii="GHEA Grapalat" w:hAnsi="GHEA Grapalat"/>
                <w:sz w:val="18"/>
                <w:szCs w:val="18"/>
              </w:rPr>
              <w:t>89,470.9</w:t>
            </w:r>
          </w:p>
        </w:tc>
        <w:tc>
          <w:tcPr>
            <w:tcW w:w="1134" w:type="dxa"/>
            <w:vAlign w:val="bottom"/>
          </w:tcPr>
          <w:p w:rsidR="008A20E7" w:rsidRPr="00B57DAB" w:rsidRDefault="008A20E7" w:rsidP="008A20E7">
            <w:pPr>
              <w:jc w:val="right"/>
              <w:rPr>
                <w:rFonts w:ascii="GHEA Grapalat" w:hAnsi="GHEA Grapalat"/>
                <w:sz w:val="18"/>
                <w:szCs w:val="18"/>
              </w:rPr>
            </w:pPr>
            <w:r w:rsidRPr="00B57DAB">
              <w:rPr>
                <w:rFonts w:ascii="GHEA Grapalat" w:hAnsi="GHEA Grapalat"/>
                <w:sz w:val="18"/>
                <w:szCs w:val="18"/>
              </w:rPr>
              <w:t>108,185.1</w:t>
            </w:r>
          </w:p>
        </w:tc>
        <w:tc>
          <w:tcPr>
            <w:tcW w:w="1134" w:type="dxa"/>
            <w:shd w:val="clear" w:color="auto" w:fill="auto"/>
            <w:vAlign w:val="bottom"/>
            <w:hideMark/>
          </w:tcPr>
          <w:p w:rsidR="008A20E7" w:rsidRPr="00B57DAB" w:rsidRDefault="008A20E7" w:rsidP="008A20E7">
            <w:pPr>
              <w:jc w:val="right"/>
              <w:rPr>
                <w:rFonts w:ascii="GHEA Grapalat" w:hAnsi="GHEA Grapalat"/>
                <w:sz w:val="18"/>
                <w:szCs w:val="18"/>
              </w:rPr>
            </w:pPr>
            <w:r w:rsidRPr="00B57DAB">
              <w:rPr>
                <w:rFonts w:ascii="GHEA Grapalat" w:hAnsi="GHEA Grapalat"/>
                <w:sz w:val="18"/>
                <w:szCs w:val="18"/>
              </w:rPr>
              <w:t>97,767.7</w:t>
            </w:r>
          </w:p>
        </w:tc>
        <w:tc>
          <w:tcPr>
            <w:tcW w:w="1276" w:type="dxa"/>
            <w:vAlign w:val="bottom"/>
          </w:tcPr>
          <w:p w:rsidR="008A20E7" w:rsidRPr="00B57DAB" w:rsidRDefault="008A20E7" w:rsidP="008A20E7">
            <w:pPr>
              <w:jc w:val="right"/>
              <w:rPr>
                <w:rFonts w:ascii="GHEA Grapalat" w:hAnsi="GHEA Grapalat"/>
                <w:sz w:val="18"/>
                <w:szCs w:val="18"/>
              </w:rPr>
            </w:pPr>
            <w:r w:rsidRPr="00B57DAB">
              <w:rPr>
                <w:rFonts w:ascii="GHEA Grapalat" w:hAnsi="GHEA Grapalat"/>
                <w:sz w:val="18"/>
                <w:szCs w:val="18"/>
              </w:rPr>
              <w:t>90.4</w:t>
            </w:r>
          </w:p>
        </w:tc>
        <w:tc>
          <w:tcPr>
            <w:tcW w:w="1275" w:type="dxa"/>
            <w:vAlign w:val="bottom"/>
          </w:tcPr>
          <w:p w:rsidR="008A20E7" w:rsidRPr="00B57DAB" w:rsidRDefault="008A20E7" w:rsidP="008A20E7">
            <w:pPr>
              <w:jc w:val="right"/>
              <w:rPr>
                <w:rFonts w:ascii="GHEA Grapalat" w:hAnsi="GHEA Grapalat"/>
                <w:sz w:val="18"/>
                <w:szCs w:val="18"/>
              </w:rPr>
            </w:pPr>
            <w:r w:rsidRPr="00B57DAB">
              <w:rPr>
                <w:rFonts w:ascii="GHEA Grapalat" w:hAnsi="GHEA Grapalat"/>
                <w:sz w:val="18"/>
                <w:szCs w:val="18"/>
              </w:rPr>
              <w:t>109.3</w:t>
            </w:r>
          </w:p>
        </w:tc>
        <w:tc>
          <w:tcPr>
            <w:tcW w:w="1126" w:type="dxa"/>
            <w:vAlign w:val="bottom"/>
          </w:tcPr>
          <w:p w:rsidR="008A20E7" w:rsidRPr="00B57DAB" w:rsidRDefault="008A20E7" w:rsidP="008A20E7">
            <w:pPr>
              <w:jc w:val="right"/>
              <w:rPr>
                <w:rFonts w:ascii="GHEA Grapalat" w:hAnsi="GHEA Grapalat"/>
                <w:sz w:val="18"/>
                <w:szCs w:val="18"/>
              </w:rPr>
            </w:pPr>
            <w:r w:rsidRPr="00B57DAB">
              <w:rPr>
                <w:rFonts w:ascii="GHEA Grapalat" w:hAnsi="GHEA Grapalat"/>
                <w:sz w:val="18"/>
                <w:szCs w:val="18"/>
              </w:rPr>
              <w:t>8,296.7</w:t>
            </w:r>
          </w:p>
        </w:tc>
      </w:tr>
      <w:tr w:rsidR="00A41200" w:rsidRPr="00B57DAB" w:rsidTr="00A41200">
        <w:trPr>
          <w:trHeight w:val="300"/>
          <w:jc w:val="center"/>
        </w:trPr>
        <w:tc>
          <w:tcPr>
            <w:tcW w:w="3111" w:type="dxa"/>
            <w:shd w:val="clear" w:color="auto" w:fill="auto"/>
            <w:vAlign w:val="bottom"/>
          </w:tcPr>
          <w:p w:rsidR="008A20E7" w:rsidRPr="00B57DAB" w:rsidRDefault="008A20E7" w:rsidP="008A20E7">
            <w:pPr>
              <w:rPr>
                <w:rFonts w:ascii="GHEA Grapalat" w:hAnsi="GHEA Grapalat" w:cs="Calibri"/>
                <w:color w:val="000000"/>
                <w:sz w:val="18"/>
                <w:szCs w:val="18"/>
              </w:rPr>
            </w:pPr>
            <w:r w:rsidRPr="00B57DAB">
              <w:rPr>
                <w:rFonts w:ascii="GHEA Grapalat" w:hAnsi="GHEA Grapalat" w:cs="Calibri"/>
                <w:color w:val="000000"/>
                <w:sz w:val="18"/>
                <w:szCs w:val="18"/>
              </w:rPr>
              <w:t>Սոցիալական ապահովություն</w:t>
            </w:r>
          </w:p>
        </w:tc>
        <w:tc>
          <w:tcPr>
            <w:tcW w:w="1134" w:type="dxa"/>
            <w:vAlign w:val="bottom"/>
          </w:tcPr>
          <w:p w:rsidR="008A20E7" w:rsidRPr="00B57DAB" w:rsidRDefault="008A20E7" w:rsidP="008A20E7">
            <w:pPr>
              <w:jc w:val="right"/>
              <w:rPr>
                <w:rFonts w:ascii="GHEA Grapalat" w:hAnsi="GHEA Grapalat"/>
                <w:sz w:val="18"/>
                <w:szCs w:val="18"/>
              </w:rPr>
            </w:pPr>
            <w:r w:rsidRPr="00B57DAB">
              <w:rPr>
                <w:rFonts w:ascii="GHEA Grapalat" w:hAnsi="GHEA Grapalat"/>
                <w:sz w:val="18"/>
                <w:szCs w:val="18"/>
              </w:rPr>
              <w:t>32,413.6</w:t>
            </w:r>
          </w:p>
        </w:tc>
        <w:tc>
          <w:tcPr>
            <w:tcW w:w="1134" w:type="dxa"/>
            <w:vAlign w:val="bottom"/>
          </w:tcPr>
          <w:p w:rsidR="008A20E7" w:rsidRPr="00B57DAB" w:rsidRDefault="008A20E7" w:rsidP="008A20E7">
            <w:pPr>
              <w:jc w:val="right"/>
              <w:rPr>
                <w:rFonts w:ascii="GHEA Grapalat" w:hAnsi="GHEA Grapalat"/>
                <w:sz w:val="18"/>
                <w:szCs w:val="18"/>
              </w:rPr>
            </w:pPr>
            <w:r w:rsidRPr="00B57DAB">
              <w:rPr>
                <w:rFonts w:ascii="GHEA Grapalat" w:hAnsi="GHEA Grapalat"/>
                <w:sz w:val="18"/>
                <w:szCs w:val="18"/>
              </w:rPr>
              <w:t>18,185.7</w:t>
            </w:r>
          </w:p>
        </w:tc>
        <w:tc>
          <w:tcPr>
            <w:tcW w:w="1134" w:type="dxa"/>
            <w:shd w:val="clear" w:color="auto" w:fill="auto"/>
            <w:vAlign w:val="bottom"/>
            <w:hideMark/>
          </w:tcPr>
          <w:p w:rsidR="008A20E7" w:rsidRPr="00B57DAB" w:rsidRDefault="008A20E7" w:rsidP="008A20E7">
            <w:pPr>
              <w:jc w:val="right"/>
              <w:rPr>
                <w:rFonts w:ascii="GHEA Grapalat" w:hAnsi="GHEA Grapalat"/>
                <w:sz w:val="18"/>
                <w:szCs w:val="18"/>
              </w:rPr>
            </w:pPr>
            <w:r w:rsidRPr="00B57DAB">
              <w:rPr>
                <w:rFonts w:ascii="GHEA Grapalat" w:hAnsi="GHEA Grapalat"/>
                <w:sz w:val="18"/>
                <w:szCs w:val="18"/>
              </w:rPr>
              <w:t>17,876.4</w:t>
            </w:r>
          </w:p>
        </w:tc>
        <w:tc>
          <w:tcPr>
            <w:tcW w:w="1276" w:type="dxa"/>
            <w:vAlign w:val="bottom"/>
          </w:tcPr>
          <w:p w:rsidR="008A20E7" w:rsidRPr="00B57DAB" w:rsidRDefault="008A20E7" w:rsidP="008A20E7">
            <w:pPr>
              <w:jc w:val="right"/>
              <w:rPr>
                <w:rFonts w:ascii="GHEA Grapalat" w:hAnsi="GHEA Grapalat"/>
                <w:sz w:val="18"/>
                <w:szCs w:val="18"/>
              </w:rPr>
            </w:pPr>
            <w:r w:rsidRPr="00B57DAB">
              <w:rPr>
                <w:rFonts w:ascii="GHEA Grapalat" w:hAnsi="GHEA Grapalat"/>
                <w:sz w:val="18"/>
                <w:szCs w:val="18"/>
              </w:rPr>
              <w:t>98.3</w:t>
            </w:r>
          </w:p>
        </w:tc>
        <w:tc>
          <w:tcPr>
            <w:tcW w:w="1275" w:type="dxa"/>
            <w:vAlign w:val="bottom"/>
          </w:tcPr>
          <w:p w:rsidR="008A20E7" w:rsidRPr="00B57DAB" w:rsidRDefault="008A20E7" w:rsidP="008A20E7">
            <w:pPr>
              <w:jc w:val="right"/>
              <w:rPr>
                <w:rFonts w:ascii="GHEA Grapalat" w:hAnsi="GHEA Grapalat"/>
                <w:sz w:val="18"/>
                <w:szCs w:val="18"/>
              </w:rPr>
            </w:pPr>
            <w:r w:rsidRPr="00B57DAB">
              <w:rPr>
                <w:rFonts w:ascii="GHEA Grapalat" w:hAnsi="GHEA Grapalat"/>
                <w:sz w:val="18"/>
                <w:szCs w:val="18"/>
              </w:rPr>
              <w:t>55.2</w:t>
            </w:r>
          </w:p>
        </w:tc>
        <w:tc>
          <w:tcPr>
            <w:tcW w:w="1126" w:type="dxa"/>
            <w:vAlign w:val="bottom"/>
          </w:tcPr>
          <w:p w:rsidR="008A20E7" w:rsidRPr="00B57DAB" w:rsidRDefault="008A20E7" w:rsidP="008A20E7">
            <w:pPr>
              <w:jc w:val="right"/>
              <w:rPr>
                <w:rFonts w:ascii="GHEA Grapalat" w:hAnsi="GHEA Grapalat"/>
                <w:sz w:val="18"/>
                <w:szCs w:val="18"/>
              </w:rPr>
            </w:pPr>
            <w:r w:rsidRPr="00B57DAB">
              <w:rPr>
                <w:rFonts w:ascii="GHEA Grapalat" w:hAnsi="GHEA Grapalat"/>
                <w:sz w:val="18"/>
                <w:szCs w:val="18"/>
              </w:rPr>
              <w:t>(14,537.2)</w:t>
            </w:r>
          </w:p>
        </w:tc>
      </w:tr>
      <w:tr w:rsidR="00F0420E" w:rsidRPr="00B57DAB" w:rsidTr="00F0420E">
        <w:trPr>
          <w:trHeight w:val="293"/>
          <w:jc w:val="center"/>
        </w:trPr>
        <w:tc>
          <w:tcPr>
            <w:tcW w:w="3111" w:type="dxa"/>
            <w:shd w:val="clear" w:color="auto" w:fill="auto"/>
            <w:vAlign w:val="bottom"/>
            <w:hideMark/>
          </w:tcPr>
          <w:p w:rsidR="00F0420E" w:rsidRPr="00B57DAB" w:rsidRDefault="00F0420E" w:rsidP="008A20E7">
            <w:pPr>
              <w:rPr>
                <w:rFonts w:ascii="GHEA Grapalat" w:hAnsi="GHEA Grapalat" w:cs="Calibri"/>
                <w:color w:val="000000"/>
                <w:sz w:val="18"/>
                <w:szCs w:val="18"/>
              </w:rPr>
            </w:pPr>
            <w:r w:rsidRPr="00B57DAB">
              <w:rPr>
                <w:rFonts w:ascii="GHEA Grapalat" w:hAnsi="GHEA Grapalat" w:cs="Calibri"/>
                <w:color w:val="000000"/>
                <w:sz w:val="18"/>
                <w:szCs w:val="18"/>
              </w:rPr>
              <w:t>Այլ ծրագրեր</w:t>
            </w:r>
          </w:p>
        </w:tc>
        <w:tc>
          <w:tcPr>
            <w:tcW w:w="1134" w:type="dxa"/>
            <w:vAlign w:val="bottom"/>
          </w:tcPr>
          <w:p w:rsidR="00F0420E" w:rsidRPr="00B57DAB" w:rsidRDefault="00F0420E" w:rsidP="00F0420E">
            <w:pPr>
              <w:spacing w:line="256" w:lineRule="auto"/>
              <w:jc w:val="right"/>
              <w:rPr>
                <w:rFonts w:ascii="GHEA Grapalat" w:hAnsi="GHEA Grapalat"/>
                <w:sz w:val="18"/>
                <w:szCs w:val="18"/>
              </w:rPr>
            </w:pPr>
            <w:r w:rsidRPr="00B57DAB">
              <w:rPr>
                <w:rFonts w:ascii="GHEA Grapalat" w:hAnsi="GHEA Grapalat"/>
                <w:sz w:val="18"/>
                <w:szCs w:val="18"/>
              </w:rPr>
              <w:t>6,552.4</w:t>
            </w:r>
          </w:p>
        </w:tc>
        <w:tc>
          <w:tcPr>
            <w:tcW w:w="1134" w:type="dxa"/>
            <w:vAlign w:val="bottom"/>
          </w:tcPr>
          <w:p w:rsidR="00F0420E" w:rsidRPr="00B57DAB" w:rsidRDefault="00F0420E" w:rsidP="00F0420E">
            <w:pPr>
              <w:spacing w:line="256" w:lineRule="auto"/>
              <w:jc w:val="right"/>
              <w:rPr>
                <w:rFonts w:ascii="GHEA Grapalat" w:hAnsi="GHEA Grapalat"/>
                <w:sz w:val="18"/>
                <w:szCs w:val="18"/>
              </w:rPr>
            </w:pPr>
            <w:r w:rsidRPr="00B57DAB">
              <w:rPr>
                <w:rFonts w:ascii="GHEA Grapalat" w:hAnsi="GHEA Grapalat"/>
                <w:sz w:val="18"/>
                <w:szCs w:val="18"/>
              </w:rPr>
              <w:t>9,716.9</w:t>
            </w:r>
          </w:p>
        </w:tc>
        <w:tc>
          <w:tcPr>
            <w:tcW w:w="1134" w:type="dxa"/>
            <w:shd w:val="clear" w:color="auto" w:fill="auto"/>
            <w:vAlign w:val="bottom"/>
            <w:hideMark/>
          </w:tcPr>
          <w:p w:rsidR="00F0420E" w:rsidRPr="00B57DAB" w:rsidRDefault="00F0420E" w:rsidP="00F0420E">
            <w:pPr>
              <w:spacing w:line="256" w:lineRule="auto"/>
              <w:jc w:val="right"/>
              <w:rPr>
                <w:rFonts w:ascii="GHEA Grapalat" w:hAnsi="GHEA Grapalat"/>
                <w:sz w:val="18"/>
                <w:szCs w:val="18"/>
              </w:rPr>
            </w:pPr>
            <w:r w:rsidRPr="00B57DAB">
              <w:rPr>
                <w:rFonts w:ascii="GHEA Grapalat" w:hAnsi="GHEA Grapalat"/>
                <w:sz w:val="18"/>
                <w:szCs w:val="18"/>
              </w:rPr>
              <w:t>7,499.5</w:t>
            </w:r>
          </w:p>
        </w:tc>
        <w:tc>
          <w:tcPr>
            <w:tcW w:w="1276" w:type="dxa"/>
            <w:vAlign w:val="bottom"/>
          </w:tcPr>
          <w:p w:rsidR="00F0420E" w:rsidRPr="00B57DAB" w:rsidRDefault="00F0420E" w:rsidP="00F0420E">
            <w:pPr>
              <w:spacing w:line="256" w:lineRule="auto"/>
              <w:jc w:val="right"/>
              <w:rPr>
                <w:rFonts w:ascii="GHEA Grapalat" w:hAnsi="GHEA Grapalat"/>
                <w:sz w:val="18"/>
                <w:szCs w:val="18"/>
              </w:rPr>
            </w:pPr>
            <w:r w:rsidRPr="00B57DAB">
              <w:rPr>
                <w:rFonts w:ascii="GHEA Grapalat" w:hAnsi="GHEA Grapalat"/>
                <w:sz w:val="18"/>
                <w:szCs w:val="18"/>
              </w:rPr>
              <w:t>77.2</w:t>
            </w:r>
          </w:p>
        </w:tc>
        <w:tc>
          <w:tcPr>
            <w:tcW w:w="1275" w:type="dxa"/>
            <w:vAlign w:val="bottom"/>
          </w:tcPr>
          <w:p w:rsidR="00F0420E" w:rsidRPr="00B57DAB" w:rsidRDefault="00F0420E" w:rsidP="00F0420E">
            <w:pPr>
              <w:spacing w:line="256" w:lineRule="auto"/>
              <w:jc w:val="right"/>
              <w:rPr>
                <w:rFonts w:ascii="GHEA Grapalat" w:hAnsi="GHEA Grapalat"/>
                <w:sz w:val="18"/>
                <w:szCs w:val="18"/>
              </w:rPr>
            </w:pPr>
            <w:r w:rsidRPr="00B57DAB">
              <w:rPr>
                <w:rFonts w:ascii="GHEA Grapalat" w:hAnsi="GHEA Grapalat"/>
                <w:sz w:val="18"/>
                <w:szCs w:val="18"/>
              </w:rPr>
              <w:t>114.5</w:t>
            </w:r>
          </w:p>
        </w:tc>
        <w:tc>
          <w:tcPr>
            <w:tcW w:w="1126" w:type="dxa"/>
            <w:vAlign w:val="bottom"/>
          </w:tcPr>
          <w:p w:rsidR="00F0420E" w:rsidRPr="00B57DAB" w:rsidRDefault="00F0420E" w:rsidP="00F0420E">
            <w:pPr>
              <w:keepNext/>
              <w:spacing w:line="256" w:lineRule="auto"/>
              <w:jc w:val="right"/>
              <w:rPr>
                <w:rFonts w:ascii="GHEA Grapalat" w:hAnsi="GHEA Grapalat"/>
                <w:sz w:val="18"/>
                <w:szCs w:val="18"/>
              </w:rPr>
            </w:pPr>
            <w:r w:rsidRPr="00B57DAB">
              <w:rPr>
                <w:rFonts w:ascii="GHEA Grapalat" w:hAnsi="GHEA Grapalat"/>
                <w:sz w:val="18"/>
                <w:szCs w:val="18"/>
              </w:rPr>
              <w:t>947.0</w:t>
            </w:r>
          </w:p>
        </w:tc>
      </w:tr>
    </w:tbl>
    <w:p w:rsidR="008A20E7" w:rsidRPr="00B57DAB" w:rsidRDefault="008A20E7" w:rsidP="008A20E7"/>
    <w:p w:rsidR="000B18ED" w:rsidRPr="00B57DAB" w:rsidRDefault="008A20E7" w:rsidP="000B18ED">
      <w:pPr>
        <w:autoSpaceDE w:val="0"/>
        <w:autoSpaceDN w:val="0"/>
        <w:adjustRightInd w:val="0"/>
        <w:spacing w:line="360" w:lineRule="auto"/>
        <w:ind w:firstLine="567"/>
        <w:jc w:val="both"/>
        <w:rPr>
          <w:rFonts w:ascii="GHEA Grapalat" w:hAnsi="GHEA Grapalat" w:cs="Times Armenian"/>
          <w:sz w:val="22"/>
          <w:szCs w:val="22"/>
          <w:lang w:val="hy-AM"/>
        </w:rPr>
      </w:pPr>
      <w:r w:rsidRPr="00B57DAB">
        <w:rPr>
          <w:rFonts w:ascii="GHEA Grapalat" w:hAnsi="GHEA Grapalat"/>
          <w:sz w:val="22"/>
          <w:szCs w:val="22"/>
        </w:rPr>
        <w:lastRenderedPageBreak/>
        <w:t xml:space="preserve">2022 թվականի առաջին եռամսյակի </w:t>
      </w:r>
      <w:r w:rsidRPr="00B57DAB">
        <w:rPr>
          <w:rFonts w:ascii="GHEA Grapalat" w:hAnsi="GHEA Grapalat" w:cs="Arial"/>
          <w:sz w:val="22"/>
          <w:szCs w:val="22"/>
        </w:rPr>
        <w:t xml:space="preserve">ընթացքում ավելի քան 7.1 մլրդ դրամ է տրամադրվել </w:t>
      </w:r>
      <w:r w:rsidRPr="00B57DAB">
        <w:rPr>
          <w:rFonts w:ascii="GHEA Grapalat" w:hAnsi="GHEA Grapalat" w:cs="Arial"/>
          <w:i/>
          <w:sz w:val="22"/>
          <w:szCs w:val="22"/>
        </w:rPr>
        <w:t>Անապահով սոցիալական խմբերին աջակցության</w:t>
      </w:r>
      <w:r w:rsidRPr="00B57DAB">
        <w:rPr>
          <w:rFonts w:ascii="GHEA Grapalat" w:hAnsi="GHEA Grapalat" w:cs="Arial"/>
          <w:sz w:val="22"/>
          <w:szCs w:val="22"/>
        </w:rPr>
        <w:t xml:space="preserve"> ծրագրին՝ ապահովելով 91.6% կատարողական </w:t>
      </w:r>
      <w:r w:rsidRPr="00B57DAB">
        <w:rPr>
          <w:rFonts w:ascii="GHEA Grapalat" w:hAnsi="GHEA Grapalat" w:cs="Times Armenian"/>
          <w:sz w:val="22"/>
          <w:szCs w:val="22"/>
        </w:rPr>
        <w:t>և 7.6</w:t>
      </w:r>
      <w:r w:rsidRPr="00B57DAB">
        <w:rPr>
          <w:rFonts w:ascii="GHEA Grapalat" w:hAnsi="GHEA Grapalat" w:cs="Sylfaen"/>
          <w:sz w:val="22"/>
          <w:szCs w:val="22"/>
          <w:lang w:val="pt-BR"/>
        </w:rPr>
        <w:t>%</w:t>
      </w:r>
      <w:r w:rsidRPr="00B57DAB">
        <w:rPr>
          <w:rFonts w:ascii="GHEA Grapalat" w:hAnsi="GHEA Grapalat" w:cs="Sylfaen"/>
          <w:sz w:val="22"/>
          <w:szCs w:val="22"/>
          <w:lang w:val="pt-BR"/>
        </w:rPr>
        <w:noBreakHyphen/>
        <w:t>ով կամ 589.7 մլն դրամով զիջելով նախորդ տարվա նույն ժամանակահատվածի ցուցանիշը</w:t>
      </w:r>
      <w:r w:rsidRPr="00B57DAB">
        <w:rPr>
          <w:rFonts w:ascii="GHEA Grapalat" w:hAnsi="GHEA Grapalat" w:cs="Times Armenian"/>
          <w:sz w:val="22"/>
          <w:szCs w:val="22"/>
        </w:rPr>
        <w:t xml:space="preserve">: Ծրագրի նկատմամբ շեղումը և նախորդ տարվա համեմատ նվազումը </w:t>
      </w:r>
      <w:r w:rsidRPr="00B57DAB">
        <w:rPr>
          <w:rFonts w:ascii="GHEA Grapalat" w:hAnsi="GHEA Grapalat" w:cs="Arial"/>
          <w:sz w:val="22"/>
          <w:szCs w:val="22"/>
        </w:rPr>
        <w:t>հիմնականում պայմանավորված</w:t>
      </w:r>
      <w:r w:rsidRPr="00B57DAB">
        <w:rPr>
          <w:rFonts w:ascii="GHEA Grapalat" w:hAnsi="GHEA Grapalat" w:cs="GHEA Grapalat"/>
          <w:sz w:val="22"/>
          <w:szCs w:val="22"/>
          <w:lang w:val="pt-BR"/>
        </w:rPr>
        <w:t xml:space="preserve"> </w:t>
      </w:r>
      <w:r w:rsidRPr="00B57DAB">
        <w:rPr>
          <w:rFonts w:ascii="GHEA Grapalat" w:hAnsi="GHEA Grapalat" w:cs="Arial"/>
          <w:sz w:val="22"/>
          <w:szCs w:val="22"/>
        </w:rPr>
        <w:t>է</w:t>
      </w:r>
      <w:r w:rsidR="00C37EEC" w:rsidRPr="00B57DAB">
        <w:rPr>
          <w:rFonts w:ascii="GHEA Grapalat" w:hAnsi="GHEA Grapalat" w:cs="Arial"/>
          <w:sz w:val="22"/>
          <w:szCs w:val="22"/>
        </w:rPr>
        <w:t xml:space="preserve"> ը</w:t>
      </w:r>
      <w:r w:rsidRPr="00B57DAB">
        <w:rPr>
          <w:rFonts w:ascii="GHEA Grapalat" w:hAnsi="GHEA Grapalat" w:cs="Times Armenian"/>
          <w:sz w:val="22"/>
          <w:szCs w:val="22"/>
        </w:rPr>
        <w:t>նտանիքի կենսամակարդակի բարձրացմանն ուղղված նպաստներ</w:t>
      </w:r>
      <w:r w:rsidR="00C37EEC" w:rsidRPr="00B57DAB">
        <w:rPr>
          <w:rFonts w:ascii="GHEA Grapalat" w:hAnsi="GHEA Grapalat" w:cs="Times Armenian"/>
          <w:sz w:val="22"/>
          <w:szCs w:val="22"/>
        </w:rPr>
        <w:t>ի գծով ծախսերի կատարողականով, որը կազմել է</w:t>
      </w:r>
      <w:r w:rsidRPr="00B57DAB">
        <w:rPr>
          <w:rFonts w:ascii="GHEA Grapalat" w:hAnsi="GHEA Grapalat" w:cs="Arial"/>
          <w:sz w:val="22"/>
          <w:szCs w:val="22"/>
        </w:rPr>
        <w:t xml:space="preserve"> 92.3% կամ 7.1 մլրդ դրամ: </w:t>
      </w:r>
      <w:r w:rsidRPr="00B57DAB">
        <w:rPr>
          <w:rFonts w:ascii="GHEA Grapalat" w:hAnsi="GHEA Grapalat" w:cs="Times Armenian"/>
          <w:sz w:val="22"/>
          <w:szCs w:val="22"/>
        </w:rPr>
        <w:t>Ընտանիքի կենսամակարդակի բարձրացմանն ուղղված նպաստների միջոցառման շրջանակներում</w:t>
      </w:r>
      <w:r w:rsidRPr="00B57DAB">
        <w:rPr>
          <w:rFonts w:ascii="GHEA Grapalat" w:hAnsi="GHEA Grapalat" w:cs="Arial"/>
          <w:sz w:val="22"/>
          <w:szCs w:val="22"/>
        </w:rPr>
        <w:t xml:space="preserve"> հաշվետու ժամանակահատվածում նպաստ է </w:t>
      </w:r>
      <w:r w:rsidRPr="00B57DAB">
        <w:rPr>
          <w:rFonts w:ascii="GHEA Grapalat" w:hAnsi="GHEA Grapalat"/>
          <w:sz w:val="22"/>
          <w:szCs w:val="22"/>
        </w:rPr>
        <w:t>ստացել</w:t>
      </w:r>
      <w:r w:rsidRPr="00B57DAB">
        <w:rPr>
          <w:rFonts w:ascii="GHEA Grapalat" w:hAnsi="GHEA Grapalat" w:cs="Arial"/>
          <w:sz w:val="22"/>
          <w:szCs w:val="22"/>
        </w:rPr>
        <w:t xml:space="preserve"> 82041 ընտանիք՝ ծրագրված 89629-ի դիմաց: </w:t>
      </w:r>
      <w:r w:rsidRPr="00B57DAB">
        <w:rPr>
          <w:rFonts w:ascii="GHEA Grapalat" w:hAnsi="GHEA Grapalat" w:cs="Arial"/>
          <w:sz w:val="22"/>
          <w:szCs w:val="22"/>
          <w:lang w:val="zu-ZA"/>
        </w:rPr>
        <w:t xml:space="preserve">Ծախսերի՝ ծրագրից շեղումը, ինչպես նաև փաստացի ցածր արդյունքային ցուցանիշները պայմանավորված են </w:t>
      </w:r>
      <w:r w:rsidR="000B18ED" w:rsidRPr="00B57DAB">
        <w:rPr>
          <w:rFonts w:ascii="GHEA Grapalat" w:hAnsi="GHEA Grapalat" w:cs="Times Armenian"/>
          <w:sz w:val="22"/>
          <w:szCs w:val="22"/>
          <w:lang w:val="hy-AM"/>
        </w:rPr>
        <w:t xml:space="preserve">ՀՀ կառավարության որոշումներով </w:t>
      </w:r>
      <w:r w:rsidR="000B18ED" w:rsidRPr="00B57DAB">
        <w:rPr>
          <w:rFonts w:ascii="GHEA Grapalat" w:hAnsi="GHEA Grapalat" w:cs="Times Armenian"/>
          <w:sz w:val="22"/>
          <w:szCs w:val="22"/>
        </w:rPr>
        <w:t xml:space="preserve">կատարված </w:t>
      </w:r>
      <w:r w:rsidR="000B18ED" w:rsidRPr="00B57DAB">
        <w:rPr>
          <w:rFonts w:ascii="GHEA Grapalat" w:hAnsi="GHEA Grapalat" w:cs="Times Armenian"/>
          <w:sz w:val="22"/>
          <w:szCs w:val="22"/>
          <w:lang w:val="hy-AM"/>
        </w:rPr>
        <w:t>փոփոխությ</w:t>
      </w:r>
      <w:r w:rsidR="000B18ED" w:rsidRPr="00B57DAB">
        <w:rPr>
          <w:rFonts w:ascii="GHEA Grapalat" w:hAnsi="GHEA Grapalat" w:cs="Times Armenian"/>
          <w:sz w:val="22"/>
          <w:szCs w:val="22"/>
        </w:rPr>
        <w:t xml:space="preserve">ունների </w:t>
      </w:r>
      <w:r w:rsidR="000B18ED" w:rsidRPr="00B57DAB">
        <w:rPr>
          <w:rFonts w:ascii="GHEA Grapalat" w:hAnsi="GHEA Grapalat" w:cs="Times Armenian"/>
          <w:sz w:val="22"/>
          <w:szCs w:val="22"/>
          <w:lang w:val="hy-AM"/>
        </w:rPr>
        <w:t>(ծերերի նվազագույն նպաստի չափի 26.5 հազար դրամից 28.6 հազար դրամ բարձրացման ու 3-րդ և ավել երեխայի ծննդյան դեպքում 50 հազար դրամ դրամական աջակցության սահմանման) հետևանքով ընտանիքի եկամուտների ավելացման, ինչպես նաև վարչարարության արդյունքում նպաստառու ընտանիքների թվի կրճատ</w:t>
      </w:r>
      <w:r w:rsidR="000B18ED" w:rsidRPr="00B57DAB">
        <w:rPr>
          <w:rFonts w:ascii="GHEA Grapalat" w:hAnsi="GHEA Grapalat" w:cs="Times Armenian"/>
          <w:sz w:val="22"/>
          <w:szCs w:val="22"/>
        </w:rPr>
        <w:t>մամբ</w:t>
      </w:r>
      <w:r w:rsidR="000B18ED" w:rsidRPr="00B57DAB">
        <w:rPr>
          <w:rFonts w:ascii="GHEA Grapalat" w:hAnsi="GHEA Grapalat" w:cs="Times Armenian"/>
          <w:sz w:val="22"/>
          <w:szCs w:val="22"/>
          <w:lang w:val="hy-AM"/>
        </w:rPr>
        <w:t>:</w:t>
      </w:r>
    </w:p>
    <w:p w:rsidR="008A20E7" w:rsidRPr="00B57DAB" w:rsidRDefault="008A20E7" w:rsidP="008A20E7">
      <w:pPr>
        <w:autoSpaceDE w:val="0"/>
        <w:autoSpaceDN w:val="0"/>
        <w:adjustRightInd w:val="0"/>
        <w:spacing w:line="360" w:lineRule="auto"/>
        <w:ind w:firstLine="567"/>
        <w:jc w:val="both"/>
        <w:rPr>
          <w:rFonts w:ascii="GHEA Grapalat" w:hAnsi="GHEA Grapalat" w:cs="Times Armenian"/>
          <w:sz w:val="22"/>
          <w:szCs w:val="22"/>
        </w:rPr>
      </w:pPr>
      <w:r w:rsidRPr="00B57DAB">
        <w:rPr>
          <w:rFonts w:ascii="GHEA Grapalat" w:hAnsi="GHEA Grapalat"/>
          <w:i/>
          <w:sz w:val="22"/>
          <w:szCs w:val="22"/>
        </w:rPr>
        <w:t>Ժողովրդագրական վիճակի բարելավման</w:t>
      </w:r>
      <w:r w:rsidRPr="00B57DAB">
        <w:rPr>
          <w:rFonts w:ascii="GHEA Grapalat" w:hAnsi="GHEA Grapalat"/>
          <w:sz w:val="22"/>
          <w:szCs w:val="22"/>
        </w:rPr>
        <w:t xml:space="preserve"> ծրագրին 2022 </w:t>
      </w:r>
      <w:r w:rsidRPr="00B57DAB">
        <w:rPr>
          <w:rFonts w:ascii="GHEA Grapalat" w:hAnsi="GHEA Grapalat" w:cs="Arial"/>
          <w:sz w:val="22"/>
          <w:szCs w:val="22"/>
        </w:rPr>
        <w:t>թվականի</w:t>
      </w:r>
      <w:r w:rsidRPr="00B57DAB">
        <w:rPr>
          <w:rFonts w:ascii="GHEA Grapalat" w:hAnsi="GHEA Grapalat" w:cs="Sylfaen"/>
          <w:sz w:val="22"/>
          <w:szCs w:val="22"/>
        </w:rPr>
        <w:t xml:space="preserve"> առաջին եռամսյակի ընթացքում տրամադրվել է 8.9 մլրդ դրամ՝</w:t>
      </w:r>
      <w:r w:rsidRPr="00B57DAB">
        <w:rPr>
          <w:rFonts w:ascii="GHEA Grapalat" w:hAnsi="GHEA Grapalat" w:cs="Times Armenian"/>
          <w:sz w:val="22"/>
          <w:szCs w:val="22"/>
        </w:rPr>
        <w:t xml:space="preserve"> </w:t>
      </w:r>
      <w:r w:rsidRPr="00B57DAB">
        <w:rPr>
          <w:rFonts w:ascii="GHEA Grapalat" w:hAnsi="GHEA Grapalat" w:cs="Sylfaen"/>
          <w:sz w:val="22"/>
          <w:szCs w:val="22"/>
        </w:rPr>
        <w:t>ապահովելով</w:t>
      </w:r>
      <w:r w:rsidRPr="00B57DAB">
        <w:rPr>
          <w:rFonts w:ascii="GHEA Grapalat" w:hAnsi="GHEA Grapalat" w:cs="Times Armenian"/>
          <w:sz w:val="22"/>
          <w:szCs w:val="22"/>
        </w:rPr>
        <w:t xml:space="preserve"> </w:t>
      </w:r>
      <w:r w:rsidRPr="00B57DAB">
        <w:rPr>
          <w:rFonts w:ascii="GHEA Grapalat" w:hAnsi="GHEA Grapalat" w:cs="Sylfaen"/>
          <w:sz w:val="22"/>
          <w:szCs w:val="22"/>
        </w:rPr>
        <w:t>ծրագրային ցուցանիշի 94.9</w:t>
      </w:r>
      <w:r w:rsidRPr="00B57DAB">
        <w:rPr>
          <w:rFonts w:ascii="GHEA Grapalat" w:hAnsi="GHEA Grapalat" w:cs="Times Armenian"/>
          <w:sz w:val="22"/>
          <w:szCs w:val="22"/>
        </w:rPr>
        <w:t xml:space="preserve">%-ը: </w:t>
      </w:r>
      <w:r w:rsidRPr="00B57DAB">
        <w:rPr>
          <w:rFonts w:ascii="GHEA Grapalat" w:hAnsi="GHEA Grapalat" w:cs="Arial"/>
          <w:sz w:val="22"/>
          <w:szCs w:val="22"/>
        </w:rPr>
        <w:t>Ծրագրում</w:t>
      </w:r>
      <w:r w:rsidRPr="00B57DAB">
        <w:rPr>
          <w:rFonts w:ascii="GHEA Grapalat" w:hAnsi="GHEA Grapalat" w:cs="Times Armenian"/>
          <w:sz w:val="22"/>
          <w:szCs w:val="22"/>
        </w:rPr>
        <w:t xml:space="preserve"> </w:t>
      </w:r>
      <w:r w:rsidRPr="00B57DAB">
        <w:rPr>
          <w:rFonts w:ascii="GHEA Grapalat" w:hAnsi="GHEA Grapalat" w:cs="Arial"/>
          <w:sz w:val="22"/>
          <w:szCs w:val="22"/>
        </w:rPr>
        <w:t>ընդգրկված</w:t>
      </w:r>
      <w:r w:rsidRPr="00B57DAB">
        <w:rPr>
          <w:rFonts w:ascii="GHEA Grapalat" w:hAnsi="GHEA Grapalat" w:cs="Times Armenian"/>
          <w:sz w:val="22"/>
          <w:szCs w:val="22"/>
        </w:rPr>
        <w:t xml:space="preserve"> </w:t>
      </w:r>
      <w:r w:rsidRPr="00B57DAB">
        <w:rPr>
          <w:rFonts w:ascii="GHEA Grapalat" w:hAnsi="GHEA Grapalat" w:cs="Arial"/>
          <w:sz w:val="22"/>
          <w:szCs w:val="22"/>
        </w:rPr>
        <w:t>են</w:t>
      </w:r>
      <w:r w:rsidRPr="00B57DAB">
        <w:rPr>
          <w:rFonts w:ascii="GHEA Grapalat" w:hAnsi="GHEA Grapalat" w:cs="Times Armenian"/>
          <w:sz w:val="22"/>
          <w:szCs w:val="22"/>
        </w:rPr>
        <w:t xml:space="preserve"> </w:t>
      </w:r>
      <w:r w:rsidRPr="00B57DAB">
        <w:rPr>
          <w:rFonts w:ascii="GHEA Grapalat" w:hAnsi="GHEA Grapalat" w:cs="Arial"/>
          <w:sz w:val="22"/>
          <w:szCs w:val="22"/>
        </w:rPr>
        <w:t>հինգ</w:t>
      </w:r>
      <w:r w:rsidRPr="00B57DAB">
        <w:rPr>
          <w:rFonts w:ascii="GHEA Grapalat" w:hAnsi="GHEA Grapalat" w:cs="Times Armenian"/>
          <w:sz w:val="22"/>
          <w:szCs w:val="22"/>
        </w:rPr>
        <w:t xml:space="preserve"> </w:t>
      </w:r>
      <w:r w:rsidRPr="00B57DAB">
        <w:rPr>
          <w:rFonts w:ascii="GHEA Grapalat" w:hAnsi="GHEA Grapalat" w:cs="Arial"/>
          <w:sz w:val="22"/>
          <w:szCs w:val="22"/>
        </w:rPr>
        <w:t>միջոցառումներ</w:t>
      </w:r>
      <w:r w:rsidRPr="00B57DAB">
        <w:rPr>
          <w:rFonts w:ascii="GHEA Grapalat" w:hAnsi="GHEA Grapalat" w:cs="Times Armenian"/>
          <w:sz w:val="22"/>
          <w:szCs w:val="22"/>
        </w:rPr>
        <w:t>, որոնց բոլորի գծով արձանագրվել են շեղումներ:</w:t>
      </w:r>
      <w:r w:rsidRPr="00B57DAB">
        <w:rPr>
          <w:rFonts w:ascii="GHEA Grapalat" w:hAnsi="GHEA Grapalat" w:cs="Sylfaen"/>
          <w:sz w:val="22"/>
          <w:szCs w:val="22"/>
          <w:lang w:val="zu-ZA"/>
        </w:rPr>
        <w:t xml:space="preserve"> </w:t>
      </w:r>
      <w:r w:rsidRPr="00B57DAB">
        <w:rPr>
          <w:rFonts w:ascii="GHEA Grapalat" w:hAnsi="GHEA Grapalat"/>
          <w:sz w:val="22"/>
          <w:szCs w:val="22"/>
        </w:rPr>
        <w:t>Ժողովրդագրական վիճակի բարելավման ծ</w:t>
      </w:r>
      <w:r w:rsidRPr="00B57DAB">
        <w:rPr>
          <w:rFonts w:ascii="GHEA Grapalat" w:hAnsi="GHEA Grapalat" w:cs="Arial"/>
          <w:sz w:val="22"/>
          <w:szCs w:val="22"/>
        </w:rPr>
        <w:t>րագրի</w:t>
      </w:r>
      <w:r w:rsidRPr="00B57DAB">
        <w:rPr>
          <w:rFonts w:ascii="GHEA Grapalat" w:hAnsi="GHEA Grapalat" w:cs="Sylfaen"/>
          <w:sz w:val="22"/>
          <w:szCs w:val="22"/>
          <w:lang w:val="zu-ZA"/>
        </w:rPr>
        <w:t xml:space="preserve"> </w:t>
      </w:r>
      <w:r w:rsidRPr="00B57DAB">
        <w:rPr>
          <w:rFonts w:ascii="GHEA Grapalat" w:hAnsi="GHEA Grapalat" w:cs="Arial"/>
          <w:sz w:val="22"/>
          <w:szCs w:val="22"/>
        </w:rPr>
        <w:t>ծախսերում</w:t>
      </w:r>
      <w:r w:rsidRPr="00B57DAB">
        <w:rPr>
          <w:rFonts w:ascii="GHEA Grapalat" w:hAnsi="GHEA Grapalat" w:cs="Sylfaen"/>
          <w:sz w:val="22"/>
          <w:szCs w:val="22"/>
          <w:lang w:val="zu-ZA"/>
        </w:rPr>
        <w:t xml:space="preserve"> </w:t>
      </w:r>
      <w:r w:rsidRPr="00B57DAB">
        <w:rPr>
          <w:rFonts w:ascii="GHEA Grapalat" w:hAnsi="GHEA Grapalat" w:cs="Times Armenian"/>
          <w:sz w:val="22"/>
          <w:szCs w:val="22"/>
        </w:rPr>
        <w:t>բարձր տեսակարար կշիռ ունեցող՝ «Ե</w:t>
      </w:r>
      <w:r w:rsidRPr="00B57DAB">
        <w:rPr>
          <w:rFonts w:ascii="GHEA Grapalat" w:hAnsi="GHEA Grapalat"/>
          <w:sz w:val="22"/>
          <w:szCs w:val="22"/>
        </w:rPr>
        <w:t>րեխայի</w:t>
      </w:r>
      <w:r w:rsidRPr="00B57DAB">
        <w:rPr>
          <w:rFonts w:ascii="GHEA Grapalat" w:hAnsi="GHEA Grapalat" w:cs="Sylfaen"/>
          <w:sz w:val="22"/>
          <w:szCs w:val="22"/>
        </w:rPr>
        <w:t xml:space="preserve"> ծննդյան միանվագ նպաստ» </w:t>
      </w:r>
      <w:r w:rsidRPr="00B57DAB">
        <w:rPr>
          <w:rFonts w:ascii="GHEA Grapalat" w:hAnsi="GHEA Grapalat" w:cs="Times Armenian"/>
          <w:sz w:val="22"/>
          <w:szCs w:val="22"/>
        </w:rPr>
        <w:t>միջոցառման շրջանակներում հաշվետու ժամանակահատվածում շահառու նորածինների թիվը կազմել է 9458՝ կանխատեսված 11604-ի դիմաց: Նշված միջոցառման</w:t>
      </w:r>
      <w:r w:rsidRPr="00B57DAB">
        <w:rPr>
          <w:rFonts w:ascii="GHEA Grapalat" w:hAnsi="GHEA Grapalat" w:cs="Sylfaen"/>
          <w:sz w:val="22"/>
          <w:szCs w:val="22"/>
        </w:rPr>
        <w:t xml:space="preserve"> գծով ծախսերը կազմել են շուրջ 5.1 մլրդ դրամ՝</w:t>
      </w:r>
      <w:r w:rsidRPr="00B57DAB">
        <w:rPr>
          <w:rFonts w:ascii="GHEA Grapalat" w:hAnsi="GHEA Grapalat" w:cs="Times Armenian"/>
          <w:sz w:val="22"/>
          <w:szCs w:val="22"/>
        </w:rPr>
        <w:t xml:space="preserve"> </w:t>
      </w:r>
      <w:r w:rsidRPr="00B57DAB">
        <w:rPr>
          <w:rFonts w:ascii="GHEA Grapalat" w:hAnsi="GHEA Grapalat" w:cs="Sylfaen"/>
          <w:sz w:val="22"/>
          <w:szCs w:val="22"/>
        </w:rPr>
        <w:t>ապահովելով</w:t>
      </w:r>
      <w:r w:rsidRPr="00B57DAB">
        <w:rPr>
          <w:rFonts w:ascii="GHEA Grapalat" w:hAnsi="GHEA Grapalat" w:cs="Times Armenian"/>
          <w:sz w:val="22"/>
          <w:szCs w:val="22"/>
        </w:rPr>
        <w:t xml:space="preserve"> եռամսյա</w:t>
      </w:r>
      <w:r w:rsidRPr="00B57DAB">
        <w:rPr>
          <w:rFonts w:ascii="GHEA Grapalat" w:hAnsi="GHEA Grapalat"/>
          <w:sz w:val="22"/>
          <w:szCs w:val="22"/>
        </w:rPr>
        <w:t xml:space="preserve"> </w:t>
      </w:r>
      <w:r w:rsidRPr="00B57DAB">
        <w:rPr>
          <w:rFonts w:ascii="GHEA Grapalat" w:hAnsi="GHEA Grapalat" w:cs="Sylfaen"/>
          <w:sz w:val="22"/>
          <w:szCs w:val="22"/>
        </w:rPr>
        <w:t>ծրագրի 93</w:t>
      </w:r>
      <w:r w:rsidRPr="00B57DAB">
        <w:rPr>
          <w:rFonts w:ascii="GHEA Grapalat" w:hAnsi="GHEA Grapalat" w:cs="Times Armenian"/>
          <w:sz w:val="22"/>
          <w:szCs w:val="22"/>
        </w:rPr>
        <w:t>% կատարողական: Շեղումը պայմանավորված է ն</w:t>
      </w:r>
      <w:r w:rsidR="00F370D0" w:rsidRPr="00B57DAB">
        <w:rPr>
          <w:rFonts w:ascii="GHEA Grapalat" w:hAnsi="GHEA Grapalat" w:cs="Times Armenian"/>
          <w:sz w:val="22"/>
          <w:szCs w:val="22"/>
        </w:rPr>
        <w:t>որածինն</w:t>
      </w:r>
      <w:r w:rsidRPr="00B57DAB">
        <w:rPr>
          <w:rFonts w:ascii="GHEA Grapalat" w:hAnsi="GHEA Grapalat" w:cs="Times Armenian"/>
          <w:sz w:val="22"/>
          <w:szCs w:val="22"/>
        </w:rPr>
        <w:t xml:space="preserve">երի թվով, </w:t>
      </w:r>
      <w:r w:rsidR="00F370D0" w:rsidRPr="00B57DAB">
        <w:rPr>
          <w:rFonts w:ascii="GHEA Grapalat" w:hAnsi="GHEA Grapalat" w:cs="Times Armenian"/>
          <w:sz w:val="22"/>
          <w:szCs w:val="22"/>
        </w:rPr>
        <w:t>ինչպես նաև ծնվածների համապատասխան կարգաթվերի՝ կանխատեսվածի համեմատ որոշ տարբերություններով:</w:t>
      </w:r>
    </w:p>
    <w:p w:rsidR="008A20E7" w:rsidRPr="00B57DAB" w:rsidRDefault="008A20E7" w:rsidP="008A20E7">
      <w:pPr>
        <w:autoSpaceDE w:val="0"/>
        <w:autoSpaceDN w:val="0"/>
        <w:adjustRightInd w:val="0"/>
        <w:spacing w:line="360" w:lineRule="auto"/>
        <w:ind w:firstLine="567"/>
        <w:jc w:val="both"/>
        <w:rPr>
          <w:rFonts w:ascii="GHEA Grapalat" w:hAnsi="GHEA Grapalat" w:cs="Sylfaen"/>
          <w:sz w:val="22"/>
          <w:szCs w:val="22"/>
          <w:lang w:val="zu-ZA"/>
        </w:rPr>
      </w:pPr>
      <w:r w:rsidRPr="00B57DAB">
        <w:rPr>
          <w:rFonts w:ascii="GHEA Grapalat" w:hAnsi="GHEA Grapalat" w:cs="Arial"/>
          <w:sz w:val="22"/>
          <w:szCs w:val="22"/>
        </w:rPr>
        <w:t xml:space="preserve">Հաշվետու ժամանակահատվածում </w:t>
      </w:r>
      <w:r w:rsidRPr="00B57DAB">
        <w:rPr>
          <w:rFonts w:ascii="GHEA Grapalat" w:hAnsi="GHEA Grapalat"/>
          <w:sz w:val="22"/>
          <w:szCs w:val="22"/>
        </w:rPr>
        <w:t>մինչև 2 տարեկան երեխայի խնամքի նպաստ է ստացել 36938 քաղաքացի՝ կանխատեսված 34800-ի փոխարեն:</w:t>
      </w:r>
      <w:r w:rsidRPr="00B57DAB">
        <w:rPr>
          <w:rFonts w:ascii="GHEA Grapalat" w:hAnsi="GHEA Grapalat" w:cs="Arial"/>
          <w:sz w:val="22"/>
          <w:szCs w:val="22"/>
        </w:rPr>
        <w:t xml:space="preserve"> </w:t>
      </w:r>
      <w:r w:rsidRPr="00B57DAB">
        <w:rPr>
          <w:rFonts w:ascii="GHEA Grapalat" w:hAnsi="GHEA Grapalat"/>
          <w:sz w:val="22"/>
          <w:szCs w:val="22"/>
        </w:rPr>
        <w:t>Ծ</w:t>
      </w:r>
      <w:r w:rsidRPr="00B57DAB">
        <w:rPr>
          <w:rFonts w:ascii="GHEA Grapalat" w:hAnsi="GHEA Grapalat" w:cs="Times Armenian"/>
          <w:sz w:val="22"/>
          <w:szCs w:val="22"/>
        </w:rPr>
        <w:t xml:space="preserve">ախսերը </w:t>
      </w:r>
      <w:r w:rsidRPr="00B57DAB">
        <w:rPr>
          <w:rFonts w:ascii="GHEA Grapalat" w:hAnsi="GHEA Grapalat" w:cs="Sylfaen"/>
          <w:sz w:val="22"/>
          <w:szCs w:val="22"/>
        </w:rPr>
        <w:t>կազմել են 3.4</w:t>
      </w:r>
      <w:r w:rsidRPr="00B57DAB">
        <w:rPr>
          <w:rFonts w:ascii="Courier New" w:hAnsi="Courier New" w:cs="Courier New"/>
          <w:sz w:val="22"/>
          <w:szCs w:val="22"/>
        </w:rPr>
        <w:t> </w:t>
      </w:r>
      <w:r w:rsidRPr="00B57DAB">
        <w:rPr>
          <w:rFonts w:ascii="GHEA Grapalat" w:hAnsi="GHEA Grapalat" w:cs="Sylfaen"/>
          <w:sz w:val="22"/>
          <w:szCs w:val="22"/>
        </w:rPr>
        <w:t>մլրդ դրամ՝</w:t>
      </w:r>
      <w:r w:rsidRPr="00B57DAB">
        <w:rPr>
          <w:rFonts w:ascii="GHEA Grapalat" w:hAnsi="GHEA Grapalat" w:cs="Times Armenian"/>
          <w:sz w:val="22"/>
          <w:szCs w:val="22"/>
        </w:rPr>
        <w:t xml:space="preserve"> </w:t>
      </w:r>
      <w:r w:rsidRPr="00B57DAB">
        <w:rPr>
          <w:rFonts w:ascii="GHEA Grapalat" w:hAnsi="GHEA Grapalat" w:cs="Sylfaen"/>
          <w:sz w:val="22"/>
          <w:szCs w:val="22"/>
        </w:rPr>
        <w:t>ապահովելով</w:t>
      </w:r>
      <w:r w:rsidRPr="00B57DAB">
        <w:rPr>
          <w:rFonts w:ascii="GHEA Grapalat" w:hAnsi="GHEA Grapalat" w:cs="Times Armenian"/>
          <w:sz w:val="22"/>
          <w:szCs w:val="22"/>
        </w:rPr>
        <w:t xml:space="preserve"> </w:t>
      </w:r>
      <w:r w:rsidRPr="00B57DAB">
        <w:rPr>
          <w:rFonts w:ascii="GHEA Grapalat" w:hAnsi="GHEA Grapalat" w:cs="Sylfaen"/>
          <w:sz w:val="22"/>
          <w:szCs w:val="22"/>
        </w:rPr>
        <w:t>99.5</w:t>
      </w:r>
      <w:r w:rsidRPr="00B57DAB">
        <w:rPr>
          <w:rFonts w:ascii="GHEA Grapalat" w:hAnsi="GHEA Grapalat" w:cs="Times Armenian"/>
          <w:sz w:val="22"/>
          <w:szCs w:val="22"/>
        </w:rPr>
        <w:t>% կատարողական:</w:t>
      </w:r>
    </w:p>
    <w:p w:rsidR="008A20E7" w:rsidRPr="00B57DAB" w:rsidRDefault="008A20E7" w:rsidP="008A20E7">
      <w:pPr>
        <w:autoSpaceDE w:val="0"/>
        <w:autoSpaceDN w:val="0"/>
        <w:adjustRightInd w:val="0"/>
        <w:spacing w:line="360" w:lineRule="auto"/>
        <w:ind w:firstLine="567"/>
        <w:jc w:val="both"/>
        <w:rPr>
          <w:rFonts w:ascii="GHEA Grapalat" w:hAnsi="GHEA Grapalat" w:cs="Times Armenian"/>
          <w:sz w:val="22"/>
          <w:szCs w:val="22"/>
        </w:rPr>
      </w:pPr>
      <w:r w:rsidRPr="00B57DAB">
        <w:rPr>
          <w:rFonts w:ascii="GHEA Grapalat" w:hAnsi="GHEA Grapalat" w:cs="Times Armenian"/>
          <w:sz w:val="22"/>
          <w:szCs w:val="22"/>
        </w:rPr>
        <w:t>Նախորդ տարվա համեմատ Ժողովրդագրական վիճակի բարելավման ծրագրի ծախսերն աճել են 4</w:t>
      </w:r>
      <w:r w:rsidRPr="00B57DAB">
        <w:rPr>
          <w:rFonts w:ascii="GHEA Grapalat" w:hAnsi="GHEA Grapalat" w:cs="Times Armenian"/>
          <w:sz w:val="22"/>
          <w:szCs w:val="22"/>
          <w:lang w:val="zu-ZA"/>
        </w:rPr>
        <w:t>1</w:t>
      </w:r>
      <w:r w:rsidRPr="00B57DAB">
        <w:rPr>
          <w:rFonts w:ascii="GHEA Grapalat" w:hAnsi="GHEA Grapalat" w:cs="Times Armenian"/>
          <w:sz w:val="22"/>
          <w:szCs w:val="22"/>
        </w:rPr>
        <w:t>.</w:t>
      </w:r>
      <w:r w:rsidRPr="00B57DAB">
        <w:rPr>
          <w:rFonts w:ascii="GHEA Grapalat" w:hAnsi="GHEA Grapalat" w:cs="Times Armenian"/>
          <w:sz w:val="22"/>
          <w:szCs w:val="22"/>
          <w:lang w:val="zu-ZA"/>
        </w:rPr>
        <w:t>1</w:t>
      </w:r>
      <w:r w:rsidRPr="00B57DAB">
        <w:rPr>
          <w:rFonts w:ascii="GHEA Grapalat" w:hAnsi="GHEA Grapalat" w:cs="Times Armenian"/>
          <w:sz w:val="22"/>
          <w:szCs w:val="22"/>
        </w:rPr>
        <w:t>%-ով կամ 2.</w:t>
      </w:r>
      <w:r w:rsidRPr="00B57DAB">
        <w:rPr>
          <w:rFonts w:ascii="GHEA Grapalat" w:hAnsi="GHEA Grapalat" w:cs="Times Armenian"/>
          <w:sz w:val="22"/>
          <w:szCs w:val="22"/>
          <w:lang w:val="zu-ZA"/>
        </w:rPr>
        <w:t>6</w:t>
      </w:r>
      <w:r w:rsidRPr="00B57DAB">
        <w:rPr>
          <w:rFonts w:ascii="GHEA Grapalat" w:hAnsi="GHEA Grapalat" w:cs="Times Armenian"/>
          <w:sz w:val="22"/>
          <w:szCs w:val="22"/>
        </w:rPr>
        <w:t xml:space="preserve"> մլրդ դրամով՝ հիմնականում պայմանավորված մինչև 2 տարեկան երեխայի խնամքի նպաստի և երեխայի ծննդյան միանվագ նպաստի գծով ծախսերի համապատասխանաբար </w:t>
      </w:r>
      <w:r w:rsidRPr="00B57DAB">
        <w:rPr>
          <w:rFonts w:ascii="GHEA Grapalat" w:hAnsi="GHEA Grapalat" w:cs="Times Armenian"/>
          <w:sz w:val="22"/>
          <w:szCs w:val="22"/>
          <w:lang w:val="zu-ZA"/>
        </w:rPr>
        <w:t>103</w:t>
      </w:r>
      <w:r w:rsidRPr="00B57DAB">
        <w:rPr>
          <w:rFonts w:ascii="GHEA Grapalat" w:hAnsi="GHEA Grapalat" w:cs="Times Armenian"/>
          <w:sz w:val="22"/>
          <w:szCs w:val="22"/>
        </w:rPr>
        <w:t>% (1.</w:t>
      </w:r>
      <w:r w:rsidRPr="00B57DAB">
        <w:rPr>
          <w:rFonts w:ascii="GHEA Grapalat" w:hAnsi="GHEA Grapalat" w:cs="Times Armenian"/>
          <w:sz w:val="22"/>
          <w:szCs w:val="22"/>
          <w:lang w:val="zu-ZA"/>
        </w:rPr>
        <w:t>7</w:t>
      </w:r>
      <w:r w:rsidRPr="00B57DAB">
        <w:rPr>
          <w:rFonts w:ascii="GHEA Grapalat" w:hAnsi="GHEA Grapalat" w:cs="Times Armenian"/>
          <w:sz w:val="22"/>
          <w:szCs w:val="22"/>
        </w:rPr>
        <w:t xml:space="preserve"> մլրդ դրամ) և 1</w:t>
      </w:r>
      <w:r w:rsidRPr="00B57DAB">
        <w:rPr>
          <w:rFonts w:ascii="GHEA Grapalat" w:hAnsi="GHEA Grapalat" w:cs="Times Armenian"/>
          <w:sz w:val="22"/>
          <w:szCs w:val="22"/>
          <w:lang w:val="zu-ZA"/>
        </w:rPr>
        <w:t>5</w:t>
      </w:r>
      <w:r w:rsidRPr="00B57DAB">
        <w:rPr>
          <w:rFonts w:ascii="GHEA Grapalat" w:hAnsi="GHEA Grapalat" w:cs="Times Armenian"/>
          <w:sz w:val="22"/>
          <w:szCs w:val="22"/>
        </w:rPr>
        <w:t>.</w:t>
      </w:r>
      <w:r w:rsidRPr="00B57DAB">
        <w:rPr>
          <w:rFonts w:ascii="GHEA Grapalat" w:hAnsi="GHEA Grapalat" w:cs="Times Armenian"/>
          <w:sz w:val="22"/>
          <w:szCs w:val="22"/>
          <w:lang w:val="zu-ZA"/>
        </w:rPr>
        <w:t>2</w:t>
      </w:r>
      <w:r w:rsidRPr="00B57DAB">
        <w:rPr>
          <w:rFonts w:ascii="GHEA Grapalat" w:hAnsi="GHEA Grapalat" w:cs="Times Armenian"/>
          <w:sz w:val="22"/>
          <w:szCs w:val="22"/>
        </w:rPr>
        <w:t>% (672.</w:t>
      </w:r>
      <w:r w:rsidRPr="00B57DAB">
        <w:rPr>
          <w:rFonts w:ascii="GHEA Grapalat" w:hAnsi="GHEA Grapalat" w:cs="Times Armenian"/>
          <w:sz w:val="22"/>
          <w:szCs w:val="22"/>
          <w:lang w:val="zu-ZA"/>
        </w:rPr>
        <w:t>8</w:t>
      </w:r>
      <w:r w:rsidRPr="00B57DAB">
        <w:rPr>
          <w:rFonts w:ascii="GHEA Grapalat" w:hAnsi="GHEA Grapalat" w:cs="Times Armenian"/>
          <w:sz w:val="22"/>
          <w:szCs w:val="22"/>
        </w:rPr>
        <w:t xml:space="preserve"> մլն դրամ) աճով: </w:t>
      </w:r>
    </w:p>
    <w:p w:rsidR="00E93719" w:rsidRPr="00B57DAB" w:rsidRDefault="00E93719" w:rsidP="00E93719">
      <w:pPr>
        <w:autoSpaceDE w:val="0"/>
        <w:autoSpaceDN w:val="0"/>
        <w:adjustRightInd w:val="0"/>
        <w:spacing w:line="360" w:lineRule="auto"/>
        <w:ind w:firstLine="567"/>
        <w:jc w:val="both"/>
        <w:rPr>
          <w:rFonts w:ascii="GHEA Grapalat" w:hAnsi="GHEA Grapalat" w:cs="Times Armenian"/>
          <w:sz w:val="22"/>
          <w:szCs w:val="22"/>
        </w:rPr>
      </w:pPr>
      <w:r w:rsidRPr="00B57DAB">
        <w:rPr>
          <w:rFonts w:ascii="GHEA Grapalat" w:hAnsi="GHEA Grapalat"/>
          <w:i/>
          <w:sz w:val="22"/>
          <w:szCs w:val="22"/>
        </w:rPr>
        <w:t>Անաշխատունակության դեպքում սոցիալական աջակցության</w:t>
      </w:r>
      <w:r w:rsidRPr="00B57DAB">
        <w:rPr>
          <w:rFonts w:ascii="GHEA Grapalat" w:hAnsi="GHEA Grapalat"/>
          <w:sz w:val="22"/>
          <w:szCs w:val="22"/>
        </w:rPr>
        <w:t xml:space="preserve"> ծրագրին հաշվետու ժամանակահատվածում </w:t>
      </w:r>
      <w:r w:rsidRPr="00B57DAB">
        <w:rPr>
          <w:rFonts w:ascii="GHEA Grapalat" w:hAnsi="GHEA Grapalat" w:cs="Sylfaen"/>
          <w:sz w:val="22"/>
          <w:szCs w:val="22"/>
        </w:rPr>
        <w:t>տրամադրվել է 4.6 մլրդ դրամ՝</w:t>
      </w:r>
      <w:r w:rsidRPr="00B57DAB">
        <w:rPr>
          <w:rFonts w:ascii="GHEA Grapalat" w:hAnsi="GHEA Grapalat" w:cs="Times Armenian"/>
          <w:sz w:val="22"/>
          <w:szCs w:val="22"/>
        </w:rPr>
        <w:t xml:space="preserve"> </w:t>
      </w:r>
      <w:r w:rsidRPr="00B57DAB">
        <w:rPr>
          <w:rFonts w:ascii="GHEA Grapalat" w:hAnsi="GHEA Grapalat" w:cs="Sylfaen"/>
          <w:sz w:val="22"/>
          <w:szCs w:val="22"/>
        </w:rPr>
        <w:t>ապահովելով</w:t>
      </w:r>
      <w:r w:rsidRPr="00B57DAB">
        <w:rPr>
          <w:rFonts w:ascii="GHEA Grapalat" w:hAnsi="GHEA Grapalat" w:cs="Times Armenian"/>
          <w:sz w:val="22"/>
          <w:szCs w:val="22"/>
        </w:rPr>
        <w:t xml:space="preserve"> </w:t>
      </w:r>
      <w:r w:rsidRPr="00B57DAB">
        <w:rPr>
          <w:rFonts w:ascii="GHEA Grapalat" w:hAnsi="GHEA Grapalat" w:cs="Sylfaen"/>
          <w:sz w:val="22"/>
          <w:szCs w:val="22"/>
        </w:rPr>
        <w:t xml:space="preserve">ծրագրված ցուցանիշի </w:t>
      </w:r>
      <w:r w:rsidRPr="00B57DAB">
        <w:rPr>
          <w:rFonts w:ascii="GHEA Grapalat" w:hAnsi="GHEA Grapalat" w:cs="Sylfaen"/>
          <w:sz w:val="22"/>
          <w:szCs w:val="22"/>
        </w:rPr>
        <w:lastRenderedPageBreak/>
        <w:t>97.3</w:t>
      </w:r>
      <w:r w:rsidRPr="00B57DAB">
        <w:rPr>
          <w:rFonts w:ascii="GHEA Grapalat" w:hAnsi="GHEA Grapalat" w:cs="Times Armenian"/>
          <w:sz w:val="22"/>
          <w:szCs w:val="22"/>
        </w:rPr>
        <w:t>%</w:t>
      </w:r>
      <w:r w:rsidRPr="00B57DAB">
        <w:rPr>
          <w:rFonts w:ascii="GHEA Grapalat" w:hAnsi="GHEA Grapalat" w:cs="Times Armenian"/>
          <w:sz w:val="22"/>
          <w:szCs w:val="22"/>
        </w:rPr>
        <w:noBreakHyphen/>
        <w:t xml:space="preserve">ը: </w:t>
      </w:r>
      <w:r w:rsidRPr="00B57DAB">
        <w:rPr>
          <w:rFonts w:ascii="GHEA Grapalat" w:hAnsi="GHEA Grapalat" w:cs="Arial"/>
          <w:sz w:val="22"/>
          <w:szCs w:val="22"/>
        </w:rPr>
        <w:t>Շեղումը</w:t>
      </w:r>
      <w:r w:rsidRPr="00B57DAB">
        <w:rPr>
          <w:rFonts w:ascii="GHEA Grapalat" w:hAnsi="GHEA Grapalat" w:cs="Arial"/>
          <w:sz w:val="22"/>
          <w:szCs w:val="22"/>
          <w:lang w:val="zu-ZA"/>
        </w:rPr>
        <w:t xml:space="preserve"> </w:t>
      </w:r>
      <w:r w:rsidRPr="00B57DAB">
        <w:rPr>
          <w:rFonts w:ascii="GHEA Grapalat" w:hAnsi="GHEA Grapalat" w:cs="Arial"/>
          <w:sz w:val="22"/>
          <w:szCs w:val="22"/>
        </w:rPr>
        <w:t>հիմնականում</w:t>
      </w:r>
      <w:r w:rsidRPr="00B57DAB">
        <w:rPr>
          <w:rFonts w:ascii="GHEA Grapalat" w:hAnsi="GHEA Grapalat" w:cs="Arial"/>
          <w:sz w:val="22"/>
          <w:szCs w:val="22"/>
          <w:lang w:val="zu-ZA"/>
        </w:rPr>
        <w:t xml:space="preserve"> </w:t>
      </w:r>
      <w:r w:rsidRPr="00B57DAB">
        <w:rPr>
          <w:rFonts w:ascii="GHEA Grapalat" w:hAnsi="GHEA Grapalat" w:cs="Arial"/>
          <w:sz w:val="22"/>
          <w:szCs w:val="22"/>
        </w:rPr>
        <w:t>պայմանավորված</w:t>
      </w:r>
      <w:r w:rsidRPr="00B57DAB">
        <w:rPr>
          <w:rFonts w:ascii="GHEA Grapalat" w:hAnsi="GHEA Grapalat" w:cs="Arial"/>
          <w:sz w:val="22"/>
          <w:szCs w:val="22"/>
          <w:lang w:val="zu-ZA"/>
        </w:rPr>
        <w:t xml:space="preserve"> </w:t>
      </w:r>
      <w:r w:rsidRPr="00B57DAB">
        <w:rPr>
          <w:rFonts w:ascii="GHEA Grapalat" w:hAnsi="GHEA Grapalat" w:cs="Arial"/>
          <w:sz w:val="22"/>
          <w:szCs w:val="22"/>
        </w:rPr>
        <w:t>է</w:t>
      </w:r>
      <w:r w:rsidRPr="00B57DAB">
        <w:rPr>
          <w:rFonts w:ascii="GHEA Grapalat" w:hAnsi="GHEA Grapalat"/>
          <w:sz w:val="22"/>
          <w:szCs w:val="22"/>
          <w:lang w:val="zu-ZA"/>
        </w:rPr>
        <w:t xml:space="preserve"> ծրագրի ծախսերում </w:t>
      </w:r>
      <w:r w:rsidRPr="00B57DAB">
        <w:rPr>
          <w:rFonts w:ascii="GHEA Grapalat" w:hAnsi="GHEA Grapalat" w:cs="Arial"/>
          <w:sz w:val="22"/>
          <w:szCs w:val="22"/>
        </w:rPr>
        <w:t>մեծ</w:t>
      </w:r>
      <w:r w:rsidRPr="00B57DAB">
        <w:rPr>
          <w:rFonts w:ascii="GHEA Grapalat" w:hAnsi="GHEA Grapalat" w:cs="Sylfaen"/>
          <w:sz w:val="22"/>
          <w:szCs w:val="22"/>
          <w:lang w:val="zu-ZA"/>
        </w:rPr>
        <w:t xml:space="preserve"> </w:t>
      </w:r>
      <w:r w:rsidRPr="00B57DAB">
        <w:rPr>
          <w:rFonts w:ascii="GHEA Grapalat" w:hAnsi="GHEA Grapalat" w:cs="Arial"/>
          <w:sz w:val="22"/>
          <w:szCs w:val="22"/>
        </w:rPr>
        <w:t>տեսակարար</w:t>
      </w:r>
      <w:r w:rsidRPr="00B57DAB">
        <w:rPr>
          <w:rFonts w:ascii="GHEA Grapalat" w:hAnsi="GHEA Grapalat" w:cs="Sylfaen"/>
          <w:sz w:val="22"/>
          <w:szCs w:val="22"/>
          <w:lang w:val="zu-ZA"/>
        </w:rPr>
        <w:t xml:space="preserve"> </w:t>
      </w:r>
      <w:r w:rsidRPr="00B57DAB">
        <w:rPr>
          <w:rFonts w:ascii="GHEA Grapalat" w:hAnsi="GHEA Grapalat" w:cs="Arial"/>
          <w:sz w:val="22"/>
          <w:szCs w:val="22"/>
        </w:rPr>
        <w:t>կշիռ</w:t>
      </w:r>
      <w:r w:rsidRPr="00B57DAB">
        <w:rPr>
          <w:rFonts w:ascii="GHEA Grapalat" w:hAnsi="GHEA Grapalat" w:cs="Sylfaen"/>
          <w:sz w:val="22"/>
          <w:szCs w:val="22"/>
          <w:lang w:val="zu-ZA"/>
        </w:rPr>
        <w:t xml:space="preserve"> ունեցող մ</w:t>
      </w:r>
      <w:r w:rsidRPr="00B57DAB">
        <w:rPr>
          <w:rFonts w:ascii="GHEA Grapalat" w:hAnsi="GHEA Grapalat"/>
          <w:sz w:val="22"/>
          <w:szCs w:val="22"/>
        </w:rPr>
        <w:t>այրության</w:t>
      </w:r>
      <w:r w:rsidRPr="00B57DAB">
        <w:rPr>
          <w:rFonts w:ascii="GHEA Grapalat" w:hAnsi="GHEA Grapalat"/>
          <w:sz w:val="22"/>
          <w:szCs w:val="22"/>
          <w:lang w:val="af-ZA"/>
        </w:rPr>
        <w:t xml:space="preserve"> </w:t>
      </w:r>
      <w:r w:rsidRPr="00B57DAB">
        <w:rPr>
          <w:rFonts w:ascii="GHEA Grapalat" w:hAnsi="GHEA Grapalat"/>
          <w:sz w:val="22"/>
          <w:szCs w:val="22"/>
        </w:rPr>
        <w:t>նպաստ</w:t>
      </w:r>
      <w:r w:rsidRPr="00B57DAB">
        <w:rPr>
          <w:rFonts w:ascii="GHEA Grapalat" w:hAnsi="GHEA Grapalat" w:cs="Arial"/>
          <w:sz w:val="22"/>
          <w:szCs w:val="22"/>
          <w:lang w:val="zu-ZA"/>
        </w:rPr>
        <w:t>ի գծով ծախսերի</w:t>
      </w:r>
      <w:r w:rsidRPr="00B57DAB">
        <w:rPr>
          <w:rFonts w:ascii="GHEA Grapalat" w:hAnsi="GHEA Grapalat" w:cs="Arial"/>
          <w:sz w:val="22"/>
          <w:szCs w:val="22"/>
        </w:rPr>
        <w:t xml:space="preserve"> կատարողականով</w:t>
      </w:r>
      <w:r w:rsidRPr="00B57DAB">
        <w:rPr>
          <w:rFonts w:ascii="GHEA Grapalat" w:hAnsi="GHEA Grapalat" w:cs="Sylfaen"/>
          <w:sz w:val="22"/>
          <w:szCs w:val="22"/>
        </w:rPr>
        <w:t>:</w:t>
      </w:r>
      <w:r w:rsidRPr="00B57DAB">
        <w:rPr>
          <w:rFonts w:ascii="GHEA Grapalat" w:hAnsi="GHEA Grapalat" w:cs="Sylfaen"/>
          <w:sz w:val="22"/>
          <w:szCs w:val="22"/>
          <w:lang w:val="zu-ZA"/>
        </w:rPr>
        <w:t xml:space="preserve"> Մ</w:t>
      </w:r>
      <w:r w:rsidRPr="00B57DAB">
        <w:rPr>
          <w:rFonts w:ascii="GHEA Grapalat" w:hAnsi="GHEA Grapalat"/>
          <w:sz w:val="22"/>
          <w:szCs w:val="22"/>
        </w:rPr>
        <w:t>այրության</w:t>
      </w:r>
      <w:r w:rsidRPr="00B57DAB">
        <w:rPr>
          <w:rFonts w:ascii="GHEA Grapalat" w:hAnsi="GHEA Grapalat"/>
          <w:sz w:val="22"/>
          <w:szCs w:val="22"/>
          <w:lang w:val="af-ZA"/>
        </w:rPr>
        <w:t xml:space="preserve"> </w:t>
      </w:r>
      <w:r w:rsidRPr="00B57DAB">
        <w:rPr>
          <w:rFonts w:ascii="GHEA Grapalat" w:hAnsi="GHEA Grapalat"/>
          <w:sz w:val="22"/>
          <w:szCs w:val="22"/>
        </w:rPr>
        <w:t>նպաստ</w:t>
      </w:r>
      <w:r w:rsidRPr="00B57DAB">
        <w:rPr>
          <w:rFonts w:ascii="GHEA Grapalat" w:hAnsi="GHEA Grapalat"/>
          <w:sz w:val="22"/>
          <w:szCs w:val="22"/>
          <w:lang w:val="af-ZA"/>
        </w:rPr>
        <w:t xml:space="preserve"> </w:t>
      </w:r>
      <w:r w:rsidRPr="00B57DAB">
        <w:rPr>
          <w:rFonts w:ascii="GHEA Grapalat" w:hAnsi="GHEA Grapalat"/>
          <w:sz w:val="22"/>
          <w:szCs w:val="22"/>
        </w:rPr>
        <w:t>ստացող</w:t>
      </w:r>
      <w:r w:rsidRPr="00B57DAB">
        <w:rPr>
          <w:rFonts w:ascii="GHEA Grapalat" w:hAnsi="GHEA Grapalat"/>
          <w:sz w:val="22"/>
          <w:szCs w:val="22"/>
          <w:lang w:val="af-ZA"/>
        </w:rPr>
        <w:t xml:space="preserve"> </w:t>
      </w:r>
      <w:r w:rsidRPr="00B57DAB">
        <w:rPr>
          <w:rFonts w:ascii="GHEA Grapalat" w:hAnsi="GHEA Grapalat"/>
          <w:sz w:val="22"/>
          <w:szCs w:val="22"/>
        </w:rPr>
        <w:t>աշխատող</w:t>
      </w:r>
      <w:r w:rsidRPr="00B57DAB">
        <w:rPr>
          <w:rFonts w:ascii="GHEA Grapalat" w:hAnsi="GHEA Grapalat"/>
          <w:sz w:val="22"/>
          <w:szCs w:val="22"/>
          <w:lang w:val="af-ZA"/>
        </w:rPr>
        <w:t xml:space="preserve"> </w:t>
      </w:r>
      <w:r w:rsidRPr="00B57DAB">
        <w:rPr>
          <w:rFonts w:ascii="GHEA Grapalat" w:hAnsi="GHEA Grapalat"/>
          <w:sz w:val="22"/>
          <w:szCs w:val="22"/>
        </w:rPr>
        <w:t>անձանց</w:t>
      </w:r>
      <w:r w:rsidRPr="00B57DAB">
        <w:rPr>
          <w:rFonts w:ascii="GHEA Grapalat" w:hAnsi="GHEA Grapalat"/>
          <w:sz w:val="22"/>
          <w:szCs w:val="22"/>
          <w:lang w:val="af-ZA"/>
        </w:rPr>
        <w:t xml:space="preserve"> </w:t>
      </w:r>
      <w:r w:rsidRPr="00B57DAB">
        <w:rPr>
          <w:rFonts w:ascii="GHEA Grapalat" w:hAnsi="GHEA Grapalat"/>
          <w:sz w:val="22"/>
          <w:szCs w:val="22"/>
        </w:rPr>
        <w:t>թիվը</w:t>
      </w:r>
      <w:r w:rsidRPr="00B57DAB">
        <w:rPr>
          <w:rFonts w:ascii="GHEA Grapalat" w:hAnsi="GHEA Grapalat"/>
          <w:sz w:val="22"/>
          <w:szCs w:val="22"/>
          <w:lang w:val="af-ZA"/>
        </w:rPr>
        <w:t xml:space="preserve"> հաշվետու ժամանակահատվածում կազմել է 3807՝ կանխատեսված 3286-ի դիմաց, իսկ չ</w:t>
      </w:r>
      <w:r w:rsidRPr="00B57DAB">
        <w:rPr>
          <w:rFonts w:ascii="GHEA Grapalat" w:hAnsi="GHEA Grapalat"/>
          <w:sz w:val="22"/>
          <w:szCs w:val="22"/>
        </w:rPr>
        <w:t>աշխատող</w:t>
      </w:r>
      <w:r w:rsidRPr="00B57DAB">
        <w:rPr>
          <w:rFonts w:ascii="GHEA Grapalat" w:hAnsi="GHEA Grapalat"/>
          <w:sz w:val="22"/>
          <w:szCs w:val="22"/>
          <w:lang w:val="af-ZA"/>
        </w:rPr>
        <w:t xml:space="preserve"> </w:t>
      </w:r>
      <w:r w:rsidRPr="00B57DAB">
        <w:rPr>
          <w:rFonts w:ascii="GHEA Grapalat" w:hAnsi="GHEA Grapalat"/>
          <w:sz w:val="22"/>
          <w:szCs w:val="22"/>
        </w:rPr>
        <w:t>անձանց</w:t>
      </w:r>
      <w:r w:rsidRPr="00B57DAB">
        <w:rPr>
          <w:rFonts w:ascii="GHEA Grapalat" w:hAnsi="GHEA Grapalat"/>
          <w:sz w:val="22"/>
          <w:szCs w:val="22"/>
          <w:lang w:val="af-ZA"/>
        </w:rPr>
        <w:t xml:space="preserve"> </w:t>
      </w:r>
      <w:r w:rsidRPr="00B57DAB">
        <w:rPr>
          <w:rFonts w:ascii="GHEA Grapalat" w:hAnsi="GHEA Grapalat"/>
          <w:sz w:val="22"/>
          <w:szCs w:val="22"/>
        </w:rPr>
        <w:t>թիվը՝ 4932՝ կանխատեսված 6061-ի դիմաց: Մայրության</w:t>
      </w:r>
      <w:r w:rsidRPr="00B57DAB">
        <w:rPr>
          <w:rFonts w:ascii="GHEA Grapalat" w:hAnsi="GHEA Grapalat" w:cs="Times Armenian"/>
          <w:sz w:val="22"/>
          <w:szCs w:val="22"/>
        </w:rPr>
        <w:t xml:space="preserve"> նպաստի գծով ծախսերը կազմել են 3.2</w:t>
      </w:r>
      <w:r w:rsidRPr="00B57DAB">
        <w:rPr>
          <w:rFonts w:ascii="Courier New" w:hAnsi="Courier New" w:cs="Courier New"/>
          <w:sz w:val="22"/>
          <w:szCs w:val="22"/>
        </w:rPr>
        <w:t> </w:t>
      </w:r>
      <w:r w:rsidRPr="00B57DAB">
        <w:rPr>
          <w:rFonts w:ascii="GHEA Grapalat" w:hAnsi="GHEA Grapalat" w:cs="Sylfaen"/>
          <w:sz w:val="22"/>
          <w:szCs w:val="22"/>
        </w:rPr>
        <w:t>մլրդ դրամ կամ նախատեսվածի 96.2</w:t>
      </w:r>
      <w:r w:rsidRPr="00B57DAB">
        <w:rPr>
          <w:rFonts w:ascii="GHEA Grapalat" w:hAnsi="GHEA Grapalat" w:cs="Times Armenian"/>
          <w:sz w:val="22"/>
          <w:szCs w:val="22"/>
        </w:rPr>
        <w:t>%-ը՝ պայմանավորված փաստացի պահանջով:</w:t>
      </w:r>
    </w:p>
    <w:p w:rsidR="00E93719" w:rsidRPr="00B57DAB" w:rsidRDefault="00E93719" w:rsidP="00E93719">
      <w:pPr>
        <w:autoSpaceDE w:val="0"/>
        <w:autoSpaceDN w:val="0"/>
        <w:adjustRightInd w:val="0"/>
        <w:spacing w:line="360" w:lineRule="auto"/>
        <w:ind w:firstLine="567"/>
        <w:jc w:val="both"/>
        <w:rPr>
          <w:rFonts w:ascii="GHEA Grapalat" w:hAnsi="GHEA Grapalat" w:cs="Times Armenian"/>
          <w:sz w:val="22"/>
          <w:szCs w:val="22"/>
        </w:rPr>
      </w:pPr>
      <w:r w:rsidRPr="00B57DAB">
        <w:rPr>
          <w:rFonts w:ascii="GHEA Grapalat" w:hAnsi="GHEA Grapalat" w:cs="Times Armenian"/>
          <w:sz w:val="22"/>
          <w:szCs w:val="22"/>
        </w:rPr>
        <w:t>Ամբողջությամբ օգտագործվել է Ժամանակավոր անաշխատունակության դեպքում նպաստի համար հատկացված շուրջ 1.4 մլրդ դրամը:</w:t>
      </w:r>
    </w:p>
    <w:p w:rsidR="00E93719" w:rsidRPr="00B57DAB" w:rsidRDefault="00E93719" w:rsidP="00E93719">
      <w:pPr>
        <w:autoSpaceDE w:val="0"/>
        <w:autoSpaceDN w:val="0"/>
        <w:adjustRightInd w:val="0"/>
        <w:spacing w:line="360" w:lineRule="auto"/>
        <w:ind w:firstLine="567"/>
        <w:jc w:val="both"/>
        <w:rPr>
          <w:rFonts w:ascii="GHEA Grapalat" w:hAnsi="GHEA Grapalat" w:cs="Times Armenian"/>
          <w:sz w:val="22"/>
          <w:szCs w:val="22"/>
        </w:rPr>
      </w:pPr>
      <w:r w:rsidRPr="00B57DAB">
        <w:rPr>
          <w:rFonts w:ascii="GHEA Grapalat" w:hAnsi="GHEA Grapalat" w:cs="Times Armenian"/>
          <w:sz w:val="22"/>
          <w:szCs w:val="22"/>
        </w:rPr>
        <w:t>2021 թվականի հաշվետու ժամանակահատվածի համեմատ Անաշխատունակության դեպքում սոցիալական աջակցության ծրագրի ծախսերն աճել են 14.6%-ով կամ 582.6 մլն դրամով՝ հիմնականում պայմանավորված ժամանակավոր անաշխատունակության դեպքում տրամադրվող նպաստի և մայրության նպաստի գծով ծախսերի համապատասխանաբար 53.1% (478.4 մլն դրամ) և 3.4% (103.5 մլն դրամ) աճով:</w:t>
      </w:r>
    </w:p>
    <w:p w:rsidR="008A20E7" w:rsidRPr="00B57DAB" w:rsidRDefault="008A20E7" w:rsidP="008A20E7">
      <w:pPr>
        <w:spacing w:line="360" w:lineRule="auto"/>
        <w:ind w:firstLine="561"/>
        <w:jc w:val="both"/>
        <w:rPr>
          <w:rFonts w:ascii="GHEA Grapalat" w:hAnsi="GHEA Grapalat" w:cs="Times Armenian"/>
          <w:sz w:val="22"/>
          <w:szCs w:val="22"/>
        </w:rPr>
      </w:pPr>
      <w:r w:rsidRPr="00B57DAB">
        <w:rPr>
          <w:rFonts w:ascii="GHEA Grapalat" w:hAnsi="GHEA Grapalat" w:cs="Times Armenian"/>
          <w:sz w:val="22"/>
          <w:szCs w:val="22"/>
        </w:rPr>
        <w:t xml:space="preserve">2022 թվականի առաջին եռամսյակի ընթացքում ՀՀ ԱՍՀՆ-ին հատկացված միջոցների գերակշիռ մասը՝ 97.8 մլրդ դրամ, տրամադրվել է </w:t>
      </w:r>
      <w:r w:rsidRPr="00B57DAB">
        <w:rPr>
          <w:rFonts w:ascii="GHEA Grapalat" w:hAnsi="GHEA Grapalat" w:cs="Times Armenian"/>
          <w:i/>
          <w:sz w:val="22"/>
          <w:szCs w:val="22"/>
        </w:rPr>
        <w:t>Կենսաթոշակային ապահովության</w:t>
      </w:r>
      <w:r w:rsidRPr="00B57DAB">
        <w:rPr>
          <w:rFonts w:ascii="GHEA Grapalat" w:hAnsi="GHEA Grapalat" w:cs="Times Armenian"/>
          <w:sz w:val="22"/>
          <w:szCs w:val="22"/>
        </w:rPr>
        <w:t xml:space="preserve"> ծրագրի ֆինանսավորմանը՝ կազմելով ծրագրված ցուցանիշի 90.4%-ը:</w:t>
      </w:r>
      <w:r w:rsidRPr="00B57DAB">
        <w:rPr>
          <w:rFonts w:ascii="GHEA Grapalat" w:hAnsi="GHEA Grapalat" w:cs="Arial"/>
          <w:sz w:val="22"/>
          <w:szCs w:val="22"/>
        </w:rPr>
        <w:t xml:space="preserve"> Շեղումը հիմնականում պայմանավորված է «Կուտակային հատկացումներ մասնակցի կենսաթոշակային հաշվին» և «Աշխատանքային կենսաթոշակներ» միջոցառումների գծով ծախսերի կատարողականներով</w:t>
      </w:r>
      <w:r w:rsidRPr="00B57DAB">
        <w:rPr>
          <w:rFonts w:ascii="GHEA Grapalat" w:hAnsi="GHEA Grapalat" w:cs="Times Armenian"/>
          <w:sz w:val="22"/>
          <w:szCs w:val="22"/>
        </w:rPr>
        <w:t>:</w:t>
      </w:r>
    </w:p>
    <w:p w:rsidR="008A20E7" w:rsidRPr="00B57DAB" w:rsidRDefault="008A20E7" w:rsidP="008A20E7">
      <w:pPr>
        <w:autoSpaceDE w:val="0"/>
        <w:autoSpaceDN w:val="0"/>
        <w:adjustRightInd w:val="0"/>
        <w:spacing w:line="360" w:lineRule="auto"/>
        <w:ind w:firstLine="567"/>
        <w:jc w:val="both"/>
        <w:rPr>
          <w:rFonts w:ascii="GHEA Grapalat" w:hAnsi="GHEA Grapalat" w:cs="Times Armenian"/>
          <w:sz w:val="22"/>
          <w:szCs w:val="22"/>
        </w:rPr>
      </w:pPr>
      <w:r w:rsidRPr="00B57DAB">
        <w:rPr>
          <w:rFonts w:ascii="GHEA Grapalat" w:hAnsi="GHEA Grapalat" w:cs="Times Armenian"/>
          <w:sz w:val="22"/>
          <w:szCs w:val="22"/>
        </w:rPr>
        <w:t>Կենսաթոշակային ապահովության ծրագրի միջոցների գերակշիռ մասը հատկացվել է աշխատանքային կենսաթոշակներին: Հաշվետու ժամանակահատվածում կենսաթոշակառուների թիվը կազմել է 443131՝ կանխատեսված 449700-ի դիմաց:</w:t>
      </w:r>
      <w:r w:rsidRPr="00B57DAB">
        <w:rPr>
          <w:rFonts w:ascii="GHEA Grapalat" w:hAnsi="GHEA Grapalat" w:cs="Arial"/>
          <w:sz w:val="22"/>
          <w:szCs w:val="22"/>
          <w:lang w:val="zu-ZA"/>
        </w:rPr>
        <w:t xml:space="preserve"> Ծախսերի՝ ծրագրից շեղումը, ինչպես նաև փաստացի ցածր արդյունքային ցուցանիշները</w:t>
      </w:r>
      <w:r w:rsidRPr="00B57DAB">
        <w:rPr>
          <w:rFonts w:ascii="GHEA Grapalat" w:hAnsi="GHEA Grapalat" w:cs="Times Armenian"/>
          <w:sz w:val="22"/>
          <w:szCs w:val="22"/>
        </w:rPr>
        <w:t xml:space="preserve"> պայմանավորված են կենսաթոշակի իրավունք ձեռք բերած կենսաթոշակառուների թվի և փաստացի կենսաթոշակ ստացած կենսաթոշակառուների թվի տարբերությամբ, ինչպես նաև հանրապետությունից նրանց բացակայելու հանգամանքով: Աշխատանքային կենսաթոշակների գծով ծախսերը կազմել են 58.9 մլրդ դրամ՝ ապահովելով ծրագրված ցուցանիշի 96.4%-ը: </w:t>
      </w:r>
    </w:p>
    <w:p w:rsidR="00B13551" w:rsidRPr="00B57DAB" w:rsidRDefault="008A20E7" w:rsidP="008A20E7">
      <w:pPr>
        <w:autoSpaceDE w:val="0"/>
        <w:autoSpaceDN w:val="0"/>
        <w:adjustRightInd w:val="0"/>
        <w:spacing w:line="360" w:lineRule="auto"/>
        <w:ind w:firstLine="567"/>
        <w:jc w:val="both"/>
        <w:rPr>
          <w:rFonts w:ascii="GHEA Grapalat" w:hAnsi="GHEA Grapalat"/>
          <w:sz w:val="22"/>
          <w:szCs w:val="22"/>
        </w:rPr>
      </w:pPr>
      <w:r w:rsidRPr="00B57DAB">
        <w:rPr>
          <w:rFonts w:ascii="GHEA Grapalat" w:hAnsi="GHEA Grapalat" w:cs="Times Armenian"/>
          <w:sz w:val="22"/>
          <w:szCs w:val="22"/>
        </w:rPr>
        <w:t xml:space="preserve">Հաշվետու ժամանակահատվածում կուտակային կենսաթոշակային համակարգի մասնակիցների թիվը կազմել է 409542՝ կանխատեսված 377282-ի դիմաց: Կուտակային հատկացումները մասնակցի կենսաթոշակային հաշվին կազմել են 29.3 մլրդ դրամ՝ ծրագրված ցուցանիշի 78.8%-ը, որը </w:t>
      </w:r>
      <w:r w:rsidRPr="00B57DAB">
        <w:rPr>
          <w:rFonts w:ascii="GHEA Grapalat" w:hAnsi="GHEA Grapalat"/>
          <w:sz w:val="22"/>
          <w:szCs w:val="22"/>
        </w:rPr>
        <w:t xml:space="preserve">պայմանավորված է փաստացի պահանջով: </w:t>
      </w:r>
    </w:p>
    <w:p w:rsidR="008A20E7" w:rsidRPr="00B57DAB" w:rsidRDefault="008A20E7" w:rsidP="008A20E7">
      <w:pPr>
        <w:autoSpaceDE w:val="0"/>
        <w:autoSpaceDN w:val="0"/>
        <w:adjustRightInd w:val="0"/>
        <w:spacing w:line="360" w:lineRule="auto"/>
        <w:ind w:firstLine="567"/>
        <w:jc w:val="both"/>
        <w:rPr>
          <w:rFonts w:ascii="GHEA Grapalat" w:hAnsi="GHEA Grapalat" w:cs="Times Armenian"/>
          <w:sz w:val="22"/>
          <w:szCs w:val="22"/>
        </w:rPr>
      </w:pPr>
      <w:r w:rsidRPr="00B57DAB">
        <w:rPr>
          <w:rFonts w:ascii="GHEA Grapalat" w:hAnsi="GHEA Grapalat" w:cs="Times Armenian"/>
          <w:sz w:val="22"/>
          <w:szCs w:val="22"/>
        </w:rPr>
        <w:t>Հաշվետու ժամանակահատվածում սպայական անձնակազմի և նրանց ընտանիքների անդամների կենսաթոշակների միջոցառման շրջանակներում կենսաթոշակ է ստացել 33527 անձ՝ կանխատեսված 34583-ի դիմաց:</w:t>
      </w:r>
      <w:r w:rsidR="00B13551" w:rsidRPr="00B57DAB">
        <w:rPr>
          <w:rFonts w:ascii="GHEA Grapalat" w:hAnsi="GHEA Grapalat" w:cs="Times Armenian"/>
          <w:sz w:val="22"/>
          <w:szCs w:val="22"/>
        </w:rPr>
        <w:t xml:space="preserve"> Ծախսերը կազմել են շուրջ 8.4 մլրդ դրամ կամ ծրագրված </w:t>
      </w:r>
      <w:r w:rsidR="00B13551" w:rsidRPr="00B57DAB">
        <w:rPr>
          <w:rFonts w:ascii="GHEA Grapalat" w:hAnsi="GHEA Grapalat" w:cs="Times Armenian"/>
          <w:sz w:val="22"/>
          <w:szCs w:val="22"/>
        </w:rPr>
        <w:lastRenderedPageBreak/>
        <w:t>ցուցանիշի</w:t>
      </w:r>
      <w:r w:rsidR="00B13551" w:rsidRPr="00B57DAB">
        <w:rPr>
          <w:rFonts w:ascii="GHEA Grapalat" w:hAnsi="GHEA Grapalat" w:cs="Sylfaen"/>
          <w:sz w:val="22"/>
          <w:szCs w:val="22"/>
        </w:rPr>
        <w:t xml:space="preserve"> 97.6</w:t>
      </w:r>
      <w:r w:rsidR="00B13551" w:rsidRPr="00B57DAB">
        <w:rPr>
          <w:rFonts w:ascii="GHEA Grapalat" w:hAnsi="GHEA Grapalat" w:cs="Times Armenian"/>
          <w:sz w:val="22"/>
          <w:szCs w:val="22"/>
        </w:rPr>
        <w:t>%-ը:</w:t>
      </w:r>
      <w:r w:rsidRPr="00B57DAB">
        <w:rPr>
          <w:rFonts w:ascii="GHEA Grapalat" w:hAnsi="GHEA Grapalat" w:cs="Times Armenian"/>
          <w:sz w:val="22"/>
          <w:szCs w:val="22"/>
        </w:rPr>
        <w:t xml:space="preserve"> </w:t>
      </w:r>
      <w:r w:rsidRPr="00B57DAB">
        <w:rPr>
          <w:rFonts w:ascii="GHEA Grapalat" w:hAnsi="GHEA Grapalat" w:cs="Arial"/>
          <w:sz w:val="22"/>
          <w:szCs w:val="22"/>
          <w:lang w:val="zu-ZA"/>
        </w:rPr>
        <w:t xml:space="preserve">Ծախսերի՝ ծրագրից շեղումը, ինչպես նաև փաստացի ցածր արդյունքային ցուցանիշները </w:t>
      </w:r>
      <w:r w:rsidRPr="00B57DAB">
        <w:rPr>
          <w:rFonts w:ascii="GHEA Grapalat" w:hAnsi="GHEA Grapalat" w:cs="Times Armenian"/>
          <w:sz w:val="22"/>
          <w:szCs w:val="22"/>
        </w:rPr>
        <w:t xml:space="preserve">պայմանավորված են կենսաթոշակի իրավունք ձեռք բերած և փաստացի կենսաթոշակ ստացած կենսաթոշակառուների թվի տարբերությամբ, ինչպես նաև հանրապետությունից նրանց բացակայելու հանգամանքով: </w:t>
      </w:r>
    </w:p>
    <w:p w:rsidR="008A20E7" w:rsidRPr="00B57DAB" w:rsidRDefault="008A20E7" w:rsidP="008A20E7">
      <w:pPr>
        <w:autoSpaceDE w:val="0"/>
        <w:autoSpaceDN w:val="0"/>
        <w:adjustRightInd w:val="0"/>
        <w:spacing w:line="360" w:lineRule="auto"/>
        <w:ind w:firstLine="567"/>
        <w:jc w:val="both"/>
        <w:rPr>
          <w:rFonts w:ascii="GHEA Grapalat" w:hAnsi="GHEA Grapalat" w:cs="Times Armenian"/>
          <w:sz w:val="22"/>
          <w:szCs w:val="22"/>
        </w:rPr>
      </w:pPr>
      <w:r w:rsidRPr="00B57DAB">
        <w:rPr>
          <w:rFonts w:ascii="GHEA Grapalat" w:hAnsi="GHEA Grapalat" w:cs="Sylfaen"/>
          <w:sz w:val="22"/>
          <w:szCs w:val="22"/>
        </w:rPr>
        <w:t xml:space="preserve">2021 թվականի առաջին եռամսյակի </w:t>
      </w:r>
      <w:r w:rsidRPr="00B57DAB">
        <w:rPr>
          <w:rFonts w:ascii="GHEA Grapalat" w:hAnsi="GHEA Grapalat" w:cs="Times Armenian"/>
          <w:sz w:val="22"/>
          <w:szCs w:val="22"/>
        </w:rPr>
        <w:t>համեմատ Կենսաթոշակային ապահովության ծրագրի ծախսերն աճել են 9.3%</w:t>
      </w:r>
      <w:r w:rsidRPr="00B57DAB">
        <w:rPr>
          <w:rFonts w:ascii="GHEA Grapalat" w:hAnsi="GHEA Grapalat" w:cs="Times Armenian"/>
          <w:sz w:val="22"/>
          <w:szCs w:val="22"/>
        </w:rPr>
        <w:noBreakHyphen/>
        <w:t xml:space="preserve">ով կամ 8.3 մլրդ դրամով, որը հիմնականում պայմանավորված է կուտակային կենսաթոշակային </w:t>
      </w:r>
      <w:r w:rsidRPr="00B57DAB">
        <w:rPr>
          <w:rFonts w:ascii="GHEA Grapalat" w:hAnsi="GHEA Grapalat"/>
          <w:sz w:val="22"/>
          <w:szCs w:val="22"/>
        </w:rPr>
        <w:t>համակարգի</w:t>
      </w:r>
      <w:r w:rsidRPr="00B57DAB">
        <w:rPr>
          <w:rFonts w:ascii="GHEA Grapalat" w:hAnsi="GHEA Grapalat" w:cs="Times Armenian"/>
          <w:sz w:val="22"/>
          <w:szCs w:val="22"/>
        </w:rPr>
        <w:t xml:space="preserve"> մասնակիցների կենսաթոշակային հաշիվներին հատկացումների </w:t>
      </w:r>
      <w:r w:rsidR="00A76E0A" w:rsidRPr="00B57DAB">
        <w:rPr>
          <w:rFonts w:ascii="GHEA Grapalat" w:hAnsi="GHEA Grapalat" w:cs="Times Armenian"/>
          <w:sz w:val="22"/>
          <w:szCs w:val="22"/>
        </w:rPr>
        <w:t xml:space="preserve">30.9% (6.9 մլրդ դրամ) </w:t>
      </w:r>
      <w:r w:rsidRPr="00B57DAB">
        <w:rPr>
          <w:rFonts w:ascii="GHEA Grapalat" w:hAnsi="GHEA Grapalat" w:cs="Times Armenian"/>
          <w:sz w:val="22"/>
          <w:szCs w:val="22"/>
        </w:rPr>
        <w:t>աճով:</w:t>
      </w:r>
    </w:p>
    <w:p w:rsidR="008A20E7" w:rsidRPr="00B57DAB" w:rsidRDefault="008A20E7" w:rsidP="008A20E7">
      <w:pPr>
        <w:autoSpaceDE w:val="0"/>
        <w:autoSpaceDN w:val="0"/>
        <w:adjustRightInd w:val="0"/>
        <w:spacing w:line="360" w:lineRule="auto"/>
        <w:ind w:firstLine="567"/>
        <w:jc w:val="both"/>
        <w:rPr>
          <w:rFonts w:ascii="GHEA Grapalat" w:hAnsi="GHEA Grapalat" w:cs="Times Armenian"/>
          <w:sz w:val="22"/>
          <w:szCs w:val="22"/>
        </w:rPr>
      </w:pPr>
      <w:r w:rsidRPr="00B57DAB">
        <w:rPr>
          <w:rFonts w:ascii="GHEA Grapalat" w:hAnsi="GHEA Grapalat" w:cs="Times Armenian"/>
          <w:i/>
          <w:sz w:val="22"/>
          <w:szCs w:val="22"/>
        </w:rPr>
        <w:t>Սոցիալական ապահովության</w:t>
      </w:r>
      <w:r w:rsidRPr="00B57DAB">
        <w:rPr>
          <w:rFonts w:ascii="GHEA Grapalat" w:hAnsi="GHEA Grapalat" w:cs="Times Armenian"/>
          <w:sz w:val="22"/>
          <w:szCs w:val="22"/>
        </w:rPr>
        <w:t xml:space="preserve"> ծրագրի շրջանակներում 2022 թվականի</w:t>
      </w:r>
      <w:r w:rsidR="00EC3D0C" w:rsidRPr="00B57DAB">
        <w:rPr>
          <w:rFonts w:ascii="GHEA Grapalat" w:hAnsi="GHEA Grapalat" w:cs="Times Armenian"/>
          <w:sz w:val="22"/>
          <w:szCs w:val="22"/>
        </w:rPr>
        <w:t xml:space="preserve"> առաջին եռամսյակում</w:t>
      </w:r>
      <w:r w:rsidRPr="00B57DAB">
        <w:rPr>
          <w:rFonts w:ascii="GHEA Grapalat" w:hAnsi="GHEA Grapalat" w:cs="Times Armenian"/>
          <w:sz w:val="22"/>
          <w:szCs w:val="22"/>
        </w:rPr>
        <w:t xml:space="preserve"> օգտագործվել է նախատեսված միջոցների 98.3%-ը՝ շուրջ 17.9</w:t>
      </w:r>
      <w:r w:rsidR="00E93719" w:rsidRPr="00B57DAB">
        <w:rPr>
          <w:rFonts w:ascii="GHEA Grapalat" w:hAnsi="GHEA Grapalat" w:cs="Times Armenian"/>
          <w:sz w:val="22"/>
          <w:szCs w:val="22"/>
        </w:rPr>
        <w:t xml:space="preserve"> մլրդ դրամ:</w:t>
      </w:r>
    </w:p>
    <w:p w:rsidR="008A20E7" w:rsidRPr="00B57DAB" w:rsidRDefault="008A20E7" w:rsidP="008A20E7">
      <w:pPr>
        <w:spacing w:line="360" w:lineRule="auto"/>
        <w:ind w:firstLine="567"/>
        <w:jc w:val="both"/>
        <w:rPr>
          <w:rFonts w:ascii="GHEA Grapalat" w:hAnsi="GHEA Grapalat"/>
          <w:sz w:val="22"/>
          <w:szCs w:val="22"/>
        </w:rPr>
      </w:pPr>
      <w:r w:rsidRPr="00B57DAB">
        <w:rPr>
          <w:rFonts w:ascii="GHEA Grapalat" w:hAnsi="GHEA Grapalat" w:cs="Times Armenian"/>
          <w:sz w:val="22"/>
          <w:szCs w:val="22"/>
        </w:rPr>
        <w:t>Հաշվետու ժամանակահատվածում ծերության, հաշմանդամության, կերակրողին կորցնելու դեպքում նպաստներ են տրամադրվել 80937 նպաստառուների՝ կանխատեսված 83179-ի դիմաց:</w:t>
      </w:r>
      <w:r w:rsidRPr="00B57DAB">
        <w:rPr>
          <w:rFonts w:ascii="GHEA Grapalat" w:hAnsi="GHEA Grapalat" w:cs="Arial"/>
          <w:sz w:val="22"/>
          <w:szCs w:val="22"/>
          <w:lang w:val="zu-ZA"/>
        </w:rPr>
        <w:t xml:space="preserve"> </w:t>
      </w:r>
      <w:r w:rsidR="00EC3D0C" w:rsidRPr="00B57DAB">
        <w:rPr>
          <w:rFonts w:ascii="GHEA Grapalat" w:hAnsi="GHEA Grapalat" w:cs="Arial"/>
          <w:sz w:val="22"/>
          <w:szCs w:val="22"/>
          <w:lang w:val="zu-ZA"/>
        </w:rPr>
        <w:t xml:space="preserve">Նպաստառուների փաստացի ցածր թիվը </w:t>
      </w:r>
      <w:r w:rsidRPr="00B57DAB">
        <w:rPr>
          <w:rFonts w:ascii="GHEA Grapalat" w:hAnsi="GHEA Grapalat" w:cs="Times Armenian"/>
          <w:sz w:val="22"/>
          <w:szCs w:val="22"/>
        </w:rPr>
        <w:t xml:space="preserve">պայմանավորված է </w:t>
      </w:r>
      <w:r w:rsidR="00EC3D0C" w:rsidRPr="00B57DAB">
        <w:rPr>
          <w:rFonts w:ascii="GHEA Grapalat" w:hAnsi="GHEA Grapalat" w:cs="Times Armenian"/>
          <w:sz w:val="22"/>
          <w:szCs w:val="22"/>
        </w:rPr>
        <w:t xml:space="preserve">նպաստի </w:t>
      </w:r>
      <w:r w:rsidRPr="00B57DAB">
        <w:rPr>
          <w:rFonts w:ascii="GHEA Grapalat" w:hAnsi="GHEA Grapalat" w:cs="Times Armenian"/>
          <w:sz w:val="22"/>
          <w:szCs w:val="22"/>
        </w:rPr>
        <w:t xml:space="preserve">իրավունք ձեռք բերած և փաստացի </w:t>
      </w:r>
      <w:r w:rsidR="00EC3D0C" w:rsidRPr="00B57DAB">
        <w:rPr>
          <w:rFonts w:ascii="GHEA Grapalat" w:hAnsi="GHEA Grapalat" w:cs="Times Armenian"/>
          <w:sz w:val="22"/>
          <w:szCs w:val="22"/>
        </w:rPr>
        <w:t xml:space="preserve">նպաստ ստացած </w:t>
      </w:r>
      <w:r w:rsidRPr="00B57DAB">
        <w:rPr>
          <w:rFonts w:ascii="GHEA Grapalat" w:hAnsi="GHEA Grapalat" w:cs="Times Armenian"/>
          <w:sz w:val="22"/>
          <w:szCs w:val="22"/>
        </w:rPr>
        <w:t>նպաստառուների թվաքանակի տարբերությամբ: Այդ նպատակով օգտագործվել է նախատեսված միջոցների 99%-ը՝ ավելի քան 7.6 մլրդ դրամ:</w:t>
      </w:r>
    </w:p>
    <w:p w:rsidR="008A20E7" w:rsidRPr="00B57DAB" w:rsidRDefault="008A20E7" w:rsidP="008A20E7">
      <w:pPr>
        <w:spacing w:line="360" w:lineRule="auto"/>
        <w:ind w:firstLine="567"/>
        <w:jc w:val="both"/>
        <w:rPr>
          <w:rFonts w:ascii="GHEA Grapalat" w:hAnsi="GHEA Grapalat"/>
          <w:sz w:val="22"/>
          <w:szCs w:val="22"/>
        </w:rPr>
      </w:pPr>
      <w:r w:rsidRPr="00B57DAB">
        <w:rPr>
          <w:rFonts w:ascii="GHEA Grapalat" w:hAnsi="GHEA Grapalat"/>
          <w:sz w:val="22"/>
          <w:szCs w:val="22"/>
        </w:rPr>
        <w:t xml:space="preserve">Հայաստանի Հանրապետության պաշտպանության ժամանակ զինծառայողների կյանքին կամ առողջությանը պատճառված վնասների հատուցումը </w:t>
      </w:r>
      <w:r w:rsidRPr="00B57DAB">
        <w:rPr>
          <w:rFonts w:ascii="GHEA Grapalat" w:hAnsi="GHEA Grapalat" w:cs="Times Armenian"/>
          <w:sz w:val="22"/>
          <w:szCs w:val="22"/>
        </w:rPr>
        <w:t>կազմել է շուրջ 8.6</w:t>
      </w:r>
      <w:r w:rsidRPr="00B57DAB">
        <w:rPr>
          <w:rFonts w:ascii="GHEA Grapalat" w:hAnsi="GHEA Grapalat" w:cs="Sylfaen"/>
          <w:sz w:val="22"/>
          <w:szCs w:val="22"/>
        </w:rPr>
        <w:t xml:space="preserve"> մլրդ դրամ կամ ծրագրված ցուցանիշի 98.9</w:t>
      </w:r>
      <w:r w:rsidRPr="00B57DAB">
        <w:rPr>
          <w:rFonts w:ascii="GHEA Grapalat" w:hAnsi="GHEA Grapalat" w:cs="Times Armenian"/>
          <w:sz w:val="22"/>
          <w:szCs w:val="22"/>
        </w:rPr>
        <w:t>%-ը՝</w:t>
      </w:r>
      <w:r w:rsidRPr="00B57DAB">
        <w:rPr>
          <w:rFonts w:ascii="GHEA Grapalat" w:hAnsi="GHEA Grapalat"/>
          <w:sz w:val="22"/>
          <w:szCs w:val="22"/>
        </w:rPr>
        <w:t xml:space="preserve"> պայմանավորված փաստացի պահանջով:</w:t>
      </w:r>
    </w:p>
    <w:p w:rsidR="008A20E7" w:rsidRPr="00B57DAB" w:rsidRDefault="008A20E7" w:rsidP="008A20E7">
      <w:pPr>
        <w:spacing w:line="360" w:lineRule="auto"/>
        <w:ind w:firstLine="567"/>
        <w:jc w:val="both"/>
        <w:rPr>
          <w:rFonts w:ascii="GHEA Grapalat" w:hAnsi="GHEA Grapalat"/>
          <w:sz w:val="22"/>
          <w:szCs w:val="22"/>
        </w:rPr>
      </w:pPr>
      <w:r w:rsidRPr="00B57DAB">
        <w:rPr>
          <w:rFonts w:ascii="GHEA Grapalat" w:hAnsi="GHEA Grapalat"/>
          <w:sz w:val="22"/>
          <w:szCs w:val="22"/>
        </w:rPr>
        <w:t xml:space="preserve"> </w:t>
      </w:r>
      <w:r w:rsidRPr="00B57DAB">
        <w:rPr>
          <w:rFonts w:ascii="GHEA Grapalat" w:hAnsi="GHEA Grapalat" w:cs="Times Armenian"/>
          <w:sz w:val="22"/>
          <w:szCs w:val="22"/>
        </w:rPr>
        <w:t xml:space="preserve">Հաշվետու ժամանակահատվածում կենսաթոշակ, ծերության նպաստ, կերակրողին կորցնելու դեպքում նպաստ կամ հաշմանդամության նպաստ ստանալու իրավունք ունեցող անձանց մահվան դեպքում տրվող թաղման </w:t>
      </w:r>
      <w:r w:rsidRPr="00B57DAB">
        <w:rPr>
          <w:rFonts w:ascii="GHEA Grapalat" w:hAnsi="GHEA Grapalat"/>
          <w:sz w:val="22"/>
          <w:szCs w:val="22"/>
        </w:rPr>
        <w:t xml:space="preserve">նպաստ է տրամադրվել 7605 </w:t>
      </w:r>
      <w:r w:rsidR="00805106" w:rsidRPr="00B57DAB">
        <w:rPr>
          <w:rFonts w:ascii="GHEA Grapalat" w:hAnsi="GHEA Grapalat"/>
          <w:sz w:val="22"/>
          <w:szCs w:val="22"/>
        </w:rPr>
        <w:t>անձի</w:t>
      </w:r>
      <w:r w:rsidRPr="00B57DAB">
        <w:rPr>
          <w:rFonts w:ascii="GHEA Grapalat" w:hAnsi="GHEA Grapalat"/>
          <w:sz w:val="22"/>
          <w:szCs w:val="22"/>
        </w:rPr>
        <w:t xml:space="preserve">՝ կանխատեսված 7792-ի դիմաց: Նշված հատուցման նպատակով </w:t>
      </w:r>
      <w:r w:rsidR="00805106" w:rsidRPr="00B57DAB">
        <w:rPr>
          <w:rFonts w:ascii="GHEA Grapalat" w:hAnsi="GHEA Grapalat"/>
          <w:sz w:val="22"/>
          <w:szCs w:val="22"/>
        </w:rPr>
        <w:t>օգտագործ</w:t>
      </w:r>
      <w:r w:rsidRPr="00B57DAB">
        <w:rPr>
          <w:rFonts w:ascii="GHEA Grapalat" w:hAnsi="GHEA Grapalat"/>
          <w:sz w:val="22"/>
          <w:szCs w:val="22"/>
        </w:rPr>
        <w:t>վել է 1.5 մլրդ դրամ կամ նախատեսված միջոցների 97.5%-ը</w:t>
      </w:r>
      <w:r w:rsidR="00805106" w:rsidRPr="00B57DAB">
        <w:rPr>
          <w:rFonts w:ascii="GHEA Grapalat" w:hAnsi="GHEA Grapalat"/>
          <w:sz w:val="22"/>
          <w:szCs w:val="22"/>
        </w:rPr>
        <w:t>՝</w:t>
      </w:r>
      <w:r w:rsidRPr="00B57DAB">
        <w:rPr>
          <w:rFonts w:ascii="GHEA Grapalat" w:hAnsi="GHEA Grapalat"/>
          <w:sz w:val="22"/>
          <w:szCs w:val="22"/>
        </w:rPr>
        <w:t xml:space="preserve"> պայմանավորված շահառուների </w:t>
      </w:r>
      <w:r w:rsidR="00E93719" w:rsidRPr="00B57DAB">
        <w:rPr>
          <w:rFonts w:ascii="GHEA Grapalat" w:hAnsi="GHEA Grapalat"/>
          <w:sz w:val="22"/>
          <w:szCs w:val="22"/>
        </w:rPr>
        <w:t xml:space="preserve">փաստացի </w:t>
      </w:r>
      <w:r w:rsidRPr="00B57DAB">
        <w:rPr>
          <w:rFonts w:ascii="GHEA Grapalat" w:hAnsi="GHEA Grapalat"/>
          <w:sz w:val="22"/>
          <w:szCs w:val="22"/>
        </w:rPr>
        <w:t xml:space="preserve">թվաքանակով: </w:t>
      </w:r>
    </w:p>
    <w:p w:rsidR="008A20E7" w:rsidRPr="00B57DAB" w:rsidRDefault="008A20E7" w:rsidP="008A20E7">
      <w:pPr>
        <w:autoSpaceDE w:val="0"/>
        <w:autoSpaceDN w:val="0"/>
        <w:adjustRightInd w:val="0"/>
        <w:spacing w:line="360" w:lineRule="auto"/>
        <w:ind w:firstLine="567"/>
        <w:jc w:val="both"/>
        <w:rPr>
          <w:rFonts w:ascii="GHEA Grapalat" w:hAnsi="GHEA Grapalat"/>
          <w:sz w:val="22"/>
          <w:szCs w:val="22"/>
        </w:rPr>
      </w:pPr>
      <w:r w:rsidRPr="00B57DAB">
        <w:rPr>
          <w:rFonts w:ascii="GHEA Grapalat" w:hAnsi="GHEA Grapalat" w:cs="Sylfaen"/>
          <w:sz w:val="22"/>
          <w:szCs w:val="22"/>
        </w:rPr>
        <w:t>Նախորդ տարվա նույն ժամանակահատվածի համեմատ Սոցիալական ապահովության ծրագրի ծախսերը նվազել են 44.8</w:t>
      </w:r>
      <w:r w:rsidRPr="00B57DAB">
        <w:rPr>
          <w:rFonts w:ascii="GHEA Grapalat" w:hAnsi="GHEA Grapalat"/>
          <w:sz w:val="22"/>
          <w:szCs w:val="22"/>
        </w:rPr>
        <w:t>%-ով</w:t>
      </w:r>
      <w:r w:rsidRPr="00B57DAB">
        <w:rPr>
          <w:rFonts w:ascii="GHEA Grapalat" w:hAnsi="GHEA Grapalat" w:cs="Sylfaen"/>
          <w:sz w:val="22"/>
          <w:szCs w:val="22"/>
        </w:rPr>
        <w:t xml:space="preserve"> կամ 14.5 մլրդ դրամով՝ հիմնականում պայմանավորված Ադրբեջանի կողմից</w:t>
      </w:r>
      <w:r w:rsidRPr="00B57DAB">
        <w:rPr>
          <w:rFonts w:ascii="GHEA Grapalat" w:hAnsi="GHEA Grapalat"/>
          <w:sz w:val="22"/>
          <w:szCs w:val="22"/>
        </w:rPr>
        <w:t xml:space="preserve"> Արցախի դեմ սանձազերծվա</w:t>
      </w:r>
      <w:r w:rsidR="00306F45" w:rsidRPr="00B57DAB">
        <w:rPr>
          <w:rFonts w:ascii="GHEA Grapalat" w:hAnsi="GHEA Grapalat"/>
          <w:sz w:val="22"/>
          <w:szCs w:val="22"/>
        </w:rPr>
        <w:t xml:space="preserve">ծ պատերազմի հետևանքների մեղմման նպատակով </w:t>
      </w:r>
      <w:r w:rsidR="00306F45" w:rsidRPr="00B57DAB">
        <w:rPr>
          <w:rFonts w:ascii="GHEA Grapalat" w:hAnsi="GHEA Grapalat" w:cs="Sylfaen"/>
          <w:sz w:val="22"/>
          <w:szCs w:val="22"/>
        </w:rPr>
        <w:t>2021 թվականի առաջին եռամսյակում</w:t>
      </w:r>
      <w:r w:rsidRPr="00B57DAB">
        <w:rPr>
          <w:rFonts w:ascii="GHEA Grapalat" w:hAnsi="GHEA Grapalat"/>
          <w:sz w:val="22"/>
          <w:szCs w:val="22"/>
        </w:rPr>
        <w:t xml:space="preserve"> </w:t>
      </w:r>
      <w:r w:rsidR="00306F45" w:rsidRPr="00B57DAB">
        <w:rPr>
          <w:rFonts w:ascii="GHEA Grapalat" w:hAnsi="GHEA Grapalat"/>
          <w:sz w:val="22"/>
          <w:szCs w:val="22"/>
        </w:rPr>
        <w:t>կատարված</w:t>
      </w:r>
      <w:r w:rsidRPr="00B57DAB">
        <w:rPr>
          <w:rFonts w:ascii="GHEA Grapalat" w:hAnsi="GHEA Grapalat"/>
          <w:sz w:val="22"/>
          <w:szCs w:val="22"/>
        </w:rPr>
        <w:t xml:space="preserve"> 18.2 մլրդ դրամի հատկացմամբ:</w:t>
      </w:r>
    </w:p>
    <w:p w:rsidR="009E5CB1" w:rsidRPr="00B57DAB" w:rsidRDefault="009E5CB1" w:rsidP="009E5CB1">
      <w:pPr>
        <w:autoSpaceDE w:val="0"/>
        <w:autoSpaceDN w:val="0"/>
        <w:adjustRightInd w:val="0"/>
        <w:spacing w:line="360" w:lineRule="auto"/>
        <w:ind w:firstLine="567"/>
        <w:jc w:val="both"/>
        <w:rPr>
          <w:rFonts w:ascii="GHEA Grapalat" w:hAnsi="GHEA Grapalat" w:cs="Arial"/>
          <w:sz w:val="22"/>
          <w:szCs w:val="22"/>
          <w:lang w:val="hy-AM"/>
        </w:rPr>
      </w:pPr>
      <w:r w:rsidRPr="00B57DAB">
        <w:rPr>
          <w:rFonts w:ascii="GHEA Grapalat" w:hAnsi="GHEA Grapalat" w:cs="Sylfaen"/>
          <w:sz w:val="22"/>
          <w:szCs w:val="22"/>
          <w:lang w:val="hy-AM"/>
        </w:rPr>
        <w:t xml:space="preserve">ՀՀ </w:t>
      </w:r>
      <w:r w:rsidRPr="00B57DAB">
        <w:rPr>
          <w:rFonts w:ascii="GHEA Grapalat" w:hAnsi="GHEA Grapalat"/>
          <w:sz w:val="22"/>
          <w:szCs w:val="22"/>
          <w:lang w:val="hy-AM"/>
        </w:rPr>
        <w:t>ԱՍՀՆ-ի</w:t>
      </w:r>
      <w:r w:rsidRPr="00B57DAB">
        <w:rPr>
          <w:rFonts w:ascii="GHEA Grapalat" w:hAnsi="GHEA Grapalat" w:cs="Sylfaen"/>
          <w:sz w:val="22"/>
          <w:szCs w:val="22"/>
          <w:lang w:val="hy-AM"/>
        </w:rPr>
        <w:t xml:space="preserve"> կողմից իրականացվող այլ ծրագրերից հ</w:t>
      </w:r>
      <w:r w:rsidRPr="00B57DAB">
        <w:rPr>
          <w:rFonts w:ascii="GHEA Grapalat" w:hAnsi="GHEA Grapalat"/>
          <w:sz w:val="22"/>
          <w:szCs w:val="22"/>
          <w:lang w:val="hy-AM"/>
        </w:rPr>
        <w:t xml:space="preserve">աշվետու ժամանակահատվածում ավելի քան 2.7 մլրդ դրամ տրամադրվել է </w:t>
      </w:r>
      <w:r w:rsidRPr="00B57DAB">
        <w:rPr>
          <w:rFonts w:ascii="GHEA Grapalat" w:hAnsi="GHEA Grapalat"/>
          <w:i/>
          <w:sz w:val="22"/>
          <w:szCs w:val="22"/>
          <w:lang w:val="hy-AM"/>
        </w:rPr>
        <w:t>Պարգևավճարների և պատվովճարների</w:t>
      </w:r>
      <w:r w:rsidRPr="00B57DAB">
        <w:rPr>
          <w:rFonts w:ascii="GHEA Grapalat" w:hAnsi="GHEA Grapalat"/>
          <w:sz w:val="22"/>
          <w:szCs w:val="22"/>
          <w:lang w:val="hy-AM"/>
        </w:rPr>
        <w:t xml:space="preserve"> ծրագրին՝ ապահովելով 96% կատարողական և</w:t>
      </w:r>
      <w:r w:rsidRPr="00B57DAB">
        <w:rPr>
          <w:rFonts w:ascii="GHEA Grapalat" w:hAnsi="GHEA Grapalat" w:cs="Arial"/>
          <w:sz w:val="22"/>
          <w:szCs w:val="22"/>
          <w:lang w:val="hy-AM"/>
        </w:rPr>
        <w:t xml:space="preserve"> </w:t>
      </w:r>
      <w:r w:rsidRPr="00B57DAB">
        <w:rPr>
          <w:rFonts w:ascii="GHEA Grapalat" w:hAnsi="GHEA Grapalat" w:cs="Times Armenian"/>
          <w:sz w:val="22"/>
          <w:szCs w:val="22"/>
          <w:lang w:val="hy-AM"/>
        </w:rPr>
        <w:t xml:space="preserve">2.1%-ով </w:t>
      </w:r>
      <w:r w:rsidR="009E66C4" w:rsidRPr="00B57DAB">
        <w:rPr>
          <w:rFonts w:ascii="GHEA Grapalat" w:hAnsi="GHEA Grapalat" w:cs="Times Armenian"/>
          <w:sz w:val="22"/>
          <w:szCs w:val="22"/>
        </w:rPr>
        <w:t>(</w:t>
      </w:r>
      <w:r w:rsidRPr="00B57DAB">
        <w:rPr>
          <w:rFonts w:ascii="GHEA Grapalat" w:hAnsi="GHEA Grapalat" w:cs="Times Armenian"/>
          <w:sz w:val="22"/>
          <w:szCs w:val="22"/>
          <w:lang w:val="hy-AM"/>
        </w:rPr>
        <w:t>56.9 մլն դրամով</w:t>
      </w:r>
      <w:r w:rsidR="009E66C4" w:rsidRPr="00B57DAB">
        <w:rPr>
          <w:rFonts w:ascii="GHEA Grapalat" w:hAnsi="GHEA Grapalat" w:cs="Times Armenian"/>
          <w:sz w:val="22"/>
          <w:szCs w:val="22"/>
        </w:rPr>
        <w:t>)</w:t>
      </w:r>
      <w:r w:rsidRPr="00B57DAB">
        <w:rPr>
          <w:rFonts w:ascii="GHEA Grapalat" w:hAnsi="GHEA Grapalat" w:cs="Times Armenian"/>
          <w:sz w:val="22"/>
          <w:szCs w:val="22"/>
          <w:lang w:val="hy-AM"/>
        </w:rPr>
        <w:t xml:space="preserve"> գերազանցելով նախորդ տարվա նույն ժամանակահատվածի ցուցանիշը: Ծրագրի նկատմամբ շեղումը և նախորդ տարվա համեմատ աճը հիմնականում պայմանավորված </w:t>
      </w:r>
      <w:r w:rsidR="009E66C4" w:rsidRPr="00B57DAB">
        <w:rPr>
          <w:rFonts w:ascii="GHEA Grapalat" w:hAnsi="GHEA Grapalat" w:cs="Times Armenian"/>
          <w:sz w:val="22"/>
          <w:szCs w:val="22"/>
        </w:rPr>
        <w:t>են</w:t>
      </w:r>
      <w:r w:rsidRPr="00B57DAB">
        <w:rPr>
          <w:rFonts w:ascii="GHEA Grapalat" w:hAnsi="GHEA Grapalat" w:cs="Arial"/>
          <w:sz w:val="22"/>
          <w:szCs w:val="22"/>
          <w:lang w:val="hy-AM"/>
        </w:rPr>
        <w:t xml:space="preserve"> Զինծառայողներին, ՀՄՊ մասնակիցներին, այլ պետություններում մարտական գործողությունների մասնակիցներին, զոհված (մահացած) </w:t>
      </w:r>
      <w:r w:rsidRPr="00B57DAB">
        <w:rPr>
          <w:rFonts w:ascii="GHEA Grapalat" w:hAnsi="GHEA Grapalat" w:cs="Arial"/>
          <w:sz w:val="22"/>
          <w:szCs w:val="22"/>
          <w:lang w:val="hy-AM"/>
        </w:rPr>
        <w:lastRenderedPageBreak/>
        <w:t xml:space="preserve">զինծառայողի ընտանիքի անդամներին, ընտանիքներին </w:t>
      </w:r>
      <w:r w:rsidRPr="00B57DAB">
        <w:rPr>
          <w:rFonts w:ascii="GHEA Grapalat" w:hAnsi="GHEA Grapalat"/>
          <w:sz w:val="22"/>
          <w:szCs w:val="22"/>
          <w:lang w:val="hy-AM"/>
        </w:rPr>
        <w:t>տրվող</w:t>
      </w:r>
      <w:r w:rsidRPr="00B57DAB">
        <w:rPr>
          <w:rFonts w:ascii="GHEA Grapalat" w:hAnsi="GHEA Grapalat" w:cs="Arial"/>
          <w:sz w:val="22"/>
          <w:szCs w:val="22"/>
          <w:lang w:val="hy-AM"/>
        </w:rPr>
        <w:t xml:space="preserve"> պարգևավճարների ծախսերով, որոնք կազմել են </w:t>
      </w:r>
      <w:r w:rsidRPr="00B57DAB">
        <w:rPr>
          <w:rFonts w:ascii="GHEA Grapalat" w:hAnsi="GHEA Grapalat"/>
          <w:sz w:val="22"/>
          <w:szCs w:val="22"/>
          <w:lang w:val="hy-AM"/>
        </w:rPr>
        <w:t xml:space="preserve">շուրջ 2.7 </w:t>
      </w:r>
      <w:r w:rsidRPr="00B57DAB">
        <w:rPr>
          <w:rFonts w:ascii="GHEA Grapalat" w:hAnsi="GHEA Grapalat" w:cs="Arial"/>
          <w:sz w:val="22"/>
          <w:szCs w:val="22"/>
          <w:lang w:val="hy-AM"/>
        </w:rPr>
        <w:t>մլրդ</w:t>
      </w:r>
      <w:r w:rsidRPr="00B57DAB">
        <w:rPr>
          <w:rFonts w:ascii="GHEA Grapalat" w:hAnsi="GHEA Grapalat"/>
          <w:sz w:val="22"/>
          <w:szCs w:val="22"/>
          <w:lang w:val="hy-AM"/>
        </w:rPr>
        <w:t xml:space="preserve"> </w:t>
      </w:r>
      <w:r w:rsidRPr="00B57DAB">
        <w:rPr>
          <w:rFonts w:ascii="GHEA Grapalat" w:hAnsi="GHEA Grapalat" w:cs="Arial"/>
          <w:sz w:val="22"/>
          <w:szCs w:val="22"/>
          <w:lang w:val="hy-AM"/>
        </w:rPr>
        <w:t>դրամ</w:t>
      </w:r>
      <w:r w:rsidRPr="00B57DAB">
        <w:rPr>
          <w:rFonts w:ascii="GHEA Grapalat" w:hAnsi="GHEA Grapalat"/>
          <w:sz w:val="22"/>
          <w:szCs w:val="22"/>
          <w:lang w:val="hy-AM"/>
        </w:rPr>
        <w:t xml:space="preserve"> </w:t>
      </w:r>
      <w:r w:rsidRPr="00B57DAB">
        <w:rPr>
          <w:rFonts w:ascii="GHEA Grapalat" w:hAnsi="GHEA Grapalat" w:cs="Arial"/>
          <w:sz w:val="22"/>
          <w:szCs w:val="22"/>
          <w:lang w:val="hy-AM"/>
        </w:rPr>
        <w:t>կամ</w:t>
      </w:r>
      <w:r w:rsidRPr="00B57DAB">
        <w:rPr>
          <w:rFonts w:ascii="GHEA Grapalat" w:hAnsi="GHEA Grapalat"/>
          <w:sz w:val="22"/>
          <w:szCs w:val="22"/>
          <w:lang w:val="hy-AM"/>
        </w:rPr>
        <w:t xml:space="preserve"> ծրագրված ցուցանիշի 96.3%-ը</w:t>
      </w:r>
      <w:r w:rsidR="009E66C4" w:rsidRPr="00B57DAB">
        <w:rPr>
          <w:rFonts w:ascii="GHEA Grapalat" w:hAnsi="GHEA Grapalat"/>
          <w:sz w:val="22"/>
          <w:szCs w:val="22"/>
        </w:rPr>
        <w:t xml:space="preserve"> և 2.3%-ով (60.8 մլն դրամով) գերազանցել նախորդ տարվա նույն ժամանակահատվածի </w:t>
      </w:r>
      <w:r w:rsidR="0041105B" w:rsidRPr="00B57DAB">
        <w:rPr>
          <w:rFonts w:ascii="GHEA Grapalat" w:hAnsi="GHEA Grapalat"/>
          <w:sz w:val="22"/>
          <w:szCs w:val="22"/>
        </w:rPr>
        <w:t>ցուցանիշը</w:t>
      </w:r>
      <w:r w:rsidR="0041105B" w:rsidRPr="00B57DAB">
        <w:rPr>
          <w:rFonts w:ascii="GHEA Grapalat" w:hAnsi="GHEA Grapalat"/>
          <w:sz w:val="22"/>
          <w:szCs w:val="22"/>
          <w:lang w:val="hy-AM"/>
        </w:rPr>
        <w:t xml:space="preserve">: </w:t>
      </w:r>
      <w:r w:rsidR="0041105B" w:rsidRPr="00B57DAB">
        <w:rPr>
          <w:rFonts w:ascii="GHEA Grapalat" w:hAnsi="GHEA Grapalat"/>
          <w:sz w:val="22"/>
          <w:szCs w:val="22"/>
        </w:rPr>
        <w:t>Կատարողականը</w:t>
      </w:r>
      <w:r w:rsidRPr="00B57DAB">
        <w:rPr>
          <w:rFonts w:ascii="GHEA Grapalat" w:hAnsi="GHEA Grapalat"/>
          <w:sz w:val="22"/>
          <w:szCs w:val="22"/>
          <w:lang w:val="hy-AM"/>
        </w:rPr>
        <w:t xml:space="preserve"> </w:t>
      </w:r>
      <w:r w:rsidRPr="00B57DAB">
        <w:rPr>
          <w:rFonts w:ascii="GHEA Grapalat" w:hAnsi="GHEA Grapalat" w:cs="Arial"/>
          <w:sz w:val="22"/>
          <w:szCs w:val="22"/>
          <w:lang w:val="hy-AM"/>
        </w:rPr>
        <w:t>հիմնականում պայմանավորված է պարգևավճար ստացող շահառուների</w:t>
      </w:r>
      <w:r w:rsidR="0041105B" w:rsidRPr="00B57DAB">
        <w:rPr>
          <w:rFonts w:ascii="GHEA Grapalat" w:hAnsi="GHEA Grapalat" w:cs="Arial"/>
          <w:sz w:val="22"/>
          <w:szCs w:val="22"/>
        </w:rPr>
        <w:t xml:space="preserve"> </w:t>
      </w:r>
      <w:r w:rsidR="0041105B" w:rsidRPr="00B57DAB">
        <w:rPr>
          <w:rFonts w:ascii="GHEA Grapalat" w:hAnsi="GHEA Grapalat" w:cs="Arial"/>
          <w:sz w:val="22"/>
          <w:szCs w:val="22"/>
          <w:lang w:val="hy-AM"/>
        </w:rPr>
        <w:t>փաստացի</w:t>
      </w:r>
      <w:r w:rsidRPr="00B57DAB">
        <w:rPr>
          <w:rFonts w:ascii="GHEA Grapalat" w:hAnsi="GHEA Grapalat" w:cs="Arial"/>
          <w:sz w:val="22"/>
          <w:szCs w:val="22"/>
          <w:lang w:val="hy-AM"/>
        </w:rPr>
        <w:t xml:space="preserve"> թվով, որը նախատեսված 35015-ի դիմաց կազմել է 34712:</w:t>
      </w:r>
    </w:p>
    <w:p w:rsidR="009E5CB1" w:rsidRPr="00B57DAB" w:rsidRDefault="009E5CB1" w:rsidP="009E5CB1">
      <w:pPr>
        <w:spacing w:line="360" w:lineRule="auto"/>
        <w:ind w:firstLine="561"/>
        <w:jc w:val="both"/>
        <w:rPr>
          <w:rFonts w:ascii="GHEA Grapalat" w:hAnsi="GHEA Grapalat"/>
          <w:sz w:val="22"/>
          <w:szCs w:val="22"/>
          <w:lang w:val="hy-AM"/>
        </w:rPr>
      </w:pPr>
      <w:r w:rsidRPr="00B57DAB">
        <w:rPr>
          <w:rFonts w:ascii="GHEA Grapalat" w:hAnsi="GHEA Grapalat" w:cs="Arial"/>
          <w:i/>
          <w:sz w:val="22"/>
          <w:szCs w:val="22"/>
          <w:lang w:val="hy-AM"/>
        </w:rPr>
        <w:t>18 տարեկանից բարձր տարիքի անձանց</w:t>
      </w:r>
      <w:r w:rsidRPr="00B57DAB">
        <w:rPr>
          <w:rFonts w:ascii="GHEA Grapalat" w:hAnsi="GHEA Grapalat"/>
          <w:i/>
          <w:sz w:val="22"/>
          <w:szCs w:val="22"/>
          <w:lang w:val="hy-AM"/>
        </w:rPr>
        <w:t xml:space="preserve"> խ</w:t>
      </w:r>
      <w:r w:rsidRPr="00B57DAB">
        <w:rPr>
          <w:rFonts w:ascii="GHEA Grapalat" w:hAnsi="GHEA Grapalat" w:cs="Arial"/>
          <w:i/>
          <w:sz w:val="22"/>
          <w:szCs w:val="22"/>
          <w:lang w:val="hy-AM"/>
        </w:rPr>
        <w:t>նամքի ծառայությունների</w:t>
      </w:r>
      <w:r w:rsidRPr="00B57DAB">
        <w:rPr>
          <w:rFonts w:ascii="GHEA Grapalat" w:hAnsi="GHEA Grapalat" w:cs="Arial"/>
          <w:sz w:val="22"/>
          <w:szCs w:val="22"/>
          <w:lang w:val="hy-AM"/>
        </w:rPr>
        <w:t xml:space="preserve"> </w:t>
      </w:r>
      <w:r w:rsidRPr="00B57DAB">
        <w:rPr>
          <w:rFonts w:ascii="GHEA Grapalat" w:hAnsi="GHEA Grapalat"/>
          <w:sz w:val="22"/>
          <w:szCs w:val="22"/>
          <w:lang w:val="hy-AM"/>
        </w:rPr>
        <w:t>ծրագրի</w:t>
      </w:r>
      <w:r w:rsidRPr="00B57DAB">
        <w:rPr>
          <w:rFonts w:ascii="GHEA Grapalat" w:hAnsi="GHEA Grapalat" w:cs="Arial"/>
          <w:sz w:val="22"/>
          <w:szCs w:val="22"/>
          <w:lang w:val="hy-AM"/>
        </w:rPr>
        <w:t xml:space="preserve"> ծախսերը</w:t>
      </w:r>
      <w:r w:rsidRPr="00B57DAB">
        <w:rPr>
          <w:rFonts w:ascii="GHEA Grapalat" w:hAnsi="GHEA Grapalat"/>
          <w:sz w:val="22"/>
          <w:szCs w:val="22"/>
          <w:lang w:val="hy-AM"/>
        </w:rPr>
        <w:t xml:space="preserve"> հաշվետու</w:t>
      </w:r>
      <w:r w:rsidRPr="00B57DAB">
        <w:rPr>
          <w:rFonts w:ascii="GHEA Grapalat" w:hAnsi="GHEA Grapalat" w:cs="Times Armenian"/>
          <w:sz w:val="22"/>
          <w:szCs w:val="22"/>
          <w:lang w:val="hy-AM"/>
        </w:rPr>
        <w:t xml:space="preserve"> ժամանակահատվածում</w:t>
      </w:r>
      <w:r w:rsidRPr="00B57DAB">
        <w:rPr>
          <w:rFonts w:ascii="GHEA Grapalat" w:hAnsi="GHEA Grapalat"/>
          <w:sz w:val="22"/>
          <w:szCs w:val="22"/>
          <w:lang w:val="hy-AM"/>
        </w:rPr>
        <w:t xml:space="preserve"> </w:t>
      </w:r>
      <w:r w:rsidRPr="00B57DAB">
        <w:rPr>
          <w:rFonts w:ascii="GHEA Grapalat" w:hAnsi="GHEA Grapalat" w:cs="Arial"/>
          <w:sz w:val="22"/>
          <w:szCs w:val="22"/>
          <w:lang w:val="hy-AM"/>
        </w:rPr>
        <w:t>կազմել են</w:t>
      </w:r>
      <w:r w:rsidRPr="00B57DAB">
        <w:rPr>
          <w:rFonts w:ascii="GHEA Grapalat" w:hAnsi="GHEA Grapalat"/>
          <w:sz w:val="22"/>
          <w:szCs w:val="22"/>
          <w:lang w:val="hy-AM"/>
        </w:rPr>
        <w:t xml:space="preserve"> 632.4 </w:t>
      </w:r>
      <w:r w:rsidRPr="00B57DAB">
        <w:rPr>
          <w:rFonts w:ascii="GHEA Grapalat" w:hAnsi="GHEA Grapalat" w:cs="Arial"/>
          <w:sz w:val="22"/>
          <w:szCs w:val="22"/>
          <w:lang w:val="hy-AM"/>
        </w:rPr>
        <w:t>մլն</w:t>
      </w:r>
      <w:r w:rsidRPr="00B57DAB">
        <w:rPr>
          <w:rFonts w:ascii="GHEA Grapalat" w:hAnsi="GHEA Grapalat"/>
          <w:sz w:val="22"/>
          <w:szCs w:val="22"/>
          <w:lang w:val="hy-AM"/>
        </w:rPr>
        <w:t xml:space="preserve"> </w:t>
      </w:r>
      <w:r w:rsidRPr="00B57DAB">
        <w:rPr>
          <w:rFonts w:ascii="GHEA Grapalat" w:hAnsi="GHEA Grapalat" w:cs="Arial"/>
          <w:sz w:val="22"/>
          <w:szCs w:val="22"/>
          <w:lang w:val="hy-AM"/>
        </w:rPr>
        <w:t>դրամ</w:t>
      </w:r>
      <w:r w:rsidRPr="00B57DAB">
        <w:rPr>
          <w:rFonts w:ascii="GHEA Grapalat" w:hAnsi="GHEA Grapalat"/>
          <w:sz w:val="22"/>
          <w:szCs w:val="22"/>
          <w:lang w:val="hy-AM"/>
        </w:rPr>
        <w:t xml:space="preserve"> </w:t>
      </w:r>
      <w:r w:rsidRPr="00B57DAB">
        <w:rPr>
          <w:rFonts w:ascii="GHEA Grapalat" w:hAnsi="GHEA Grapalat" w:cs="Arial"/>
          <w:sz w:val="22"/>
          <w:szCs w:val="22"/>
          <w:lang w:val="hy-AM"/>
        </w:rPr>
        <w:t>կամ</w:t>
      </w:r>
      <w:r w:rsidRPr="00B57DAB">
        <w:rPr>
          <w:rFonts w:ascii="GHEA Grapalat" w:hAnsi="GHEA Grapalat"/>
          <w:sz w:val="22"/>
          <w:szCs w:val="22"/>
          <w:lang w:val="hy-AM"/>
        </w:rPr>
        <w:t xml:space="preserve"> </w:t>
      </w:r>
      <w:r w:rsidRPr="00B57DAB">
        <w:rPr>
          <w:rFonts w:ascii="GHEA Grapalat" w:hAnsi="GHEA Grapalat" w:cs="Arial"/>
          <w:sz w:val="22"/>
          <w:szCs w:val="22"/>
          <w:lang w:val="hy-AM"/>
        </w:rPr>
        <w:t>ծրագրված ցուցանիշի</w:t>
      </w:r>
      <w:r w:rsidRPr="00B57DAB">
        <w:rPr>
          <w:rFonts w:ascii="GHEA Grapalat" w:hAnsi="GHEA Grapalat"/>
          <w:sz w:val="22"/>
          <w:szCs w:val="22"/>
          <w:lang w:val="hy-AM"/>
        </w:rPr>
        <w:t xml:space="preserve"> 85%</w:t>
      </w:r>
      <w:r w:rsidRPr="00B57DAB">
        <w:rPr>
          <w:rFonts w:ascii="GHEA Grapalat" w:hAnsi="GHEA Grapalat"/>
          <w:sz w:val="22"/>
          <w:szCs w:val="22"/>
          <w:lang w:val="hy-AM"/>
        </w:rPr>
        <w:noBreakHyphen/>
      </w:r>
      <w:r w:rsidRPr="00B57DAB">
        <w:rPr>
          <w:rFonts w:ascii="GHEA Grapalat" w:hAnsi="GHEA Grapalat" w:cs="Arial"/>
          <w:sz w:val="22"/>
          <w:szCs w:val="22"/>
          <w:lang w:val="hy-AM"/>
        </w:rPr>
        <w:t>ը</w:t>
      </w:r>
      <w:r w:rsidRPr="00B57DAB">
        <w:rPr>
          <w:rFonts w:ascii="GHEA Grapalat" w:hAnsi="GHEA Grapalat"/>
          <w:sz w:val="22"/>
          <w:szCs w:val="22"/>
          <w:lang w:val="hy-AM"/>
        </w:rPr>
        <w:t>:</w:t>
      </w:r>
      <w:r w:rsidRPr="00B57DAB">
        <w:rPr>
          <w:rFonts w:ascii="GHEA Grapalat" w:hAnsi="GHEA Grapalat" w:cs="Times Armenian"/>
          <w:sz w:val="22"/>
          <w:szCs w:val="22"/>
          <w:lang w:val="hy-AM"/>
        </w:rPr>
        <w:t xml:space="preserve"> Ծրագրում ընդգրկված են ութ միջոցառումներ, որոնց բոլորի </w:t>
      </w:r>
      <w:r w:rsidR="007E7B47" w:rsidRPr="00B57DAB">
        <w:rPr>
          <w:rFonts w:ascii="GHEA Grapalat" w:hAnsi="GHEA Grapalat" w:cs="Times Armenian"/>
          <w:sz w:val="22"/>
          <w:szCs w:val="22"/>
          <w:lang w:val="hy-AM"/>
        </w:rPr>
        <w:t>գծով արձանագրվել են շեղումներ՝ հիմնականում պայմանավորված</w:t>
      </w:r>
      <w:r w:rsidRPr="00B57DAB">
        <w:rPr>
          <w:rFonts w:ascii="GHEA Grapalat" w:hAnsi="GHEA Grapalat" w:cs="Times Armenian"/>
          <w:sz w:val="22"/>
          <w:szCs w:val="22"/>
          <w:lang w:val="hy-AM"/>
        </w:rPr>
        <w:t xml:space="preserve"> ցածր դիմելիությամբ,</w:t>
      </w:r>
      <w:r w:rsidR="00B03E98" w:rsidRPr="00B57DAB">
        <w:rPr>
          <w:rFonts w:ascii="GHEA Grapalat" w:hAnsi="GHEA Grapalat" w:cs="Times Armenian"/>
          <w:sz w:val="22"/>
          <w:szCs w:val="22"/>
        </w:rPr>
        <w:t xml:space="preserve"> </w:t>
      </w:r>
      <w:r w:rsidR="00B03E98" w:rsidRPr="00B57DAB">
        <w:rPr>
          <w:rFonts w:ascii="GHEA Grapalat" w:hAnsi="GHEA Grapalat" w:cs="Times Armenian"/>
          <w:sz w:val="22"/>
          <w:szCs w:val="22"/>
          <w:lang w:val="hy-AM"/>
        </w:rPr>
        <w:t>ընդունելության չափորոշիչներին չհամապատասխանելու</w:t>
      </w:r>
      <w:r w:rsidR="00B03E98" w:rsidRPr="00B57DAB">
        <w:rPr>
          <w:rFonts w:ascii="GHEA Grapalat" w:hAnsi="GHEA Grapalat" w:cs="Times Armenian"/>
          <w:sz w:val="22"/>
          <w:szCs w:val="22"/>
        </w:rPr>
        <w:t>,</w:t>
      </w:r>
      <w:r w:rsidRPr="00B57DAB">
        <w:rPr>
          <w:rFonts w:ascii="GHEA Grapalat" w:hAnsi="GHEA Grapalat" w:cs="Times Armenian"/>
          <w:sz w:val="22"/>
          <w:szCs w:val="22"/>
          <w:lang w:val="hy-AM"/>
        </w:rPr>
        <w:t xml:space="preserve"> ինչպես նաև </w:t>
      </w:r>
      <w:r w:rsidRPr="00B57DAB">
        <w:rPr>
          <w:rFonts w:ascii="GHEA Grapalat" w:hAnsi="GHEA Grapalat"/>
          <w:sz w:val="22"/>
          <w:szCs w:val="22"/>
          <w:lang w:val="hy-AM"/>
        </w:rPr>
        <w:t>մարտ ամսվա ընթացքում մատուցված ծառայությունների դիմաց կատարողական հաշվետվությունները ապրիլին ներկայացվելու հանգամանք</w:t>
      </w:r>
      <w:r w:rsidR="00B03E98" w:rsidRPr="00B57DAB">
        <w:rPr>
          <w:rFonts w:ascii="GHEA Grapalat" w:hAnsi="GHEA Grapalat"/>
          <w:sz w:val="22"/>
          <w:szCs w:val="22"/>
        </w:rPr>
        <w:t>ներ</w:t>
      </w:r>
      <w:r w:rsidRPr="00B57DAB">
        <w:rPr>
          <w:rFonts w:ascii="GHEA Grapalat" w:hAnsi="GHEA Grapalat"/>
          <w:sz w:val="22"/>
          <w:szCs w:val="22"/>
          <w:lang w:val="hy-AM"/>
        </w:rPr>
        <w:t>ով:</w:t>
      </w:r>
    </w:p>
    <w:p w:rsidR="009E5CB1" w:rsidRPr="00B57DAB" w:rsidRDefault="009E5CB1" w:rsidP="009E5CB1">
      <w:pPr>
        <w:spacing w:line="360" w:lineRule="auto"/>
        <w:ind w:firstLine="561"/>
        <w:jc w:val="both"/>
        <w:rPr>
          <w:rFonts w:ascii="GHEA Grapalat" w:hAnsi="GHEA Grapalat" w:cs="Times Armenian"/>
          <w:sz w:val="22"/>
          <w:szCs w:val="22"/>
        </w:rPr>
      </w:pPr>
      <w:r w:rsidRPr="00B57DAB">
        <w:rPr>
          <w:rFonts w:ascii="GHEA Grapalat" w:hAnsi="GHEA Grapalat" w:cs="Times Armenian"/>
          <w:sz w:val="22"/>
          <w:szCs w:val="22"/>
          <w:lang w:val="hy-AM"/>
        </w:rPr>
        <w:t xml:space="preserve">Հաշվետու ժամանակահատվածում «Տարեցների և հաշմանդամություն ունեցող 18 տարին լրացած անձանց շուրջօրյա խնամքի ծառայություններ» միջոցառման շրջանակներում շուրջօրյա խնամքի բնակչության սոցիալական պաշտպանության հաստատություններում խնամվող տարեցների և հաշմանդամություն ունեցող 18 տարին լրացած անձանց </w:t>
      </w:r>
      <w:r w:rsidRPr="00B57DAB">
        <w:rPr>
          <w:rFonts w:ascii="GHEA Grapalat" w:hAnsi="GHEA Grapalat"/>
          <w:sz w:val="22"/>
          <w:szCs w:val="22"/>
          <w:lang w:val="hy-AM"/>
        </w:rPr>
        <w:t>թիվը կազմել է 1107` նախատեսված 1160-ի դիմաց,</w:t>
      </w:r>
      <w:r w:rsidRPr="00B57DAB">
        <w:rPr>
          <w:rFonts w:ascii="GHEA Grapalat" w:hAnsi="GHEA Grapalat" w:cs="Times Armenian"/>
          <w:sz w:val="22"/>
          <w:szCs w:val="22"/>
          <w:lang w:val="hy-AM"/>
        </w:rPr>
        <w:t xml:space="preserve"> «Տարեցներին և հաշմանդամություն ունեցող անձանց տնային պայմաններում խնամքի ծառայություններ» միջոցառման շրջանակներում տնային պայմաններում սպասարկվող անձանց (խնամվողների) թիվը՝ 1841՝ կանխատեսված 1880-ի դիմաց</w:t>
      </w:r>
      <w:r w:rsidRPr="00B57DAB">
        <w:rPr>
          <w:rFonts w:ascii="GHEA Grapalat" w:hAnsi="GHEA Grapalat" w:cs="Arial"/>
          <w:sz w:val="22"/>
          <w:szCs w:val="22"/>
          <w:lang w:val="hy-AM"/>
        </w:rPr>
        <w:t>, իսկ «</w:t>
      </w:r>
      <w:r w:rsidRPr="00B57DAB">
        <w:rPr>
          <w:rFonts w:ascii="GHEA Grapalat" w:hAnsi="GHEA Grapalat"/>
          <w:sz w:val="22"/>
          <w:szCs w:val="22"/>
          <w:lang w:val="hy-AM"/>
        </w:rPr>
        <w:t xml:space="preserve">Տարեցներին, հաշմանդամություն ունեցող անձանց ցերեկային խնամքի ծառայություններ (սննդի տրամադրման գծով)» միջոցառման շրջանակներում խնամվողների թիվը՝ 1337՝ նախատեսված </w:t>
      </w:r>
      <w:r w:rsidR="00B03E98" w:rsidRPr="00B57DAB">
        <w:rPr>
          <w:rFonts w:ascii="GHEA Grapalat" w:hAnsi="GHEA Grapalat"/>
          <w:sz w:val="22"/>
          <w:szCs w:val="22"/>
          <w:lang w:val="hy-AM"/>
        </w:rPr>
        <w:t>1600-ի դիմաց:</w:t>
      </w:r>
    </w:p>
    <w:p w:rsidR="009E5CB1" w:rsidRPr="00B57DAB" w:rsidRDefault="009E5CB1" w:rsidP="009E5CB1">
      <w:pPr>
        <w:spacing w:line="360" w:lineRule="auto"/>
        <w:ind w:firstLine="561"/>
        <w:jc w:val="both"/>
        <w:rPr>
          <w:rFonts w:ascii="GHEA Grapalat" w:hAnsi="GHEA Grapalat"/>
          <w:sz w:val="22"/>
          <w:szCs w:val="22"/>
          <w:lang w:val="hy-AM"/>
        </w:rPr>
      </w:pPr>
      <w:r w:rsidRPr="00B57DAB">
        <w:rPr>
          <w:rFonts w:ascii="GHEA Grapalat" w:hAnsi="GHEA Grapalat" w:cs="Times Armenian"/>
          <w:sz w:val="22"/>
          <w:szCs w:val="22"/>
          <w:lang w:val="hy-AM"/>
        </w:rPr>
        <w:t xml:space="preserve">Տարեցների և հաշմանդամություն ունեցող 18 տարին լրացած անձանց շուրջօրյա խնամքի ծառայությունների </w:t>
      </w:r>
      <w:r w:rsidRPr="00B57DAB">
        <w:rPr>
          <w:rFonts w:ascii="GHEA Grapalat" w:hAnsi="GHEA Grapalat"/>
          <w:sz w:val="22"/>
          <w:szCs w:val="22"/>
          <w:lang w:val="hy-AM"/>
        </w:rPr>
        <w:t xml:space="preserve">միջոցառման գծով ծախսերը կազմել են 560.8 մլն դրամ՝ ապահովելով եռամսյա ծրագրի 89.9% կատարողական, </w:t>
      </w:r>
      <w:r w:rsidRPr="00B57DAB">
        <w:rPr>
          <w:rFonts w:ascii="GHEA Grapalat" w:hAnsi="GHEA Grapalat" w:cs="Times Armenian"/>
          <w:sz w:val="22"/>
          <w:szCs w:val="22"/>
          <w:lang w:val="hy-AM"/>
        </w:rPr>
        <w:t>տարեցներին և հաշմանդամություն ունեցող անձանց տնային պայմաններում խնամքի ծառայությունների միջոցառման ծախսերը՝ 33.7 մլն դրամ՝</w:t>
      </w:r>
      <w:r w:rsidR="00976886" w:rsidRPr="00B57DAB">
        <w:rPr>
          <w:rFonts w:ascii="GHEA Grapalat" w:hAnsi="GHEA Grapalat" w:cs="Times Armenian"/>
          <w:sz w:val="22"/>
          <w:szCs w:val="22"/>
        </w:rPr>
        <w:t xml:space="preserve"> ապահովելով</w:t>
      </w:r>
      <w:r w:rsidRPr="00B57DAB">
        <w:rPr>
          <w:rFonts w:ascii="GHEA Grapalat" w:hAnsi="GHEA Grapalat" w:cs="Times Armenian"/>
          <w:sz w:val="22"/>
          <w:szCs w:val="22"/>
          <w:lang w:val="hy-AM"/>
        </w:rPr>
        <w:t xml:space="preserve"> 69.7</w:t>
      </w:r>
      <w:r w:rsidRPr="00B57DAB">
        <w:rPr>
          <w:rFonts w:ascii="GHEA Grapalat" w:hAnsi="GHEA Grapalat"/>
          <w:sz w:val="22"/>
          <w:szCs w:val="22"/>
          <w:lang w:val="hy-AM"/>
        </w:rPr>
        <w:t>%</w:t>
      </w:r>
      <w:r w:rsidR="00976886" w:rsidRPr="00B57DAB">
        <w:rPr>
          <w:rFonts w:ascii="GHEA Grapalat" w:hAnsi="GHEA Grapalat"/>
          <w:sz w:val="22"/>
          <w:szCs w:val="22"/>
        </w:rPr>
        <w:t xml:space="preserve"> կատարողական</w:t>
      </w:r>
      <w:r w:rsidRPr="00B57DAB">
        <w:rPr>
          <w:rFonts w:ascii="GHEA Grapalat" w:hAnsi="GHEA Grapalat"/>
          <w:sz w:val="22"/>
          <w:szCs w:val="22"/>
          <w:lang w:val="hy-AM"/>
        </w:rPr>
        <w:t>, իսկ տարեցներին, հաշմանդամություն ունեցող անձանց ցերեկային խնամքի ծառայությունների (սննդի տրամադրման գծով) միջոցառման ծախսերը՝</w:t>
      </w:r>
      <w:r w:rsidRPr="00B57DAB">
        <w:rPr>
          <w:rFonts w:ascii="GHEA Grapalat" w:hAnsi="GHEA Grapalat" w:cs="Times Armenian"/>
          <w:sz w:val="22"/>
          <w:szCs w:val="22"/>
          <w:lang w:val="hy-AM"/>
        </w:rPr>
        <w:t xml:space="preserve"> 24.4 մլն դրամ կամ նախատեսված միջոցների 57.4</w:t>
      </w:r>
      <w:r w:rsidRPr="00B57DAB">
        <w:rPr>
          <w:rFonts w:ascii="GHEA Grapalat" w:hAnsi="GHEA Grapalat"/>
          <w:sz w:val="22"/>
          <w:szCs w:val="22"/>
          <w:lang w:val="hy-AM"/>
        </w:rPr>
        <w:t>%</w:t>
      </w:r>
      <w:r w:rsidR="00B03E98" w:rsidRPr="00B57DAB">
        <w:rPr>
          <w:rFonts w:ascii="GHEA Grapalat" w:hAnsi="GHEA Grapalat"/>
          <w:sz w:val="22"/>
          <w:szCs w:val="22"/>
        </w:rPr>
        <w:t>-ը</w:t>
      </w:r>
      <w:r w:rsidRPr="00B57DAB">
        <w:rPr>
          <w:rFonts w:ascii="GHEA Grapalat" w:hAnsi="GHEA Grapalat"/>
          <w:sz w:val="22"/>
          <w:szCs w:val="22"/>
          <w:lang w:val="hy-AM"/>
        </w:rPr>
        <w:t>:</w:t>
      </w:r>
    </w:p>
    <w:p w:rsidR="009E5CB1" w:rsidRPr="00B57DAB" w:rsidRDefault="009E5CB1" w:rsidP="009E5CB1">
      <w:pPr>
        <w:spacing w:line="360" w:lineRule="auto"/>
        <w:ind w:firstLine="561"/>
        <w:jc w:val="both"/>
        <w:rPr>
          <w:rFonts w:ascii="GHEA Grapalat" w:hAnsi="GHEA Grapalat"/>
          <w:sz w:val="22"/>
          <w:szCs w:val="22"/>
          <w:lang w:val="hy-AM"/>
        </w:rPr>
      </w:pPr>
      <w:r w:rsidRPr="00B57DAB">
        <w:rPr>
          <w:rFonts w:ascii="GHEA Grapalat" w:hAnsi="GHEA Grapalat"/>
          <w:sz w:val="22"/>
          <w:szCs w:val="22"/>
          <w:lang w:val="hy-AM"/>
        </w:rPr>
        <w:t>Նախորդ տարվա նույն ժամանակահատվածի համեմատ 18 տարեկանից բարձր տարիքի անձանց խնամքի ծառայությունների ծրագրի ծախսերն աճել</w:t>
      </w:r>
      <w:r w:rsidRPr="00B57DAB">
        <w:rPr>
          <w:rFonts w:ascii="GHEA Grapalat" w:hAnsi="GHEA Grapalat" w:cs="Sylfaen"/>
          <w:sz w:val="22"/>
          <w:szCs w:val="22"/>
          <w:lang w:val="hy-AM"/>
        </w:rPr>
        <w:t xml:space="preserve"> են 3.1</w:t>
      </w:r>
      <w:r w:rsidRPr="00B57DAB">
        <w:rPr>
          <w:rFonts w:ascii="GHEA Grapalat" w:hAnsi="GHEA Grapalat" w:cs="Times Armenian"/>
          <w:sz w:val="22"/>
          <w:szCs w:val="22"/>
          <w:lang w:val="hy-AM"/>
        </w:rPr>
        <w:t>%-ով կամ 18.8 մլն դրամով՝ հիմնականում</w:t>
      </w:r>
      <w:r w:rsidRPr="00B57DAB">
        <w:rPr>
          <w:rFonts w:ascii="GHEA Grapalat" w:hAnsi="GHEA Grapalat"/>
          <w:sz w:val="22"/>
          <w:szCs w:val="22"/>
          <w:lang w:val="hy-AM"/>
        </w:rPr>
        <w:t xml:space="preserve"> պայմանավորված</w:t>
      </w:r>
      <w:r w:rsidRPr="00B57DAB">
        <w:rPr>
          <w:rFonts w:ascii="GHEA Grapalat" w:hAnsi="GHEA Grapalat" w:cs="Sylfaen"/>
          <w:sz w:val="22"/>
          <w:szCs w:val="22"/>
          <w:lang w:val="hy-AM"/>
        </w:rPr>
        <w:t xml:space="preserve"> </w:t>
      </w:r>
      <w:r w:rsidRPr="00B57DAB">
        <w:rPr>
          <w:rFonts w:ascii="GHEA Grapalat" w:hAnsi="GHEA Grapalat" w:cs="Arial"/>
          <w:sz w:val="22"/>
          <w:szCs w:val="22"/>
          <w:lang w:val="hy-AM"/>
        </w:rPr>
        <w:t>տ</w:t>
      </w:r>
      <w:r w:rsidRPr="00B57DAB">
        <w:rPr>
          <w:rFonts w:ascii="GHEA Grapalat" w:hAnsi="GHEA Grapalat" w:cs="Times Armenian"/>
          <w:sz w:val="22"/>
          <w:szCs w:val="22"/>
          <w:lang w:val="hy-AM"/>
        </w:rPr>
        <w:t>արեցների և հաշմանդամություն ունեցող անձանց տնային պայմաններում խնամքի</w:t>
      </w:r>
      <w:r w:rsidR="00B56CF8" w:rsidRPr="00B57DAB">
        <w:rPr>
          <w:rFonts w:ascii="GHEA Grapalat" w:hAnsi="GHEA Grapalat" w:cs="Times Armenian"/>
          <w:sz w:val="22"/>
          <w:szCs w:val="22"/>
        </w:rPr>
        <w:t xml:space="preserve"> ծախսերի</w:t>
      </w:r>
      <w:r w:rsidRPr="00B57DAB">
        <w:rPr>
          <w:rFonts w:ascii="GHEA Grapalat" w:hAnsi="GHEA Grapalat" w:cs="Times Armenian"/>
          <w:sz w:val="22"/>
          <w:szCs w:val="22"/>
          <w:lang w:val="hy-AM"/>
        </w:rPr>
        <w:t xml:space="preserve"> 52.7%</w:t>
      </w:r>
      <w:r w:rsidR="00B56CF8" w:rsidRPr="00B57DAB">
        <w:rPr>
          <w:rFonts w:ascii="GHEA Grapalat" w:hAnsi="GHEA Grapalat" w:cs="Times Armenian"/>
          <w:sz w:val="22"/>
          <w:szCs w:val="22"/>
          <w:lang w:val="hy-AM"/>
        </w:rPr>
        <w:t xml:space="preserve"> (11.6 մլն դրամ</w:t>
      </w:r>
      <w:r w:rsidRPr="00B57DAB">
        <w:rPr>
          <w:rFonts w:ascii="GHEA Grapalat" w:hAnsi="GHEA Grapalat" w:cs="Times Armenian"/>
          <w:sz w:val="22"/>
          <w:szCs w:val="22"/>
          <w:lang w:val="hy-AM"/>
        </w:rPr>
        <w:t>) և տ</w:t>
      </w:r>
      <w:r w:rsidRPr="00B57DAB">
        <w:rPr>
          <w:rFonts w:ascii="GHEA Grapalat" w:hAnsi="GHEA Grapalat"/>
          <w:sz w:val="22"/>
          <w:szCs w:val="22"/>
          <w:lang w:val="hy-AM"/>
        </w:rPr>
        <w:t xml:space="preserve">արեցներին, հաշմանդամություն </w:t>
      </w:r>
      <w:r w:rsidRPr="00B57DAB">
        <w:rPr>
          <w:rFonts w:ascii="GHEA Grapalat" w:hAnsi="GHEA Grapalat"/>
          <w:sz w:val="22"/>
          <w:szCs w:val="22"/>
          <w:lang w:val="hy-AM"/>
        </w:rPr>
        <w:lastRenderedPageBreak/>
        <w:t xml:space="preserve">ունեցող անձանց ցերեկային խնամքի (սննդի տրամադրման գծով) ծառայությունների </w:t>
      </w:r>
      <w:r w:rsidR="00B56CF8" w:rsidRPr="00B57DAB">
        <w:rPr>
          <w:rFonts w:ascii="GHEA Grapalat" w:hAnsi="GHEA Grapalat" w:cs="Times Armenian"/>
          <w:sz w:val="22"/>
          <w:szCs w:val="22"/>
          <w:lang w:val="hy-AM"/>
        </w:rPr>
        <w:t>գծով ծախսերի 63.1%</w:t>
      </w:r>
      <w:r w:rsidRPr="00B57DAB">
        <w:rPr>
          <w:rFonts w:ascii="GHEA Grapalat" w:hAnsi="GHEA Grapalat" w:cs="Times Armenian"/>
          <w:sz w:val="22"/>
          <w:szCs w:val="22"/>
          <w:lang w:val="hy-AM"/>
        </w:rPr>
        <w:t xml:space="preserve"> (9.4 մլն դրամ) աճով:</w:t>
      </w:r>
    </w:p>
    <w:p w:rsidR="009E5CB1" w:rsidRPr="00B57DAB" w:rsidRDefault="009E5CB1" w:rsidP="00B56CF8">
      <w:pPr>
        <w:autoSpaceDE w:val="0"/>
        <w:autoSpaceDN w:val="0"/>
        <w:adjustRightInd w:val="0"/>
        <w:spacing w:line="360" w:lineRule="auto"/>
        <w:ind w:firstLine="567"/>
        <w:jc w:val="both"/>
        <w:rPr>
          <w:rFonts w:ascii="GHEA Grapalat" w:hAnsi="GHEA Grapalat" w:cs="Times Armenian"/>
          <w:sz w:val="22"/>
          <w:szCs w:val="22"/>
        </w:rPr>
      </w:pPr>
      <w:r w:rsidRPr="00B57DAB">
        <w:rPr>
          <w:rFonts w:ascii="GHEA Grapalat" w:hAnsi="GHEA Grapalat"/>
          <w:sz w:val="22"/>
          <w:szCs w:val="22"/>
          <w:lang w:val="hy-AM"/>
        </w:rPr>
        <w:t xml:space="preserve">2022 </w:t>
      </w:r>
      <w:r w:rsidRPr="00B57DAB">
        <w:rPr>
          <w:rFonts w:ascii="GHEA Grapalat" w:hAnsi="GHEA Grapalat" w:cs="Arial"/>
          <w:sz w:val="22"/>
          <w:szCs w:val="22"/>
          <w:lang w:val="hy-AM"/>
        </w:rPr>
        <w:t>թվականի առաջին եռամսյակի ընթացքում</w:t>
      </w:r>
      <w:r w:rsidRPr="00B57DAB">
        <w:rPr>
          <w:rFonts w:ascii="GHEA Grapalat" w:hAnsi="GHEA Grapalat" w:cs="Sylfaen"/>
          <w:i/>
          <w:sz w:val="22"/>
          <w:szCs w:val="22"/>
          <w:lang w:val="hy-AM"/>
        </w:rPr>
        <w:t xml:space="preserve"> Ընտանիքներին, կանանց և երեխաներին աջակցության</w:t>
      </w:r>
      <w:r w:rsidRPr="00B57DAB">
        <w:rPr>
          <w:rFonts w:ascii="GHEA Grapalat" w:hAnsi="GHEA Grapalat" w:cs="Sylfaen"/>
          <w:sz w:val="22"/>
          <w:szCs w:val="22"/>
          <w:lang w:val="hy-AM"/>
        </w:rPr>
        <w:t xml:space="preserve"> ծրագ</w:t>
      </w:r>
      <w:r w:rsidR="00B56CF8" w:rsidRPr="00B57DAB">
        <w:rPr>
          <w:rFonts w:ascii="GHEA Grapalat" w:hAnsi="GHEA Grapalat" w:cs="Sylfaen"/>
          <w:sz w:val="22"/>
          <w:szCs w:val="22"/>
          <w:lang w:val="hy-AM"/>
        </w:rPr>
        <w:t xml:space="preserve">րի շրջանակներում օգտագործվել է </w:t>
      </w:r>
      <w:r w:rsidRPr="00B57DAB">
        <w:rPr>
          <w:rFonts w:ascii="GHEA Grapalat" w:hAnsi="GHEA Grapalat" w:cs="Sylfaen"/>
          <w:sz w:val="22"/>
          <w:szCs w:val="22"/>
          <w:lang w:val="hy-AM"/>
        </w:rPr>
        <w:t>ավելի քան 665.5 մլն դրամ՝ կազմելով ծրագրված ցուցանիշի 80.8</w:t>
      </w:r>
      <w:r w:rsidRPr="00B57DAB">
        <w:rPr>
          <w:rFonts w:ascii="GHEA Grapalat" w:hAnsi="GHEA Grapalat" w:cs="Times Armenian"/>
          <w:sz w:val="22"/>
          <w:szCs w:val="22"/>
          <w:lang w:val="hy-AM"/>
        </w:rPr>
        <w:t>%-ը:</w:t>
      </w:r>
      <w:r w:rsidR="00B56CF8" w:rsidRPr="00B57DAB">
        <w:rPr>
          <w:rFonts w:ascii="GHEA Grapalat" w:hAnsi="GHEA Grapalat" w:cs="Times Armenian"/>
          <w:sz w:val="22"/>
          <w:szCs w:val="22"/>
        </w:rPr>
        <w:t xml:space="preserve"> Շեղումը պայմանավորված է հիմնականում ե</w:t>
      </w:r>
      <w:r w:rsidRPr="00B57DAB">
        <w:rPr>
          <w:rFonts w:ascii="GHEA Grapalat" w:hAnsi="GHEA Grapalat" w:cs="Times Armenian"/>
          <w:sz w:val="22"/>
          <w:szCs w:val="22"/>
          <w:lang w:val="hy-AM"/>
        </w:rPr>
        <w:t>րեխաների շուրջօրյա խնամքի ծառայությունների</w:t>
      </w:r>
      <w:r w:rsidR="00B56CF8" w:rsidRPr="00B57DAB">
        <w:rPr>
          <w:rFonts w:ascii="GHEA Grapalat" w:hAnsi="GHEA Grapalat" w:cs="Times Armenian"/>
          <w:sz w:val="22"/>
          <w:szCs w:val="22"/>
        </w:rPr>
        <w:t xml:space="preserve"> միջոցառման կատարողականով: Վերջինիս</w:t>
      </w:r>
      <w:r w:rsidRPr="00B57DAB">
        <w:rPr>
          <w:rFonts w:ascii="GHEA Grapalat" w:hAnsi="GHEA Grapalat" w:cs="Times Armenian"/>
          <w:sz w:val="22"/>
          <w:szCs w:val="22"/>
          <w:lang w:val="hy-AM"/>
        </w:rPr>
        <w:t xml:space="preserve"> շրջանակներում հաշվետու ժամանակահատվածում բնակչության սոցիալական պաշտպանության ընդհանուր տիպի և հատուկ/մասնագիտացված հաստատություններում խնամվող երեխաների թիվը</w:t>
      </w:r>
      <w:r w:rsidR="00B56CF8" w:rsidRPr="00B57DAB">
        <w:rPr>
          <w:rFonts w:ascii="GHEA Grapalat" w:hAnsi="GHEA Grapalat" w:cs="Times Armenian"/>
          <w:sz w:val="22"/>
          <w:szCs w:val="22"/>
          <w:lang w:val="hy-AM"/>
        </w:rPr>
        <w:t xml:space="preserve"> </w:t>
      </w:r>
      <w:r w:rsidR="00B56CF8" w:rsidRPr="00B57DAB">
        <w:rPr>
          <w:rFonts w:ascii="GHEA Grapalat" w:hAnsi="GHEA Grapalat" w:cs="Times Armenian"/>
          <w:sz w:val="22"/>
          <w:szCs w:val="22"/>
        </w:rPr>
        <w:t xml:space="preserve">համապատասխանել է ծրագրված ցուցանիշին՝ </w:t>
      </w:r>
      <w:r w:rsidRPr="00B57DAB">
        <w:rPr>
          <w:rFonts w:ascii="GHEA Grapalat" w:hAnsi="GHEA Grapalat" w:cs="Times Armenian"/>
          <w:sz w:val="22"/>
          <w:szCs w:val="22"/>
          <w:lang w:val="hy-AM"/>
        </w:rPr>
        <w:t>կազմել</w:t>
      </w:r>
      <w:r w:rsidR="00B56CF8" w:rsidRPr="00B57DAB">
        <w:rPr>
          <w:rFonts w:ascii="GHEA Grapalat" w:hAnsi="GHEA Grapalat" w:cs="Times Armenian"/>
          <w:sz w:val="22"/>
          <w:szCs w:val="22"/>
        </w:rPr>
        <w:t>ով</w:t>
      </w:r>
      <w:r w:rsidR="00B56CF8" w:rsidRPr="00B57DAB">
        <w:rPr>
          <w:rFonts w:ascii="GHEA Grapalat" w:hAnsi="GHEA Grapalat" w:cs="Times Armenian"/>
          <w:sz w:val="22"/>
          <w:szCs w:val="22"/>
          <w:lang w:val="hy-AM"/>
        </w:rPr>
        <w:t xml:space="preserve"> 585</w:t>
      </w:r>
      <w:r w:rsidR="00B56CF8" w:rsidRPr="00B57DAB">
        <w:rPr>
          <w:rFonts w:ascii="GHEA Grapalat" w:hAnsi="GHEA Grapalat" w:cs="Times Armenian"/>
          <w:sz w:val="22"/>
          <w:szCs w:val="22"/>
        </w:rPr>
        <w:t>:</w:t>
      </w:r>
      <w:r w:rsidRPr="00B57DAB">
        <w:rPr>
          <w:rFonts w:ascii="GHEA Grapalat" w:hAnsi="GHEA Grapalat" w:cs="Times Armenian"/>
          <w:sz w:val="22"/>
          <w:szCs w:val="22"/>
          <w:lang w:val="hy-AM"/>
        </w:rPr>
        <w:t xml:space="preserve"> </w:t>
      </w:r>
      <w:r w:rsidR="00B56CF8" w:rsidRPr="00B57DAB">
        <w:rPr>
          <w:rFonts w:ascii="GHEA Grapalat" w:hAnsi="GHEA Grapalat" w:cs="Times Armenian"/>
          <w:sz w:val="22"/>
          <w:szCs w:val="22"/>
        </w:rPr>
        <w:t>Օ</w:t>
      </w:r>
      <w:r w:rsidRPr="00B57DAB">
        <w:rPr>
          <w:rFonts w:ascii="GHEA Grapalat" w:hAnsi="GHEA Grapalat" w:cs="Sylfaen"/>
          <w:sz w:val="22"/>
          <w:szCs w:val="22"/>
          <w:lang w:val="hy-AM"/>
        </w:rPr>
        <w:t>գտագործվել է ծրագրված միջոցների 97.1</w:t>
      </w:r>
      <w:r w:rsidRPr="00B57DAB">
        <w:rPr>
          <w:rFonts w:ascii="GHEA Grapalat" w:hAnsi="GHEA Grapalat" w:cs="Times Armenian"/>
          <w:sz w:val="22"/>
          <w:szCs w:val="22"/>
          <w:lang w:val="hy-AM"/>
        </w:rPr>
        <w:t>%-ը՝ 465</w:t>
      </w:r>
      <w:r w:rsidRPr="00B57DAB">
        <w:rPr>
          <w:rFonts w:ascii="GHEA Grapalat" w:hAnsi="GHEA Grapalat" w:cs="Sylfaen"/>
          <w:sz w:val="22"/>
          <w:szCs w:val="22"/>
          <w:lang w:val="hy-AM"/>
        </w:rPr>
        <w:t xml:space="preserve"> մլն դրամ</w:t>
      </w:r>
      <w:r w:rsidRPr="00B57DAB">
        <w:rPr>
          <w:rFonts w:ascii="GHEA Grapalat" w:hAnsi="GHEA Grapalat" w:cs="Times Armenian"/>
          <w:sz w:val="22"/>
          <w:szCs w:val="22"/>
          <w:lang w:val="hy-AM"/>
        </w:rPr>
        <w:t xml:space="preserve">, որը պայմանավորված </w:t>
      </w:r>
      <w:r w:rsidR="00703321" w:rsidRPr="00B57DAB">
        <w:rPr>
          <w:rFonts w:ascii="GHEA Grapalat" w:hAnsi="GHEA Grapalat" w:cs="Times Armenian"/>
          <w:sz w:val="22"/>
          <w:szCs w:val="22"/>
        </w:rPr>
        <w:t xml:space="preserve">է </w:t>
      </w:r>
      <w:r w:rsidRPr="00B57DAB">
        <w:rPr>
          <w:rFonts w:ascii="GHEA Grapalat" w:hAnsi="GHEA Grapalat" w:cs="Times Armenian"/>
          <w:sz w:val="22"/>
          <w:szCs w:val="22"/>
          <w:lang w:val="hy-AM"/>
        </w:rPr>
        <w:t>սննդի և այլ ծառայությունների</w:t>
      </w:r>
      <w:r w:rsidR="00703321" w:rsidRPr="00B57DAB">
        <w:rPr>
          <w:rFonts w:ascii="GHEA Grapalat" w:hAnsi="GHEA Grapalat" w:cs="Times Armenian"/>
          <w:sz w:val="22"/>
          <w:szCs w:val="22"/>
        </w:rPr>
        <w:t xml:space="preserve"> գծով ծախսերի </w:t>
      </w:r>
      <w:r w:rsidRPr="00B57DAB">
        <w:rPr>
          <w:rFonts w:ascii="GHEA Grapalat" w:hAnsi="GHEA Grapalat" w:cs="Times Armenian"/>
          <w:sz w:val="22"/>
          <w:szCs w:val="22"/>
          <w:lang w:val="hy-AM"/>
        </w:rPr>
        <w:t>տնտեսմամբ</w:t>
      </w:r>
      <w:r w:rsidR="00703321" w:rsidRPr="00B57DAB">
        <w:rPr>
          <w:rFonts w:ascii="GHEA Grapalat" w:hAnsi="GHEA Grapalat" w:cs="Times Armenian"/>
          <w:sz w:val="22"/>
          <w:szCs w:val="22"/>
        </w:rPr>
        <w:t>՝ կապված խնամվողների միջին թվաքանակի հետ</w:t>
      </w:r>
      <w:r w:rsidR="00703321" w:rsidRPr="00B57DAB">
        <w:rPr>
          <w:rFonts w:ascii="GHEA Grapalat" w:hAnsi="GHEA Grapalat" w:cs="Times Armenian"/>
          <w:sz w:val="22"/>
          <w:szCs w:val="22"/>
          <w:lang w:val="hy-AM"/>
        </w:rPr>
        <w:t xml:space="preserve"> </w:t>
      </w:r>
      <w:r w:rsidR="00703321" w:rsidRPr="00B57DAB">
        <w:rPr>
          <w:rFonts w:ascii="GHEA Grapalat" w:hAnsi="GHEA Grapalat" w:cs="Times Armenian"/>
          <w:sz w:val="22"/>
          <w:szCs w:val="22"/>
        </w:rPr>
        <w:t>(</w:t>
      </w:r>
      <w:r w:rsidR="00703321" w:rsidRPr="00B57DAB">
        <w:rPr>
          <w:rFonts w:ascii="GHEA Grapalat" w:hAnsi="GHEA Grapalat" w:cs="Times Armenian"/>
          <w:sz w:val="22"/>
          <w:szCs w:val="22"/>
          <w:lang w:val="hy-AM"/>
        </w:rPr>
        <w:t>մարդ-օրեր</w:t>
      </w:r>
      <w:r w:rsidR="00703321" w:rsidRPr="00B57DAB">
        <w:rPr>
          <w:rFonts w:ascii="GHEA Grapalat" w:hAnsi="GHEA Grapalat" w:cs="Times Armenian"/>
          <w:sz w:val="22"/>
          <w:szCs w:val="22"/>
        </w:rPr>
        <w:t>)</w:t>
      </w:r>
      <w:r w:rsidRPr="00B57DAB">
        <w:rPr>
          <w:rFonts w:ascii="GHEA Grapalat" w:hAnsi="GHEA Grapalat" w:cs="Times Armenian"/>
          <w:sz w:val="22"/>
          <w:szCs w:val="22"/>
          <w:lang w:val="hy-AM"/>
        </w:rPr>
        <w:t>:</w:t>
      </w:r>
    </w:p>
    <w:p w:rsidR="009E5CB1" w:rsidRPr="00B57DAB" w:rsidRDefault="009E5CB1" w:rsidP="009E5CB1">
      <w:pPr>
        <w:autoSpaceDE w:val="0"/>
        <w:autoSpaceDN w:val="0"/>
        <w:adjustRightInd w:val="0"/>
        <w:spacing w:line="360" w:lineRule="auto"/>
        <w:ind w:firstLine="567"/>
        <w:jc w:val="both"/>
        <w:rPr>
          <w:rFonts w:ascii="GHEA Grapalat" w:hAnsi="GHEA Grapalat" w:cs="Times Armenian"/>
          <w:sz w:val="22"/>
          <w:szCs w:val="22"/>
          <w:lang w:val="hy-AM"/>
        </w:rPr>
      </w:pPr>
      <w:r w:rsidRPr="00B57DAB">
        <w:rPr>
          <w:rFonts w:ascii="GHEA Grapalat" w:hAnsi="GHEA Grapalat" w:cs="Times Armenian"/>
          <w:sz w:val="22"/>
          <w:szCs w:val="22"/>
          <w:lang w:val="hy-AM"/>
        </w:rPr>
        <w:t>«Կյանքի դժվարին իրավիճակում հայտնված երեխաներին ժամանակավոր խնամքի տրամադրման ծառայություններ» միջոցառման շրջանակներում 3 ժամանակավոր խնամքի հաստ</w:t>
      </w:r>
      <w:r w:rsidR="00703321" w:rsidRPr="00B57DAB">
        <w:rPr>
          <w:rFonts w:ascii="GHEA Grapalat" w:hAnsi="GHEA Grapalat" w:cs="Times Armenian"/>
          <w:sz w:val="22"/>
          <w:szCs w:val="22"/>
          <w:lang w:val="hy-AM"/>
        </w:rPr>
        <w:t>ատությունում խնամվել է 95 երեխա</w:t>
      </w:r>
      <w:r w:rsidRPr="00B57DAB">
        <w:rPr>
          <w:rFonts w:ascii="GHEA Grapalat" w:hAnsi="GHEA Grapalat" w:cs="Times Armenian"/>
          <w:sz w:val="22"/>
          <w:szCs w:val="22"/>
          <w:lang w:val="hy-AM"/>
        </w:rPr>
        <w:t xml:space="preserve">՝ կանխատեսված 125-ի դիմաց՝ պայմանավորված շահառուների դիմելիությամբ: </w:t>
      </w:r>
      <w:r w:rsidR="00703321" w:rsidRPr="00B57DAB">
        <w:rPr>
          <w:rFonts w:ascii="GHEA Grapalat" w:hAnsi="GHEA Grapalat" w:cs="Times Armenian"/>
          <w:sz w:val="22"/>
          <w:szCs w:val="22"/>
        </w:rPr>
        <w:t>Միջոցառման</w:t>
      </w:r>
      <w:r w:rsidRPr="00B57DAB">
        <w:rPr>
          <w:rFonts w:ascii="GHEA Grapalat" w:hAnsi="GHEA Grapalat" w:cs="Times Armenian"/>
          <w:sz w:val="22"/>
          <w:szCs w:val="22"/>
          <w:lang w:val="hy-AM"/>
        </w:rPr>
        <w:t xml:space="preserve"> շրջանակներում օգտագործվել է 30.1 մլն դրամ կամ նախատեսվածի 27.3%-ը, որը պայմանավորված է շահառուների</w:t>
      </w:r>
      <w:r w:rsidR="00703321" w:rsidRPr="00B57DAB">
        <w:rPr>
          <w:rFonts w:ascii="GHEA Grapalat" w:hAnsi="GHEA Grapalat" w:cs="Times Armenian"/>
          <w:sz w:val="22"/>
          <w:szCs w:val="22"/>
        </w:rPr>
        <w:t xml:space="preserve">՝ </w:t>
      </w:r>
      <w:r w:rsidR="00703321" w:rsidRPr="00B57DAB">
        <w:rPr>
          <w:rFonts w:ascii="GHEA Grapalat" w:hAnsi="GHEA Grapalat" w:cs="Times Armenian"/>
          <w:sz w:val="22"/>
          <w:szCs w:val="22"/>
          <w:lang w:val="hy-AM"/>
        </w:rPr>
        <w:t>նախատեսվածից պակաս</w:t>
      </w:r>
      <w:r w:rsidR="00703321" w:rsidRPr="00B57DAB">
        <w:rPr>
          <w:rFonts w:ascii="GHEA Grapalat" w:hAnsi="GHEA Grapalat" w:cs="Times Armenian"/>
          <w:sz w:val="22"/>
          <w:szCs w:val="22"/>
        </w:rPr>
        <w:t xml:space="preserve"> թվով</w:t>
      </w:r>
      <w:r w:rsidR="00703321" w:rsidRPr="00B57DAB">
        <w:rPr>
          <w:rFonts w:ascii="GHEA Grapalat" w:hAnsi="GHEA Grapalat" w:cs="Times Armenian"/>
          <w:sz w:val="22"/>
          <w:szCs w:val="22"/>
          <w:lang w:val="hy-AM"/>
        </w:rPr>
        <w:t>, ինչպես նաև մարտ ամսվա ընթացքում մատուցված ծառայությունների դիմաց</w:t>
      </w:r>
      <w:r w:rsidRPr="00B57DAB">
        <w:rPr>
          <w:rFonts w:ascii="GHEA Grapalat" w:hAnsi="GHEA Grapalat" w:cs="Times Armenian"/>
          <w:sz w:val="22"/>
          <w:szCs w:val="22"/>
          <w:lang w:val="hy-AM"/>
        </w:rPr>
        <w:t xml:space="preserve"> վճարման համար անհրաժեշտ փաստաթղթեր</w:t>
      </w:r>
      <w:r w:rsidR="00703321" w:rsidRPr="00B57DAB">
        <w:rPr>
          <w:rFonts w:ascii="GHEA Grapalat" w:hAnsi="GHEA Grapalat" w:cs="Times Armenian"/>
          <w:sz w:val="22"/>
          <w:szCs w:val="22"/>
        </w:rPr>
        <w:t>ն</w:t>
      </w:r>
      <w:r w:rsidRPr="00B57DAB">
        <w:rPr>
          <w:rFonts w:ascii="GHEA Grapalat" w:hAnsi="GHEA Grapalat" w:cs="Times Armenian"/>
          <w:sz w:val="22"/>
          <w:szCs w:val="22"/>
          <w:lang w:val="hy-AM"/>
        </w:rPr>
        <w:t xml:space="preserve"> ապրիլ ամսին ներկայացվելու հանգամանքով:</w:t>
      </w:r>
    </w:p>
    <w:p w:rsidR="009E5CB1" w:rsidRPr="00B57DAB" w:rsidRDefault="009E5CB1" w:rsidP="009E5CB1">
      <w:pPr>
        <w:autoSpaceDE w:val="0"/>
        <w:autoSpaceDN w:val="0"/>
        <w:adjustRightInd w:val="0"/>
        <w:spacing w:line="360" w:lineRule="auto"/>
        <w:ind w:firstLine="567"/>
        <w:jc w:val="both"/>
        <w:rPr>
          <w:rFonts w:ascii="GHEA Grapalat" w:hAnsi="GHEA Grapalat" w:cs="Times Armenian"/>
          <w:sz w:val="22"/>
          <w:szCs w:val="22"/>
          <w:lang w:val="hy-AM"/>
        </w:rPr>
      </w:pPr>
      <w:r w:rsidRPr="00B57DAB">
        <w:rPr>
          <w:rFonts w:ascii="GHEA Grapalat" w:hAnsi="GHEA Grapalat" w:cs="Times Armenian"/>
          <w:sz w:val="22"/>
          <w:szCs w:val="22"/>
          <w:lang w:val="hy-AM"/>
        </w:rPr>
        <w:t xml:space="preserve"> Երեխաների և ընտանիքների աջակցության տրամադրման ծառայությունների շրջանակներում 2022 թվականի առաջին եռամսյակի ընթացքում 6 աջակցության կենտրոնում ցերեկային խնամք է</w:t>
      </w:r>
      <w:r w:rsidR="00B56CF8" w:rsidRPr="00B57DAB">
        <w:rPr>
          <w:rFonts w:ascii="GHEA Grapalat" w:hAnsi="GHEA Grapalat" w:cs="Times Armenian"/>
          <w:sz w:val="22"/>
          <w:szCs w:val="22"/>
          <w:lang w:val="hy-AM"/>
        </w:rPr>
        <w:t xml:space="preserve"> </w:t>
      </w:r>
      <w:r w:rsidRPr="00B57DAB">
        <w:rPr>
          <w:rFonts w:ascii="GHEA Grapalat" w:hAnsi="GHEA Grapalat" w:cs="Times Armenian"/>
          <w:sz w:val="22"/>
          <w:szCs w:val="22"/>
          <w:lang w:val="hy-AM"/>
        </w:rPr>
        <w:t>ստացել 555 երեխա</w:t>
      </w:r>
      <w:r w:rsidR="00703321" w:rsidRPr="00B57DAB">
        <w:rPr>
          <w:rFonts w:ascii="GHEA Grapalat" w:hAnsi="GHEA Grapalat" w:cs="Times Armenian"/>
          <w:sz w:val="22"/>
          <w:szCs w:val="22"/>
          <w:lang w:val="hy-AM"/>
        </w:rPr>
        <w:t>՝ կանխատեսված 600-ի դիմաց</w:t>
      </w:r>
      <w:r w:rsidRPr="00B57DAB">
        <w:rPr>
          <w:rFonts w:ascii="GHEA Grapalat" w:hAnsi="GHEA Grapalat" w:cs="Times Armenian"/>
          <w:sz w:val="22"/>
          <w:szCs w:val="22"/>
          <w:lang w:val="hy-AM"/>
        </w:rPr>
        <w:t>: Երեխաների և ընտանիքների աջակցության տրամադրման ծառայությունների շրջանակներում ծախսվել է 117.1 մլն դրամ կամ նախատեսվածի 85.9%-ը: Ծրագրային ցուցանիշից շեղում</w:t>
      </w:r>
      <w:r w:rsidR="00703321" w:rsidRPr="00B57DAB">
        <w:rPr>
          <w:rFonts w:ascii="GHEA Grapalat" w:hAnsi="GHEA Grapalat" w:cs="Times Armenian"/>
          <w:sz w:val="22"/>
          <w:szCs w:val="22"/>
        </w:rPr>
        <w:t>ը</w:t>
      </w:r>
      <w:r w:rsidRPr="00B57DAB">
        <w:rPr>
          <w:rFonts w:ascii="GHEA Grapalat" w:hAnsi="GHEA Grapalat" w:cs="Times Armenian"/>
          <w:sz w:val="22"/>
          <w:szCs w:val="22"/>
          <w:lang w:val="hy-AM"/>
        </w:rPr>
        <w:t xml:space="preserve"> պայմանավորված է </w:t>
      </w:r>
      <w:r w:rsidR="00703321" w:rsidRPr="00B57DAB">
        <w:rPr>
          <w:rFonts w:ascii="GHEA Grapalat" w:hAnsi="GHEA Grapalat" w:cs="Times Armenian"/>
          <w:sz w:val="22"/>
          <w:szCs w:val="22"/>
          <w:lang w:val="hy-AM"/>
        </w:rPr>
        <w:t>շահառուների</w:t>
      </w:r>
      <w:r w:rsidR="00703321" w:rsidRPr="00B57DAB">
        <w:rPr>
          <w:rFonts w:ascii="GHEA Grapalat" w:hAnsi="GHEA Grapalat" w:cs="Times Armenian"/>
          <w:sz w:val="22"/>
          <w:szCs w:val="22"/>
        </w:rPr>
        <w:t xml:space="preserve">՝ </w:t>
      </w:r>
      <w:r w:rsidR="00703321" w:rsidRPr="00B57DAB">
        <w:rPr>
          <w:rFonts w:ascii="GHEA Grapalat" w:hAnsi="GHEA Grapalat" w:cs="Times Armenian"/>
          <w:sz w:val="22"/>
          <w:szCs w:val="22"/>
          <w:lang w:val="hy-AM"/>
        </w:rPr>
        <w:t>նախատեսվածից պակաս</w:t>
      </w:r>
      <w:r w:rsidR="00703321" w:rsidRPr="00B57DAB">
        <w:rPr>
          <w:rFonts w:ascii="GHEA Grapalat" w:hAnsi="GHEA Grapalat" w:cs="Times Armenian"/>
          <w:sz w:val="22"/>
          <w:szCs w:val="22"/>
        </w:rPr>
        <w:t xml:space="preserve"> թվով</w:t>
      </w:r>
      <w:r w:rsidR="00703321" w:rsidRPr="00B57DAB">
        <w:rPr>
          <w:rFonts w:ascii="GHEA Grapalat" w:hAnsi="GHEA Grapalat" w:cs="Times Armenian"/>
          <w:sz w:val="22"/>
          <w:szCs w:val="22"/>
          <w:lang w:val="hy-AM"/>
        </w:rPr>
        <w:t>, ինչպես նաև մարտ ամսվա ընթացքում մատուցված ծառայությունների դիմաց վճարման համար անհրաժեշտ փաստաթղթեր</w:t>
      </w:r>
      <w:r w:rsidR="00703321" w:rsidRPr="00B57DAB">
        <w:rPr>
          <w:rFonts w:ascii="GHEA Grapalat" w:hAnsi="GHEA Grapalat" w:cs="Times Armenian"/>
          <w:sz w:val="22"/>
          <w:szCs w:val="22"/>
        </w:rPr>
        <w:t>ն</w:t>
      </w:r>
      <w:r w:rsidR="00703321" w:rsidRPr="00B57DAB">
        <w:rPr>
          <w:rFonts w:ascii="GHEA Grapalat" w:hAnsi="GHEA Grapalat" w:cs="Times Armenian"/>
          <w:sz w:val="22"/>
          <w:szCs w:val="22"/>
          <w:lang w:val="hy-AM"/>
        </w:rPr>
        <w:t xml:space="preserve"> ապրիլ ամսին ներկայացվելու հանգամանքով</w:t>
      </w:r>
      <w:r w:rsidRPr="00B57DAB">
        <w:rPr>
          <w:rFonts w:ascii="GHEA Grapalat" w:hAnsi="GHEA Grapalat" w:cs="Times Armenian"/>
          <w:sz w:val="22"/>
          <w:szCs w:val="22"/>
          <w:lang w:val="hy-AM"/>
        </w:rPr>
        <w:t>:</w:t>
      </w:r>
    </w:p>
    <w:p w:rsidR="009E5CB1" w:rsidRPr="00B57DAB" w:rsidRDefault="009E5CB1" w:rsidP="009E5CB1">
      <w:pPr>
        <w:autoSpaceDE w:val="0"/>
        <w:autoSpaceDN w:val="0"/>
        <w:adjustRightInd w:val="0"/>
        <w:spacing w:line="360" w:lineRule="auto"/>
        <w:ind w:firstLine="567"/>
        <w:jc w:val="both"/>
        <w:rPr>
          <w:rFonts w:ascii="GHEA Grapalat" w:hAnsi="GHEA Grapalat" w:cs="Times Armenian"/>
          <w:sz w:val="22"/>
          <w:szCs w:val="22"/>
          <w:lang w:val="hy-AM"/>
        </w:rPr>
      </w:pPr>
      <w:r w:rsidRPr="00B57DAB">
        <w:rPr>
          <w:rFonts w:ascii="GHEA Grapalat" w:hAnsi="GHEA Grapalat"/>
          <w:sz w:val="22"/>
          <w:szCs w:val="22"/>
          <w:lang w:val="hy-AM"/>
        </w:rPr>
        <w:t>Նախորդ տարվա</w:t>
      </w:r>
      <w:r w:rsidRPr="00B57DAB">
        <w:rPr>
          <w:rFonts w:ascii="GHEA Grapalat" w:hAnsi="GHEA Grapalat" w:cs="Sylfaen"/>
          <w:sz w:val="22"/>
          <w:szCs w:val="22"/>
          <w:lang w:val="hy-AM"/>
        </w:rPr>
        <w:t xml:space="preserve"> նույն ժամանակահատվածի համեմատ </w:t>
      </w:r>
      <w:r w:rsidRPr="00B57DAB">
        <w:rPr>
          <w:rFonts w:ascii="GHEA Grapalat" w:hAnsi="GHEA Grapalat" w:cs="Times Armenian"/>
          <w:sz w:val="22"/>
          <w:szCs w:val="22"/>
          <w:lang w:val="hy-AM"/>
        </w:rPr>
        <w:t>Ընտանիքներին, կանանց և երեխաներին աջակցության ծրագրի ծախ</w:t>
      </w:r>
      <w:r w:rsidRPr="00B57DAB">
        <w:rPr>
          <w:rFonts w:ascii="GHEA Grapalat" w:hAnsi="GHEA Grapalat" w:cs="Sylfaen"/>
          <w:sz w:val="22"/>
          <w:szCs w:val="22"/>
          <w:lang w:val="hy-AM"/>
        </w:rPr>
        <w:t>սերն աճել են 20.2</w:t>
      </w:r>
      <w:r w:rsidRPr="00B57DAB">
        <w:rPr>
          <w:rFonts w:ascii="GHEA Grapalat" w:hAnsi="GHEA Grapalat" w:cs="Times Armenian"/>
          <w:sz w:val="22"/>
          <w:szCs w:val="22"/>
          <w:lang w:val="hy-AM"/>
        </w:rPr>
        <w:t>%-ով կամ 111.6 մլն դրամով` հիմնականում պայմանավորված</w:t>
      </w:r>
      <w:r w:rsidRPr="00B57DAB">
        <w:rPr>
          <w:rFonts w:ascii="GHEA Grapalat" w:hAnsi="GHEA Grapalat"/>
          <w:lang w:val="hy-AM"/>
        </w:rPr>
        <w:t xml:space="preserve"> </w:t>
      </w:r>
      <w:r w:rsidRPr="00B57DAB">
        <w:rPr>
          <w:rFonts w:ascii="GHEA Grapalat" w:hAnsi="GHEA Grapalat" w:cs="Times Armenian"/>
          <w:sz w:val="22"/>
          <w:szCs w:val="22"/>
          <w:lang w:val="hy-AM"/>
        </w:rPr>
        <w:t>երեխաների շուրջօրյա խնամքի</w:t>
      </w:r>
      <w:r w:rsidR="00703321" w:rsidRPr="00B57DAB">
        <w:rPr>
          <w:rFonts w:ascii="GHEA Grapalat" w:hAnsi="GHEA Grapalat" w:cs="Times Armenian"/>
          <w:sz w:val="22"/>
          <w:szCs w:val="22"/>
        </w:rPr>
        <w:t xml:space="preserve"> ծառայությունների գծով ծախսերի՝</w:t>
      </w:r>
      <w:r w:rsidRPr="00B57DAB">
        <w:rPr>
          <w:rFonts w:ascii="GHEA Grapalat" w:hAnsi="GHEA Grapalat" w:cs="Times Armenian"/>
          <w:sz w:val="22"/>
          <w:szCs w:val="22"/>
          <w:lang w:val="hy-AM"/>
        </w:rPr>
        <w:t xml:space="preserve"> 14.8% (60 մլն դրամ), երեխաների և ընտանիքների աջակցության տրամադրման</w:t>
      </w:r>
      <w:r w:rsidR="00703321" w:rsidRPr="00B57DAB">
        <w:rPr>
          <w:rFonts w:ascii="GHEA Grapalat" w:hAnsi="GHEA Grapalat" w:cs="Times Armenian"/>
          <w:sz w:val="22"/>
          <w:szCs w:val="22"/>
        </w:rPr>
        <w:t xml:space="preserve"> ծառայությունների գծով ծախսերի՝</w:t>
      </w:r>
      <w:r w:rsidRPr="00B57DAB">
        <w:rPr>
          <w:rFonts w:ascii="GHEA Grapalat" w:hAnsi="GHEA Grapalat" w:cs="Times Armenian"/>
          <w:sz w:val="22"/>
          <w:szCs w:val="22"/>
          <w:lang w:val="hy-AM"/>
        </w:rPr>
        <w:t xml:space="preserve"> 18.9%</w:t>
      </w:r>
      <w:r w:rsidR="00703321" w:rsidRPr="00B57DAB">
        <w:rPr>
          <w:rFonts w:ascii="GHEA Grapalat" w:hAnsi="GHEA Grapalat" w:cs="Times Armenian"/>
          <w:sz w:val="22"/>
          <w:szCs w:val="22"/>
          <w:lang w:val="hy-AM"/>
        </w:rPr>
        <w:t xml:space="preserve"> (18.6</w:t>
      </w:r>
      <w:r w:rsidR="00703321" w:rsidRPr="00B57DAB">
        <w:rPr>
          <w:rFonts w:ascii="Courier New" w:hAnsi="Courier New" w:cs="Courier New"/>
          <w:sz w:val="22"/>
          <w:szCs w:val="22"/>
        </w:rPr>
        <w:t> </w:t>
      </w:r>
      <w:r w:rsidR="00703321" w:rsidRPr="00B57DAB">
        <w:rPr>
          <w:rFonts w:ascii="GHEA Grapalat" w:hAnsi="GHEA Grapalat" w:cs="Times Armenian"/>
          <w:sz w:val="22"/>
          <w:szCs w:val="22"/>
          <w:lang w:val="hy-AM"/>
        </w:rPr>
        <w:t>մլն</w:t>
      </w:r>
      <w:r w:rsidRPr="00B57DAB">
        <w:rPr>
          <w:rFonts w:ascii="GHEA Grapalat" w:hAnsi="GHEA Grapalat" w:cs="Times Armenian"/>
          <w:sz w:val="22"/>
          <w:szCs w:val="22"/>
          <w:lang w:val="hy-AM"/>
        </w:rPr>
        <w:t>) և կյանքի դժվարին իրավիճակում հայտնված երեխաներին ժամանակավոր խնամքի տրամադրման</w:t>
      </w:r>
      <w:r w:rsidR="00703321" w:rsidRPr="00B57DAB">
        <w:rPr>
          <w:rFonts w:ascii="GHEA Grapalat" w:hAnsi="GHEA Grapalat" w:cs="Times Armenian"/>
          <w:sz w:val="22"/>
          <w:szCs w:val="22"/>
        </w:rPr>
        <w:t xml:space="preserve"> ծառայությունների գծով ծախսերի</w:t>
      </w:r>
      <w:r w:rsidR="00703321" w:rsidRPr="00B57DAB">
        <w:rPr>
          <w:rFonts w:ascii="GHEA Grapalat" w:hAnsi="GHEA Grapalat" w:cs="Times Armenian"/>
          <w:sz w:val="22"/>
          <w:szCs w:val="22"/>
          <w:lang w:val="hy-AM"/>
        </w:rPr>
        <w:t xml:space="preserve"> 142.2% (17.7 մլն դրամ</w:t>
      </w:r>
      <w:r w:rsidRPr="00B57DAB">
        <w:rPr>
          <w:rFonts w:ascii="GHEA Grapalat" w:hAnsi="GHEA Grapalat" w:cs="Times Armenian"/>
          <w:sz w:val="22"/>
          <w:szCs w:val="22"/>
          <w:lang w:val="hy-AM"/>
        </w:rPr>
        <w:t>) ծախսերի աճով:</w:t>
      </w:r>
    </w:p>
    <w:p w:rsidR="003F2149" w:rsidRPr="00B57DAB" w:rsidRDefault="003F2149" w:rsidP="003F2149">
      <w:pPr>
        <w:autoSpaceDE w:val="0"/>
        <w:autoSpaceDN w:val="0"/>
        <w:adjustRightInd w:val="0"/>
        <w:spacing w:line="360" w:lineRule="auto"/>
        <w:ind w:firstLine="567"/>
        <w:jc w:val="both"/>
        <w:rPr>
          <w:rFonts w:ascii="GHEA Grapalat" w:hAnsi="GHEA Grapalat" w:cs="Times Armenian"/>
          <w:sz w:val="22"/>
          <w:szCs w:val="22"/>
        </w:rPr>
      </w:pPr>
    </w:p>
    <w:p w:rsidR="008B74FB" w:rsidRPr="00B57DAB" w:rsidRDefault="003F2149" w:rsidP="008B74FB">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i/>
          <w:sz w:val="22"/>
          <w:szCs w:val="22"/>
          <w:u w:val="single"/>
        </w:rPr>
        <w:t xml:space="preserve">ՀՀ </w:t>
      </w:r>
      <w:r w:rsidRPr="00B57DAB">
        <w:rPr>
          <w:rFonts w:ascii="GHEA Grapalat" w:hAnsi="GHEA Grapalat" w:cs="Arial"/>
          <w:i/>
          <w:sz w:val="22"/>
          <w:szCs w:val="22"/>
          <w:u w:val="single"/>
        </w:rPr>
        <w:t>բ</w:t>
      </w:r>
      <w:r w:rsidRPr="00B57DAB">
        <w:rPr>
          <w:rFonts w:ascii="GHEA Grapalat" w:hAnsi="GHEA Grapalat" w:cs="GHEA Grapalat"/>
          <w:i/>
          <w:sz w:val="22"/>
          <w:szCs w:val="22"/>
          <w:u w:val="single"/>
        </w:rPr>
        <w:t>արձր տեխնոլոգիական արդյունաբերության նախարարության</w:t>
      </w:r>
      <w:r w:rsidRPr="00B57DAB">
        <w:rPr>
          <w:rFonts w:ascii="GHEA Grapalat" w:hAnsi="GHEA Grapalat" w:cs="GHEA Grapalat"/>
          <w:sz w:val="22"/>
          <w:szCs w:val="22"/>
        </w:rPr>
        <w:t xml:space="preserve"> </w:t>
      </w:r>
      <w:r w:rsidR="008B74FB" w:rsidRPr="00B57DAB">
        <w:rPr>
          <w:rFonts w:ascii="GHEA Grapalat" w:hAnsi="GHEA Grapalat" w:cs="Times Armenian"/>
          <w:sz w:val="22"/>
          <w:szCs w:val="22"/>
        </w:rPr>
        <w:t>պատասխանատվությամբ 2022</w:t>
      </w:r>
      <w:r w:rsidR="008B74FB" w:rsidRPr="00B57DAB">
        <w:rPr>
          <w:rFonts w:ascii="GHEA Grapalat" w:hAnsi="GHEA Grapalat" w:cs="GHEA Grapalat"/>
          <w:sz w:val="22"/>
          <w:szCs w:val="22"/>
        </w:rPr>
        <w:t xml:space="preserve"> թվականի առաջին եռամսյակում կատարվել է պետական բյուջեի 4 ծրագիր: Ծախսերը կազմել են շուրջ 2.5 մլրդ դրամ կամ նախատեսված միջոցների 62.3%</w:t>
      </w:r>
      <w:r w:rsidR="008B74FB" w:rsidRPr="00B57DAB">
        <w:rPr>
          <w:rFonts w:ascii="GHEA Grapalat" w:hAnsi="GHEA Grapalat" w:cs="GHEA Grapalat"/>
          <w:sz w:val="22"/>
          <w:szCs w:val="22"/>
        </w:rPr>
        <w:noBreakHyphen/>
        <w:t xml:space="preserve">ը: Ծրագրված ցուցանիշներից շեղումը հիմնականում պայմանավորված է Բարձր տեխնոլոգիական արդյունաբերության էկոհամակարգի և շուկայի զարգացման ու Պաշտպանության բնագավառում գիտական և գիտատեխնիկական նպատակային հետազոտությունների ծրագրերի կատարողականով: </w:t>
      </w:r>
      <w:r w:rsidR="008B74FB" w:rsidRPr="00B57DAB">
        <w:rPr>
          <w:rFonts w:ascii="GHEA Grapalat" w:hAnsi="GHEA Grapalat" w:cs="Times Armenian"/>
          <w:sz w:val="22"/>
          <w:szCs w:val="22"/>
        </w:rPr>
        <w:t>2021</w:t>
      </w:r>
      <w:r w:rsidR="008B74FB" w:rsidRPr="00B57DAB">
        <w:rPr>
          <w:rFonts w:ascii="GHEA Grapalat" w:hAnsi="GHEA Grapalat" w:cs="GHEA Grapalat"/>
          <w:sz w:val="22"/>
          <w:szCs w:val="22"/>
        </w:rPr>
        <w:t xml:space="preserve"> թվականի առաջին եռամսյակի համեմատ ՀՀ ԲՏԱՆ պատասխանատվությամբ իրականացվող ծրագրերի գծով ծախսերն աճել են 2.4 անգամ կամ շուրջ 1.5 մլրդ դրամով: Հարկ է նշել, որ 2022 թվականից Համաշխարհային բանկի աջակցությամբ իրականացվող առևտրի և ենթակառուցվածքների զարգացման վարկային ծրագիրը ՀՀ Վարչապետի աշխատակազմի պատասխանատվությամբ իրականացվող ՀՀ Վարչապետի լիազորությունների իրականացման ապահովման ծրագրից փոխանցվել է ՀՀ ԲՏԱՆ պատասխանատվությամբ իրականացվող Բարձր տեխնոլոգիական արդյունաբերության էկոհամակարգի, թվայնացման և շուկայի զարգացման ծրագ</w:t>
      </w:r>
      <w:r w:rsidR="00731FEE" w:rsidRPr="00B57DAB">
        <w:rPr>
          <w:rFonts w:ascii="GHEA Grapalat" w:hAnsi="GHEA Grapalat" w:cs="GHEA Grapalat"/>
          <w:sz w:val="22"/>
          <w:szCs w:val="22"/>
        </w:rPr>
        <w:t>իր</w:t>
      </w:r>
      <w:r w:rsidR="008B74FB" w:rsidRPr="00B57DAB">
        <w:rPr>
          <w:rFonts w:ascii="GHEA Grapalat" w:hAnsi="GHEA Grapalat" w:cs="GHEA Grapalat"/>
          <w:sz w:val="22"/>
          <w:szCs w:val="22"/>
        </w:rPr>
        <w:t>: 2021 թվականի առաջին եռամսյակի համադրելի ցուցանիշի համեմատ ՀՀ ԲՏԱՆ պատասխանատվությամբ իրականացվող ծախսերը նվազել են 5.3%</w:t>
      </w:r>
      <w:r w:rsidR="008B74FB" w:rsidRPr="00B57DAB">
        <w:rPr>
          <w:rFonts w:ascii="GHEA Grapalat" w:hAnsi="GHEA Grapalat" w:cs="GHEA Grapalat"/>
          <w:sz w:val="22"/>
          <w:szCs w:val="22"/>
        </w:rPr>
        <w:noBreakHyphen/>
        <w:t>ով կամ 139.5</w:t>
      </w:r>
      <w:r w:rsidR="008B74FB" w:rsidRPr="00B57DAB">
        <w:rPr>
          <w:rFonts w:ascii="Courier New" w:hAnsi="Courier New" w:cs="Courier New"/>
          <w:sz w:val="22"/>
          <w:szCs w:val="22"/>
        </w:rPr>
        <w:t> </w:t>
      </w:r>
      <w:r w:rsidR="008B74FB" w:rsidRPr="00B57DAB">
        <w:rPr>
          <w:rFonts w:ascii="GHEA Grapalat" w:hAnsi="GHEA Grapalat" w:cs="GHEA Grapalat"/>
          <w:sz w:val="22"/>
          <w:szCs w:val="22"/>
        </w:rPr>
        <w:t>մլն դրամով, որը պայմանավորված է Բարձր տեխնոլոգիական արդյունաբերության էկոհամակարգի, թվայնացման և շուկայի զարգացման ծրագրի շրջանակներում կատարված ծախսերի 67.4% նվազմամբ:</w:t>
      </w:r>
    </w:p>
    <w:p w:rsidR="00731FEE" w:rsidRPr="00B57DAB" w:rsidRDefault="00731FEE" w:rsidP="008B74FB">
      <w:pPr>
        <w:autoSpaceDE w:val="0"/>
        <w:autoSpaceDN w:val="0"/>
        <w:adjustRightInd w:val="0"/>
        <w:spacing w:line="360" w:lineRule="auto"/>
        <w:ind w:firstLine="567"/>
        <w:jc w:val="both"/>
        <w:rPr>
          <w:rFonts w:ascii="GHEA Grapalat" w:hAnsi="GHEA Grapalat" w:cs="GHEA Grapalat"/>
          <w:sz w:val="22"/>
          <w:szCs w:val="22"/>
        </w:rPr>
      </w:pPr>
    </w:p>
    <w:p w:rsidR="008B74FB" w:rsidRPr="00B57DAB" w:rsidRDefault="008B74FB" w:rsidP="00770F24">
      <w:pPr>
        <w:pStyle w:val="Caption"/>
        <w:keepNext/>
        <w:numPr>
          <w:ilvl w:val="0"/>
          <w:numId w:val="8"/>
        </w:numPr>
        <w:tabs>
          <w:tab w:val="left" w:pos="1276"/>
        </w:tabs>
        <w:ind w:left="0" w:firstLine="0"/>
        <w:jc w:val="left"/>
        <w:rPr>
          <w:rFonts w:ascii="GHEA Grapalat" w:hAnsi="GHEA Grapalat"/>
          <w:i/>
          <w:sz w:val="18"/>
          <w:szCs w:val="18"/>
          <w:lang w:val="en-US"/>
        </w:rPr>
      </w:pPr>
      <w:r w:rsidRPr="00B57DAB">
        <w:rPr>
          <w:rFonts w:ascii="GHEA Grapalat" w:hAnsi="GHEA Grapalat"/>
          <w:i/>
          <w:sz w:val="18"/>
          <w:szCs w:val="18"/>
          <w:lang w:val="en-US"/>
        </w:rPr>
        <w:t>2022թ. առաջին եռամսյակում ՀՀ բարձր տեխնոլոգիական արդյունաբերության նախարարության կողմից իրականացված ծրագրերը (մլն</w:t>
      </w:r>
      <w:r w:rsidRPr="00B57DAB">
        <w:rPr>
          <w:rFonts w:ascii="Courier New" w:hAnsi="Courier New" w:cs="Courier New"/>
          <w:i/>
          <w:sz w:val="18"/>
          <w:szCs w:val="18"/>
          <w:lang w:val="en-US"/>
        </w:rPr>
        <w:t> </w:t>
      </w:r>
      <w:r w:rsidRPr="00B57DAB">
        <w:rPr>
          <w:rFonts w:ascii="GHEA Grapalat" w:hAnsi="GHEA Grapalat" w:cs="GHEA Grapalat"/>
          <w:i/>
          <w:sz w:val="18"/>
          <w:szCs w:val="18"/>
          <w:lang w:val="en-US"/>
        </w:rPr>
        <w:t>դրամ</w:t>
      </w:r>
      <w:r w:rsidRPr="00B57DAB">
        <w:rPr>
          <w:rFonts w:ascii="GHEA Grapalat" w:hAnsi="GHEA Grapalat"/>
          <w:i/>
          <w:sz w:val="18"/>
          <w:szCs w:val="18"/>
          <w:lang w:val="en-US"/>
        </w:rPr>
        <w:t>)</w:t>
      </w:r>
    </w:p>
    <w:tbl>
      <w:tblPr>
        <w:tblW w:w="10498" w:type="dxa"/>
        <w:jc w:val="center"/>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2"/>
        <w:gridCol w:w="1203"/>
        <w:gridCol w:w="1215"/>
        <w:gridCol w:w="1203"/>
        <w:gridCol w:w="1203"/>
        <w:gridCol w:w="1203"/>
        <w:gridCol w:w="1159"/>
      </w:tblGrid>
      <w:tr w:rsidR="008B74FB" w:rsidRPr="00B57DAB" w:rsidTr="001C165B">
        <w:trPr>
          <w:trHeight w:val="300"/>
          <w:jc w:val="center"/>
        </w:trPr>
        <w:tc>
          <w:tcPr>
            <w:tcW w:w="3312" w:type="dxa"/>
            <w:shd w:val="clear" w:color="auto" w:fill="auto"/>
            <w:noWrap/>
            <w:vAlign w:val="bottom"/>
            <w:hideMark/>
          </w:tcPr>
          <w:p w:rsidR="008B74FB" w:rsidRPr="00B57DAB" w:rsidRDefault="008B74FB" w:rsidP="001C165B">
            <w:pPr>
              <w:rPr>
                <w:rFonts w:ascii="GHEA Grapalat" w:hAnsi="GHEA Grapalat"/>
                <w:sz w:val="18"/>
                <w:szCs w:val="18"/>
              </w:rPr>
            </w:pPr>
          </w:p>
        </w:tc>
        <w:tc>
          <w:tcPr>
            <w:tcW w:w="1203" w:type="dxa"/>
          </w:tcPr>
          <w:p w:rsidR="008B74FB" w:rsidRPr="00B57DAB" w:rsidRDefault="008B74FB" w:rsidP="001C165B">
            <w:pPr>
              <w:jc w:val="center"/>
              <w:rPr>
                <w:rFonts w:ascii="GHEA Grapalat" w:hAnsi="GHEA Grapalat" w:cs="Calibri"/>
                <w:b/>
                <w:color w:val="000000"/>
                <w:sz w:val="18"/>
                <w:szCs w:val="18"/>
              </w:rPr>
            </w:pPr>
            <w:r w:rsidRPr="00B57DAB">
              <w:rPr>
                <w:rFonts w:ascii="GHEA Grapalat" w:hAnsi="GHEA Grapalat" w:cs="Calibri"/>
                <w:b/>
                <w:color w:val="000000"/>
                <w:sz w:val="18"/>
                <w:szCs w:val="18"/>
              </w:rPr>
              <w:t>2021թ. առաջին եռամսյակի փաստ</w:t>
            </w:r>
          </w:p>
          <w:p w:rsidR="008B74FB" w:rsidRPr="00B57DAB" w:rsidRDefault="008B74FB" w:rsidP="001C165B">
            <w:pPr>
              <w:jc w:val="center"/>
              <w:rPr>
                <w:rFonts w:ascii="GHEA Grapalat" w:hAnsi="GHEA Grapalat" w:cs="Calibri"/>
                <w:b/>
                <w:color w:val="000000"/>
                <w:sz w:val="18"/>
                <w:szCs w:val="18"/>
              </w:rPr>
            </w:pPr>
            <w:r w:rsidRPr="00B57DAB">
              <w:rPr>
                <w:rFonts w:ascii="GHEA Grapalat" w:hAnsi="GHEA Grapalat" w:cs="Calibri"/>
                <w:b/>
                <w:color w:val="000000"/>
                <w:sz w:val="18"/>
                <w:szCs w:val="18"/>
              </w:rPr>
              <w:t>(2022թ. առաջին եռամսյակի հետ համա-դրելի)</w:t>
            </w:r>
          </w:p>
        </w:tc>
        <w:tc>
          <w:tcPr>
            <w:tcW w:w="1215" w:type="dxa"/>
          </w:tcPr>
          <w:p w:rsidR="008B74FB" w:rsidRPr="00B57DAB" w:rsidRDefault="008B74FB" w:rsidP="001C165B">
            <w:pPr>
              <w:jc w:val="center"/>
              <w:rPr>
                <w:rFonts w:ascii="GHEA Grapalat" w:hAnsi="GHEA Grapalat" w:cs="Calibri"/>
                <w:b/>
                <w:color w:val="000000"/>
                <w:sz w:val="18"/>
                <w:szCs w:val="18"/>
              </w:rPr>
            </w:pPr>
            <w:r w:rsidRPr="00B57DAB">
              <w:rPr>
                <w:rFonts w:ascii="GHEA Grapalat" w:hAnsi="GHEA Grapalat" w:cs="Calibri"/>
                <w:b/>
                <w:color w:val="000000"/>
                <w:sz w:val="18"/>
                <w:szCs w:val="18"/>
              </w:rPr>
              <w:t>2022թ. առաջին եռամսյակի ճշտված պլան</w:t>
            </w:r>
          </w:p>
        </w:tc>
        <w:tc>
          <w:tcPr>
            <w:tcW w:w="1203" w:type="dxa"/>
            <w:shd w:val="clear" w:color="auto" w:fill="auto"/>
            <w:noWrap/>
            <w:hideMark/>
          </w:tcPr>
          <w:p w:rsidR="008B74FB" w:rsidRPr="00B57DAB" w:rsidRDefault="008B74FB" w:rsidP="001C165B">
            <w:pPr>
              <w:jc w:val="center"/>
              <w:rPr>
                <w:rFonts w:ascii="GHEA Grapalat" w:hAnsi="GHEA Grapalat" w:cs="Calibri"/>
                <w:b/>
                <w:color w:val="000000"/>
                <w:sz w:val="18"/>
                <w:szCs w:val="18"/>
              </w:rPr>
            </w:pPr>
            <w:r w:rsidRPr="00B57DAB">
              <w:rPr>
                <w:rFonts w:ascii="GHEA Grapalat" w:hAnsi="GHEA Grapalat" w:cs="Calibri"/>
                <w:b/>
                <w:color w:val="000000"/>
                <w:sz w:val="18"/>
                <w:szCs w:val="18"/>
              </w:rPr>
              <w:t>2022թ. առաջին եռամսյակի փաստ</w:t>
            </w:r>
          </w:p>
        </w:tc>
        <w:tc>
          <w:tcPr>
            <w:tcW w:w="1203" w:type="dxa"/>
          </w:tcPr>
          <w:p w:rsidR="008B74FB" w:rsidRPr="00B57DAB" w:rsidRDefault="00B65BD7" w:rsidP="001C165B">
            <w:pPr>
              <w:jc w:val="center"/>
              <w:rPr>
                <w:rFonts w:ascii="GHEA Grapalat" w:hAnsi="GHEA Grapalat" w:cs="Calibri"/>
                <w:b/>
                <w:color w:val="000000"/>
                <w:sz w:val="18"/>
                <w:szCs w:val="18"/>
              </w:rPr>
            </w:pPr>
            <w:r w:rsidRPr="00B57DAB">
              <w:rPr>
                <w:rFonts w:ascii="GHEA Grapalat" w:hAnsi="GHEA Grapalat" w:cs="Calibri"/>
                <w:b/>
                <w:color w:val="000000"/>
                <w:sz w:val="18"/>
                <w:szCs w:val="18"/>
              </w:rPr>
              <w:t>Կատարո-ղականն</w:t>
            </w:r>
            <w:r w:rsidR="008B74FB" w:rsidRPr="00B57DAB">
              <w:rPr>
                <w:rFonts w:ascii="GHEA Grapalat" w:hAnsi="GHEA Grapalat" w:cs="Calibri"/>
                <w:b/>
                <w:color w:val="000000"/>
                <w:sz w:val="18"/>
                <w:szCs w:val="18"/>
              </w:rPr>
              <w:t xml:space="preserve"> առաջին եռամսյակի ճշտված պլանի նկատմամբ (%) </w:t>
            </w:r>
          </w:p>
        </w:tc>
        <w:tc>
          <w:tcPr>
            <w:tcW w:w="1203" w:type="dxa"/>
          </w:tcPr>
          <w:p w:rsidR="008B74FB" w:rsidRPr="00B57DAB" w:rsidRDefault="008B74FB" w:rsidP="001C165B">
            <w:pPr>
              <w:jc w:val="center"/>
              <w:rPr>
                <w:rFonts w:ascii="GHEA Grapalat" w:hAnsi="GHEA Grapalat" w:cs="Calibri"/>
                <w:b/>
                <w:color w:val="000000"/>
                <w:sz w:val="18"/>
                <w:szCs w:val="18"/>
              </w:rPr>
            </w:pPr>
            <w:r w:rsidRPr="00B57DAB">
              <w:rPr>
                <w:rFonts w:ascii="GHEA Grapalat" w:hAnsi="GHEA Grapalat" w:cs="Calibri"/>
                <w:b/>
                <w:bCs/>
                <w:color w:val="000000"/>
                <w:sz w:val="18"/>
                <w:szCs w:val="18"/>
              </w:rPr>
              <w:t xml:space="preserve">2022թ. </w:t>
            </w:r>
            <w:r w:rsidRPr="00B57DAB">
              <w:rPr>
                <w:rFonts w:ascii="GHEA Grapalat" w:hAnsi="GHEA Grapalat" w:cs="Calibri"/>
                <w:b/>
                <w:color w:val="000000"/>
                <w:sz w:val="18"/>
                <w:szCs w:val="18"/>
              </w:rPr>
              <w:t xml:space="preserve">առաջին եռամսյակը </w:t>
            </w:r>
            <w:r w:rsidRPr="00B57DAB">
              <w:rPr>
                <w:rFonts w:ascii="GHEA Grapalat" w:hAnsi="GHEA Grapalat" w:cs="Calibri"/>
                <w:b/>
                <w:bCs/>
                <w:color w:val="000000"/>
                <w:sz w:val="18"/>
                <w:szCs w:val="18"/>
              </w:rPr>
              <w:t>2021</w:t>
            </w:r>
            <w:r w:rsidR="00B65BD7" w:rsidRPr="00B57DAB">
              <w:rPr>
                <w:rFonts w:ascii="GHEA Grapalat" w:hAnsi="GHEA Grapalat" w:cs="Calibri"/>
                <w:b/>
                <w:bCs/>
                <w:color w:val="000000"/>
                <w:sz w:val="18"/>
                <w:szCs w:val="18"/>
              </w:rPr>
              <w:t>թ.</w:t>
            </w:r>
            <w:r w:rsidRPr="00B57DAB">
              <w:rPr>
                <w:rFonts w:ascii="GHEA Grapalat" w:hAnsi="GHEA Grapalat" w:cs="Calibri"/>
                <w:b/>
                <w:bCs/>
                <w:color w:val="000000"/>
                <w:sz w:val="18"/>
                <w:szCs w:val="18"/>
              </w:rPr>
              <w:t xml:space="preserve"> </w:t>
            </w:r>
            <w:proofErr w:type="gramStart"/>
            <w:r w:rsidRPr="00B57DAB">
              <w:rPr>
                <w:rFonts w:ascii="GHEA Grapalat" w:hAnsi="GHEA Grapalat" w:cs="Calibri"/>
                <w:b/>
                <w:color w:val="000000"/>
                <w:sz w:val="18"/>
                <w:szCs w:val="18"/>
              </w:rPr>
              <w:t>առաջին</w:t>
            </w:r>
            <w:proofErr w:type="gramEnd"/>
            <w:r w:rsidRPr="00B57DAB">
              <w:rPr>
                <w:rFonts w:ascii="GHEA Grapalat" w:hAnsi="GHEA Grapalat" w:cs="Calibri"/>
                <w:b/>
                <w:color w:val="000000"/>
                <w:sz w:val="18"/>
                <w:szCs w:val="18"/>
              </w:rPr>
              <w:t xml:space="preserve"> եռամսյակի </w:t>
            </w:r>
            <w:r w:rsidRPr="00B57DAB">
              <w:rPr>
                <w:rFonts w:ascii="GHEA Grapalat" w:hAnsi="GHEA Grapalat" w:cs="Calibri"/>
                <w:b/>
                <w:bCs/>
                <w:color w:val="000000"/>
                <w:sz w:val="18"/>
                <w:szCs w:val="18"/>
              </w:rPr>
              <w:t>նկատմամբ (%)</w:t>
            </w:r>
          </w:p>
        </w:tc>
        <w:tc>
          <w:tcPr>
            <w:tcW w:w="1159" w:type="dxa"/>
          </w:tcPr>
          <w:p w:rsidR="008B74FB" w:rsidRPr="00B57DAB" w:rsidRDefault="008B74FB" w:rsidP="001C165B">
            <w:pPr>
              <w:jc w:val="center"/>
              <w:rPr>
                <w:rFonts w:ascii="GHEA Grapalat" w:hAnsi="GHEA Grapalat" w:cs="Calibri"/>
                <w:b/>
                <w:color w:val="000000"/>
                <w:sz w:val="18"/>
                <w:szCs w:val="18"/>
              </w:rPr>
            </w:pPr>
            <w:r w:rsidRPr="00B57DAB">
              <w:rPr>
                <w:rFonts w:ascii="GHEA Grapalat" w:hAnsi="GHEA Grapalat" w:cs="Calibri"/>
                <w:b/>
                <w:bCs/>
                <w:color w:val="000000"/>
                <w:sz w:val="18"/>
                <w:szCs w:val="18"/>
              </w:rPr>
              <w:t>2022թ. և 2021թ. տարբե-րությունը</w:t>
            </w:r>
          </w:p>
        </w:tc>
      </w:tr>
      <w:tr w:rsidR="008B74FB" w:rsidRPr="00B57DAB" w:rsidTr="007D228B">
        <w:trPr>
          <w:trHeight w:val="331"/>
          <w:jc w:val="center"/>
        </w:trPr>
        <w:tc>
          <w:tcPr>
            <w:tcW w:w="3312" w:type="dxa"/>
            <w:shd w:val="clear" w:color="auto" w:fill="auto"/>
            <w:vAlign w:val="bottom"/>
          </w:tcPr>
          <w:p w:rsidR="008B74FB" w:rsidRPr="00B57DAB" w:rsidRDefault="008B74FB" w:rsidP="007D228B">
            <w:pPr>
              <w:rPr>
                <w:rFonts w:ascii="GHEA Grapalat" w:hAnsi="GHEA Grapalat" w:cs="Calibri"/>
                <w:b/>
                <w:color w:val="000000"/>
                <w:sz w:val="18"/>
                <w:szCs w:val="18"/>
              </w:rPr>
            </w:pPr>
            <w:r w:rsidRPr="00B57DAB">
              <w:rPr>
                <w:rFonts w:ascii="GHEA Grapalat" w:hAnsi="GHEA Grapalat"/>
                <w:b/>
                <w:sz w:val="18"/>
                <w:szCs w:val="18"/>
              </w:rPr>
              <w:t>ԸՆԴԱՄԵՆԸ</w:t>
            </w:r>
          </w:p>
        </w:tc>
        <w:tc>
          <w:tcPr>
            <w:tcW w:w="1203" w:type="dxa"/>
            <w:vAlign w:val="bottom"/>
          </w:tcPr>
          <w:p w:rsidR="008B74FB" w:rsidRPr="00B57DAB" w:rsidRDefault="008B74FB" w:rsidP="007D228B">
            <w:pPr>
              <w:jc w:val="right"/>
              <w:rPr>
                <w:rFonts w:ascii="GHEA Grapalat" w:hAnsi="GHEA Grapalat"/>
                <w:b/>
                <w:bCs/>
                <w:sz w:val="18"/>
                <w:szCs w:val="18"/>
              </w:rPr>
            </w:pPr>
            <w:r w:rsidRPr="00B57DAB">
              <w:rPr>
                <w:rFonts w:ascii="GHEA Grapalat" w:hAnsi="GHEA Grapalat"/>
                <w:b/>
                <w:bCs/>
                <w:sz w:val="18"/>
                <w:szCs w:val="18"/>
              </w:rPr>
              <w:t>2,622.0</w:t>
            </w:r>
          </w:p>
        </w:tc>
        <w:tc>
          <w:tcPr>
            <w:tcW w:w="1215" w:type="dxa"/>
            <w:vAlign w:val="bottom"/>
          </w:tcPr>
          <w:p w:rsidR="008B74FB" w:rsidRPr="00B57DAB" w:rsidRDefault="008B74FB" w:rsidP="007D228B">
            <w:pPr>
              <w:jc w:val="right"/>
              <w:rPr>
                <w:rFonts w:ascii="GHEA Grapalat" w:hAnsi="GHEA Grapalat"/>
                <w:b/>
                <w:bCs/>
                <w:sz w:val="18"/>
                <w:szCs w:val="18"/>
              </w:rPr>
            </w:pPr>
            <w:r w:rsidRPr="00B57DAB">
              <w:rPr>
                <w:rFonts w:ascii="GHEA Grapalat" w:hAnsi="GHEA Grapalat"/>
                <w:b/>
                <w:bCs/>
                <w:sz w:val="18"/>
                <w:szCs w:val="18"/>
              </w:rPr>
              <w:t>3,983.5</w:t>
            </w:r>
          </w:p>
        </w:tc>
        <w:tc>
          <w:tcPr>
            <w:tcW w:w="1203" w:type="dxa"/>
            <w:shd w:val="clear" w:color="auto" w:fill="auto"/>
            <w:vAlign w:val="bottom"/>
          </w:tcPr>
          <w:p w:rsidR="008B74FB" w:rsidRPr="00B57DAB" w:rsidRDefault="008B74FB" w:rsidP="007D228B">
            <w:pPr>
              <w:jc w:val="right"/>
              <w:rPr>
                <w:rFonts w:ascii="GHEA Grapalat" w:hAnsi="GHEA Grapalat"/>
                <w:b/>
                <w:bCs/>
                <w:sz w:val="18"/>
                <w:szCs w:val="18"/>
              </w:rPr>
            </w:pPr>
            <w:r w:rsidRPr="00B57DAB">
              <w:rPr>
                <w:rFonts w:ascii="GHEA Grapalat" w:hAnsi="GHEA Grapalat"/>
                <w:b/>
                <w:bCs/>
                <w:sz w:val="18"/>
                <w:szCs w:val="18"/>
              </w:rPr>
              <w:t>2,482.5</w:t>
            </w:r>
          </w:p>
        </w:tc>
        <w:tc>
          <w:tcPr>
            <w:tcW w:w="1203" w:type="dxa"/>
            <w:vAlign w:val="bottom"/>
          </w:tcPr>
          <w:p w:rsidR="008B74FB" w:rsidRPr="00B57DAB" w:rsidRDefault="008B74FB" w:rsidP="007D228B">
            <w:pPr>
              <w:jc w:val="right"/>
              <w:rPr>
                <w:rFonts w:ascii="GHEA Grapalat" w:hAnsi="GHEA Grapalat"/>
                <w:b/>
                <w:bCs/>
                <w:sz w:val="18"/>
                <w:szCs w:val="18"/>
              </w:rPr>
            </w:pPr>
            <w:r w:rsidRPr="00B57DAB">
              <w:rPr>
                <w:rFonts w:ascii="GHEA Grapalat" w:hAnsi="GHEA Grapalat"/>
                <w:b/>
                <w:bCs/>
                <w:sz w:val="18"/>
                <w:szCs w:val="18"/>
              </w:rPr>
              <w:t>62.3</w:t>
            </w:r>
          </w:p>
        </w:tc>
        <w:tc>
          <w:tcPr>
            <w:tcW w:w="1203" w:type="dxa"/>
            <w:vAlign w:val="bottom"/>
          </w:tcPr>
          <w:p w:rsidR="008B74FB" w:rsidRPr="00B57DAB" w:rsidRDefault="008B74FB" w:rsidP="007D228B">
            <w:pPr>
              <w:jc w:val="right"/>
              <w:rPr>
                <w:rFonts w:ascii="GHEA Grapalat" w:hAnsi="GHEA Grapalat"/>
                <w:b/>
                <w:bCs/>
                <w:sz w:val="18"/>
                <w:szCs w:val="18"/>
              </w:rPr>
            </w:pPr>
            <w:r w:rsidRPr="00B57DAB">
              <w:rPr>
                <w:rFonts w:ascii="GHEA Grapalat" w:hAnsi="GHEA Grapalat"/>
                <w:b/>
                <w:bCs/>
                <w:sz w:val="18"/>
                <w:szCs w:val="18"/>
              </w:rPr>
              <w:t>94.7</w:t>
            </w:r>
          </w:p>
        </w:tc>
        <w:tc>
          <w:tcPr>
            <w:tcW w:w="1159" w:type="dxa"/>
            <w:vAlign w:val="bottom"/>
          </w:tcPr>
          <w:p w:rsidR="008B74FB" w:rsidRPr="00B57DAB" w:rsidRDefault="008B74FB" w:rsidP="007D228B">
            <w:pPr>
              <w:jc w:val="right"/>
              <w:rPr>
                <w:rFonts w:ascii="GHEA Grapalat" w:hAnsi="GHEA Grapalat"/>
                <w:b/>
                <w:bCs/>
                <w:sz w:val="18"/>
                <w:szCs w:val="18"/>
              </w:rPr>
            </w:pPr>
            <w:r w:rsidRPr="00B57DAB">
              <w:rPr>
                <w:rFonts w:ascii="GHEA Grapalat" w:hAnsi="GHEA Grapalat"/>
                <w:b/>
                <w:bCs/>
                <w:sz w:val="18"/>
                <w:szCs w:val="18"/>
              </w:rPr>
              <w:t>(139.5)</w:t>
            </w:r>
          </w:p>
        </w:tc>
      </w:tr>
      <w:tr w:rsidR="008B74FB" w:rsidRPr="00B57DAB" w:rsidTr="007D228B">
        <w:trPr>
          <w:trHeight w:val="331"/>
          <w:jc w:val="center"/>
        </w:trPr>
        <w:tc>
          <w:tcPr>
            <w:tcW w:w="3312" w:type="dxa"/>
            <w:shd w:val="clear" w:color="auto" w:fill="auto"/>
            <w:vAlign w:val="bottom"/>
            <w:hideMark/>
          </w:tcPr>
          <w:p w:rsidR="008B74FB" w:rsidRPr="00B57DAB" w:rsidRDefault="008B74FB" w:rsidP="007D228B">
            <w:pPr>
              <w:rPr>
                <w:rFonts w:ascii="GHEA Grapalat" w:hAnsi="GHEA Grapalat"/>
                <w:sz w:val="18"/>
                <w:szCs w:val="18"/>
              </w:rPr>
            </w:pPr>
            <w:r w:rsidRPr="00B57DAB">
              <w:rPr>
                <w:rFonts w:ascii="GHEA Grapalat" w:hAnsi="GHEA Grapalat"/>
                <w:sz w:val="18"/>
                <w:szCs w:val="18"/>
              </w:rPr>
              <w:t>Բարձր տեխնոլոգիական արդյունաբերության էկոհամակարգի և շուկայի զարգացման ծրագիր</w:t>
            </w:r>
          </w:p>
        </w:tc>
        <w:tc>
          <w:tcPr>
            <w:tcW w:w="1203" w:type="dxa"/>
            <w:vAlign w:val="bottom"/>
          </w:tcPr>
          <w:p w:rsidR="008B74FB" w:rsidRPr="00B57DAB" w:rsidRDefault="008B74FB" w:rsidP="007D228B">
            <w:pPr>
              <w:jc w:val="right"/>
              <w:rPr>
                <w:rFonts w:ascii="GHEA Grapalat" w:hAnsi="GHEA Grapalat"/>
                <w:bCs/>
                <w:sz w:val="18"/>
                <w:szCs w:val="18"/>
              </w:rPr>
            </w:pPr>
            <w:r w:rsidRPr="00B57DAB">
              <w:rPr>
                <w:rFonts w:ascii="GHEA Grapalat" w:hAnsi="GHEA Grapalat"/>
                <w:bCs/>
                <w:sz w:val="18"/>
                <w:szCs w:val="18"/>
              </w:rPr>
              <w:t>2,379.2</w:t>
            </w:r>
          </w:p>
        </w:tc>
        <w:tc>
          <w:tcPr>
            <w:tcW w:w="1215" w:type="dxa"/>
            <w:vAlign w:val="bottom"/>
          </w:tcPr>
          <w:p w:rsidR="008B74FB" w:rsidRPr="00B57DAB" w:rsidRDefault="008B74FB" w:rsidP="007D228B">
            <w:pPr>
              <w:jc w:val="right"/>
              <w:rPr>
                <w:rFonts w:ascii="GHEA Grapalat" w:hAnsi="GHEA Grapalat"/>
                <w:sz w:val="18"/>
                <w:szCs w:val="18"/>
              </w:rPr>
            </w:pPr>
            <w:r w:rsidRPr="00B57DAB">
              <w:rPr>
                <w:rFonts w:ascii="GHEA Grapalat" w:hAnsi="GHEA Grapalat"/>
                <w:sz w:val="18"/>
                <w:szCs w:val="18"/>
              </w:rPr>
              <w:t>1,491.1</w:t>
            </w:r>
          </w:p>
        </w:tc>
        <w:tc>
          <w:tcPr>
            <w:tcW w:w="1203" w:type="dxa"/>
            <w:shd w:val="clear" w:color="auto" w:fill="auto"/>
            <w:vAlign w:val="bottom"/>
            <w:hideMark/>
          </w:tcPr>
          <w:p w:rsidR="008B74FB" w:rsidRPr="00B57DAB" w:rsidRDefault="008B74FB" w:rsidP="007D228B">
            <w:pPr>
              <w:jc w:val="right"/>
              <w:rPr>
                <w:rFonts w:ascii="GHEA Grapalat" w:hAnsi="GHEA Grapalat"/>
                <w:sz w:val="18"/>
                <w:szCs w:val="18"/>
              </w:rPr>
            </w:pPr>
            <w:r w:rsidRPr="00B57DAB">
              <w:rPr>
                <w:rFonts w:ascii="GHEA Grapalat" w:hAnsi="GHEA Grapalat"/>
                <w:sz w:val="18"/>
                <w:szCs w:val="18"/>
              </w:rPr>
              <w:t>776.1</w:t>
            </w:r>
          </w:p>
        </w:tc>
        <w:tc>
          <w:tcPr>
            <w:tcW w:w="1203" w:type="dxa"/>
            <w:vAlign w:val="bottom"/>
          </w:tcPr>
          <w:p w:rsidR="008B74FB" w:rsidRPr="00B57DAB" w:rsidRDefault="008B74FB" w:rsidP="007D228B">
            <w:pPr>
              <w:jc w:val="right"/>
              <w:rPr>
                <w:rFonts w:ascii="GHEA Grapalat" w:hAnsi="GHEA Grapalat"/>
                <w:sz w:val="18"/>
                <w:szCs w:val="18"/>
              </w:rPr>
            </w:pPr>
            <w:r w:rsidRPr="00B57DAB">
              <w:rPr>
                <w:rFonts w:ascii="GHEA Grapalat" w:hAnsi="GHEA Grapalat"/>
                <w:sz w:val="18"/>
                <w:szCs w:val="18"/>
              </w:rPr>
              <w:t>52.0</w:t>
            </w:r>
          </w:p>
        </w:tc>
        <w:tc>
          <w:tcPr>
            <w:tcW w:w="1203" w:type="dxa"/>
            <w:vAlign w:val="bottom"/>
          </w:tcPr>
          <w:p w:rsidR="008B74FB" w:rsidRPr="00B57DAB" w:rsidRDefault="008B74FB" w:rsidP="007D228B">
            <w:pPr>
              <w:jc w:val="right"/>
              <w:rPr>
                <w:rFonts w:ascii="GHEA Grapalat" w:hAnsi="GHEA Grapalat"/>
                <w:sz w:val="18"/>
                <w:szCs w:val="18"/>
              </w:rPr>
            </w:pPr>
            <w:r w:rsidRPr="00B57DAB">
              <w:rPr>
                <w:rFonts w:ascii="GHEA Grapalat" w:hAnsi="GHEA Grapalat"/>
                <w:sz w:val="18"/>
                <w:szCs w:val="18"/>
              </w:rPr>
              <w:t>32.6</w:t>
            </w:r>
          </w:p>
        </w:tc>
        <w:tc>
          <w:tcPr>
            <w:tcW w:w="1159" w:type="dxa"/>
            <w:vAlign w:val="bottom"/>
          </w:tcPr>
          <w:p w:rsidR="008B74FB" w:rsidRPr="00B57DAB" w:rsidRDefault="008B74FB" w:rsidP="007D228B">
            <w:pPr>
              <w:jc w:val="right"/>
              <w:rPr>
                <w:rFonts w:ascii="GHEA Grapalat" w:hAnsi="GHEA Grapalat"/>
                <w:sz w:val="18"/>
                <w:szCs w:val="18"/>
              </w:rPr>
            </w:pPr>
            <w:r w:rsidRPr="00B57DAB">
              <w:rPr>
                <w:rFonts w:ascii="GHEA Grapalat" w:hAnsi="GHEA Grapalat"/>
                <w:sz w:val="18"/>
                <w:szCs w:val="18"/>
              </w:rPr>
              <w:t>(1,603.1)</w:t>
            </w:r>
          </w:p>
        </w:tc>
      </w:tr>
      <w:tr w:rsidR="008B74FB" w:rsidRPr="00B57DAB" w:rsidTr="007D228B">
        <w:trPr>
          <w:trHeight w:val="300"/>
          <w:jc w:val="center"/>
        </w:trPr>
        <w:tc>
          <w:tcPr>
            <w:tcW w:w="3312" w:type="dxa"/>
            <w:shd w:val="clear" w:color="auto" w:fill="auto"/>
            <w:vAlign w:val="bottom"/>
            <w:hideMark/>
          </w:tcPr>
          <w:p w:rsidR="008B74FB" w:rsidRPr="00B57DAB" w:rsidRDefault="008B74FB" w:rsidP="007D228B">
            <w:pPr>
              <w:rPr>
                <w:rFonts w:ascii="GHEA Grapalat" w:hAnsi="GHEA Grapalat"/>
                <w:sz w:val="18"/>
                <w:szCs w:val="18"/>
              </w:rPr>
            </w:pPr>
            <w:r w:rsidRPr="00B57DAB">
              <w:rPr>
                <w:rFonts w:ascii="GHEA Grapalat" w:hAnsi="GHEA Grapalat"/>
                <w:sz w:val="18"/>
                <w:szCs w:val="18"/>
              </w:rPr>
              <w:t>Պաշտպանության բնագավառում գիտական և գիտատեխնիկական նպատակային հետազոտություններ</w:t>
            </w:r>
          </w:p>
        </w:tc>
        <w:tc>
          <w:tcPr>
            <w:tcW w:w="1203" w:type="dxa"/>
            <w:vAlign w:val="bottom"/>
          </w:tcPr>
          <w:p w:rsidR="008B74FB" w:rsidRPr="00B57DAB" w:rsidRDefault="008B74FB" w:rsidP="007D228B">
            <w:pPr>
              <w:jc w:val="right"/>
              <w:rPr>
                <w:rFonts w:ascii="GHEA Grapalat" w:hAnsi="GHEA Grapalat"/>
                <w:sz w:val="18"/>
                <w:szCs w:val="18"/>
              </w:rPr>
            </w:pPr>
            <w:r w:rsidRPr="00B57DAB">
              <w:rPr>
                <w:rFonts w:ascii="GHEA Grapalat" w:hAnsi="GHEA Grapalat"/>
                <w:sz w:val="18"/>
                <w:szCs w:val="18"/>
              </w:rPr>
              <w:t>-</w:t>
            </w:r>
          </w:p>
        </w:tc>
        <w:tc>
          <w:tcPr>
            <w:tcW w:w="1215" w:type="dxa"/>
            <w:vAlign w:val="bottom"/>
          </w:tcPr>
          <w:p w:rsidR="008B74FB" w:rsidRPr="00B57DAB" w:rsidRDefault="008B74FB" w:rsidP="007D228B">
            <w:pPr>
              <w:jc w:val="right"/>
              <w:rPr>
                <w:rFonts w:ascii="GHEA Grapalat" w:hAnsi="GHEA Grapalat"/>
                <w:sz w:val="18"/>
                <w:szCs w:val="18"/>
              </w:rPr>
            </w:pPr>
            <w:r w:rsidRPr="00B57DAB">
              <w:rPr>
                <w:rFonts w:ascii="GHEA Grapalat" w:hAnsi="GHEA Grapalat"/>
                <w:sz w:val="18"/>
                <w:szCs w:val="18"/>
              </w:rPr>
              <w:t>2,109.8</w:t>
            </w:r>
          </w:p>
        </w:tc>
        <w:tc>
          <w:tcPr>
            <w:tcW w:w="1203" w:type="dxa"/>
            <w:shd w:val="clear" w:color="auto" w:fill="auto"/>
            <w:vAlign w:val="bottom"/>
            <w:hideMark/>
          </w:tcPr>
          <w:p w:rsidR="008B74FB" w:rsidRPr="00B57DAB" w:rsidRDefault="008B74FB" w:rsidP="007D228B">
            <w:pPr>
              <w:jc w:val="right"/>
              <w:rPr>
                <w:rFonts w:ascii="GHEA Grapalat" w:hAnsi="GHEA Grapalat"/>
                <w:sz w:val="18"/>
                <w:szCs w:val="18"/>
              </w:rPr>
            </w:pPr>
            <w:r w:rsidRPr="00B57DAB">
              <w:rPr>
                <w:rFonts w:ascii="GHEA Grapalat" w:hAnsi="GHEA Grapalat"/>
                <w:sz w:val="18"/>
                <w:szCs w:val="18"/>
              </w:rPr>
              <w:t>1,415.4</w:t>
            </w:r>
          </w:p>
        </w:tc>
        <w:tc>
          <w:tcPr>
            <w:tcW w:w="1203" w:type="dxa"/>
            <w:vAlign w:val="bottom"/>
          </w:tcPr>
          <w:p w:rsidR="008B74FB" w:rsidRPr="00B57DAB" w:rsidRDefault="008B74FB" w:rsidP="007D228B">
            <w:pPr>
              <w:jc w:val="right"/>
              <w:rPr>
                <w:rFonts w:ascii="GHEA Grapalat" w:hAnsi="GHEA Grapalat"/>
                <w:sz w:val="18"/>
                <w:szCs w:val="18"/>
              </w:rPr>
            </w:pPr>
            <w:r w:rsidRPr="00B57DAB">
              <w:rPr>
                <w:rFonts w:ascii="GHEA Grapalat" w:hAnsi="GHEA Grapalat"/>
                <w:sz w:val="18"/>
                <w:szCs w:val="18"/>
              </w:rPr>
              <w:t>67.1</w:t>
            </w:r>
          </w:p>
        </w:tc>
        <w:tc>
          <w:tcPr>
            <w:tcW w:w="1203" w:type="dxa"/>
            <w:vAlign w:val="bottom"/>
          </w:tcPr>
          <w:p w:rsidR="008B74FB" w:rsidRPr="00B57DAB" w:rsidRDefault="007D228B" w:rsidP="007D228B">
            <w:pPr>
              <w:jc w:val="right"/>
              <w:rPr>
                <w:rFonts w:ascii="GHEA Grapalat" w:hAnsi="GHEA Grapalat"/>
                <w:sz w:val="18"/>
                <w:szCs w:val="18"/>
              </w:rPr>
            </w:pPr>
            <w:r w:rsidRPr="00B57DAB">
              <w:rPr>
                <w:rFonts w:ascii="Courier New" w:hAnsi="Courier New" w:cs="Courier New"/>
                <w:sz w:val="18"/>
                <w:szCs w:val="18"/>
              </w:rPr>
              <w:t>-</w:t>
            </w:r>
            <w:r w:rsidR="008B74FB" w:rsidRPr="00B57DAB">
              <w:rPr>
                <w:rFonts w:ascii="Courier New" w:hAnsi="Courier New" w:cs="Courier New"/>
                <w:sz w:val="18"/>
                <w:szCs w:val="18"/>
              </w:rPr>
              <w:t> </w:t>
            </w:r>
          </w:p>
        </w:tc>
        <w:tc>
          <w:tcPr>
            <w:tcW w:w="1159" w:type="dxa"/>
            <w:vAlign w:val="bottom"/>
          </w:tcPr>
          <w:p w:rsidR="008B74FB" w:rsidRPr="00B57DAB" w:rsidRDefault="008B74FB" w:rsidP="007D228B">
            <w:pPr>
              <w:jc w:val="right"/>
              <w:rPr>
                <w:rFonts w:ascii="GHEA Grapalat" w:hAnsi="GHEA Grapalat"/>
                <w:sz w:val="18"/>
                <w:szCs w:val="18"/>
              </w:rPr>
            </w:pPr>
            <w:r w:rsidRPr="00B57DAB">
              <w:rPr>
                <w:rFonts w:ascii="GHEA Grapalat" w:hAnsi="GHEA Grapalat"/>
                <w:sz w:val="18"/>
                <w:szCs w:val="18"/>
              </w:rPr>
              <w:t>1,415.4</w:t>
            </w:r>
          </w:p>
        </w:tc>
      </w:tr>
      <w:tr w:rsidR="008B74FB" w:rsidRPr="00B57DAB" w:rsidTr="007D228B">
        <w:trPr>
          <w:trHeight w:val="314"/>
          <w:jc w:val="center"/>
        </w:trPr>
        <w:tc>
          <w:tcPr>
            <w:tcW w:w="3312" w:type="dxa"/>
            <w:shd w:val="clear" w:color="auto" w:fill="auto"/>
            <w:vAlign w:val="bottom"/>
          </w:tcPr>
          <w:p w:rsidR="008B74FB" w:rsidRPr="00B57DAB" w:rsidRDefault="008B74FB" w:rsidP="007D228B">
            <w:pPr>
              <w:rPr>
                <w:rFonts w:ascii="GHEA Grapalat" w:hAnsi="GHEA Grapalat"/>
                <w:sz w:val="18"/>
                <w:szCs w:val="18"/>
              </w:rPr>
            </w:pPr>
            <w:r w:rsidRPr="00B57DAB">
              <w:rPr>
                <w:rFonts w:ascii="GHEA Grapalat" w:hAnsi="GHEA Grapalat"/>
                <w:sz w:val="18"/>
                <w:szCs w:val="18"/>
              </w:rPr>
              <w:t>Այլ ծրագրեր</w:t>
            </w:r>
          </w:p>
        </w:tc>
        <w:tc>
          <w:tcPr>
            <w:tcW w:w="1203" w:type="dxa"/>
            <w:vAlign w:val="bottom"/>
          </w:tcPr>
          <w:p w:rsidR="008B74FB" w:rsidRPr="00B57DAB" w:rsidRDefault="008B74FB" w:rsidP="007D228B">
            <w:pPr>
              <w:jc w:val="right"/>
              <w:rPr>
                <w:rFonts w:ascii="GHEA Grapalat" w:hAnsi="GHEA Grapalat"/>
                <w:sz w:val="18"/>
                <w:szCs w:val="18"/>
              </w:rPr>
            </w:pPr>
            <w:r w:rsidRPr="00B57DAB">
              <w:rPr>
                <w:rFonts w:ascii="GHEA Grapalat" w:hAnsi="GHEA Grapalat"/>
                <w:sz w:val="18"/>
                <w:szCs w:val="18"/>
              </w:rPr>
              <w:t>242.9</w:t>
            </w:r>
          </w:p>
        </w:tc>
        <w:tc>
          <w:tcPr>
            <w:tcW w:w="1215" w:type="dxa"/>
            <w:vAlign w:val="bottom"/>
          </w:tcPr>
          <w:p w:rsidR="008B74FB" w:rsidRPr="00B57DAB" w:rsidRDefault="008B74FB" w:rsidP="007D228B">
            <w:pPr>
              <w:jc w:val="right"/>
              <w:rPr>
                <w:rFonts w:ascii="GHEA Grapalat" w:hAnsi="GHEA Grapalat"/>
                <w:sz w:val="18"/>
                <w:szCs w:val="18"/>
              </w:rPr>
            </w:pPr>
            <w:r w:rsidRPr="00B57DAB">
              <w:rPr>
                <w:rFonts w:ascii="GHEA Grapalat" w:hAnsi="GHEA Grapalat"/>
                <w:sz w:val="18"/>
                <w:szCs w:val="18"/>
              </w:rPr>
              <w:t>382.5</w:t>
            </w:r>
          </w:p>
        </w:tc>
        <w:tc>
          <w:tcPr>
            <w:tcW w:w="1203" w:type="dxa"/>
            <w:shd w:val="clear" w:color="auto" w:fill="auto"/>
            <w:vAlign w:val="bottom"/>
          </w:tcPr>
          <w:p w:rsidR="008B74FB" w:rsidRPr="00B57DAB" w:rsidRDefault="008B74FB" w:rsidP="007D228B">
            <w:pPr>
              <w:jc w:val="right"/>
              <w:rPr>
                <w:rFonts w:ascii="GHEA Grapalat" w:hAnsi="GHEA Grapalat"/>
                <w:sz w:val="18"/>
                <w:szCs w:val="18"/>
              </w:rPr>
            </w:pPr>
            <w:r w:rsidRPr="00B57DAB">
              <w:rPr>
                <w:rFonts w:ascii="GHEA Grapalat" w:hAnsi="GHEA Grapalat"/>
                <w:sz w:val="18"/>
                <w:szCs w:val="18"/>
              </w:rPr>
              <w:t>291.0</w:t>
            </w:r>
          </w:p>
        </w:tc>
        <w:tc>
          <w:tcPr>
            <w:tcW w:w="1203" w:type="dxa"/>
            <w:vAlign w:val="bottom"/>
          </w:tcPr>
          <w:p w:rsidR="008B74FB" w:rsidRPr="00B57DAB" w:rsidRDefault="008B74FB" w:rsidP="007D228B">
            <w:pPr>
              <w:jc w:val="right"/>
              <w:rPr>
                <w:rFonts w:ascii="GHEA Grapalat" w:hAnsi="GHEA Grapalat"/>
                <w:sz w:val="18"/>
                <w:szCs w:val="18"/>
              </w:rPr>
            </w:pPr>
            <w:r w:rsidRPr="00B57DAB">
              <w:rPr>
                <w:rFonts w:ascii="GHEA Grapalat" w:hAnsi="GHEA Grapalat"/>
                <w:sz w:val="18"/>
                <w:szCs w:val="18"/>
              </w:rPr>
              <w:t>76.1</w:t>
            </w:r>
          </w:p>
        </w:tc>
        <w:tc>
          <w:tcPr>
            <w:tcW w:w="1203" w:type="dxa"/>
            <w:vAlign w:val="bottom"/>
          </w:tcPr>
          <w:p w:rsidR="008B74FB" w:rsidRPr="00B57DAB" w:rsidRDefault="008B74FB" w:rsidP="007D228B">
            <w:pPr>
              <w:jc w:val="right"/>
              <w:rPr>
                <w:rFonts w:ascii="GHEA Grapalat" w:hAnsi="GHEA Grapalat"/>
                <w:sz w:val="18"/>
                <w:szCs w:val="18"/>
              </w:rPr>
            </w:pPr>
            <w:r w:rsidRPr="00B57DAB">
              <w:rPr>
                <w:rFonts w:ascii="GHEA Grapalat" w:hAnsi="GHEA Grapalat"/>
                <w:sz w:val="18"/>
                <w:szCs w:val="18"/>
              </w:rPr>
              <w:t>119.8</w:t>
            </w:r>
          </w:p>
        </w:tc>
        <w:tc>
          <w:tcPr>
            <w:tcW w:w="1159" w:type="dxa"/>
            <w:vAlign w:val="bottom"/>
          </w:tcPr>
          <w:p w:rsidR="008B74FB" w:rsidRPr="00B57DAB" w:rsidRDefault="008B74FB" w:rsidP="007D228B">
            <w:pPr>
              <w:jc w:val="right"/>
              <w:rPr>
                <w:rFonts w:ascii="GHEA Grapalat" w:hAnsi="GHEA Grapalat"/>
                <w:sz w:val="18"/>
                <w:szCs w:val="18"/>
              </w:rPr>
            </w:pPr>
            <w:r w:rsidRPr="00B57DAB">
              <w:rPr>
                <w:rFonts w:ascii="GHEA Grapalat" w:hAnsi="GHEA Grapalat"/>
                <w:sz w:val="18"/>
                <w:szCs w:val="18"/>
              </w:rPr>
              <w:t>48.1</w:t>
            </w:r>
          </w:p>
        </w:tc>
      </w:tr>
    </w:tbl>
    <w:p w:rsidR="008B74FB" w:rsidRPr="00B57DAB" w:rsidRDefault="008B74FB" w:rsidP="008B74FB">
      <w:pPr>
        <w:autoSpaceDE w:val="0"/>
        <w:autoSpaceDN w:val="0"/>
        <w:adjustRightInd w:val="0"/>
        <w:spacing w:line="360" w:lineRule="auto"/>
        <w:ind w:firstLine="567"/>
        <w:jc w:val="both"/>
        <w:rPr>
          <w:rFonts w:ascii="GHEA Grapalat" w:hAnsi="GHEA Grapalat" w:cs="GHEA Grapalat"/>
          <w:sz w:val="22"/>
          <w:szCs w:val="22"/>
        </w:rPr>
      </w:pPr>
    </w:p>
    <w:p w:rsidR="008B74FB" w:rsidRPr="00B57DAB" w:rsidRDefault="008B74FB" w:rsidP="008B74FB">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GHEA Grapalat"/>
          <w:sz w:val="22"/>
          <w:szCs w:val="22"/>
        </w:rPr>
        <w:lastRenderedPageBreak/>
        <w:t xml:space="preserve">Հաշվետու </w:t>
      </w:r>
      <w:r w:rsidRPr="00B57DAB">
        <w:rPr>
          <w:rFonts w:ascii="GHEA Grapalat" w:hAnsi="GHEA Grapalat" w:cs="Sylfaen"/>
          <w:sz w:val="22"/>
          <w:szCs w:val="22"/>
        </w:rPr>
        <w:t>ժամանակահատվածում</w:t>
      </w:r>
      <w:r w:rsidRPr="00B57DAB">
        <w:rPr>
          <w:rFonts w:ascii="GHEA Grapalat" w:hAnsi="GHEA Grapalat" w:cs="GHEA Grapalat"/>
          <w:sz w:val="22"/>
          <w:szCs w:val="22"/>
        </w:rPr>
        <w:t xml:space="preserve"> </w:t>
      </w:r>
      <w:r w:rsidRPr="00B57DAB">
        <w:rPr>
          <w:rFonts w:ascii="GHEA Grapalat" w:hAnsi="GHEA Grapalat" w:cs="GHEA Grapalat"/>
          <w:i/>
          <w:sz w:val="22"/>
          <w:szCs w:val="22"/>
        </w:rPr>
        <w:t>Բարձր տեխնոլոգիական արդյունաբերության էկոհամակարգի և շուկայի զարգացման</w:t>
      </w:r>
      <w:r w:rsidRPr="00B57DAB">
        <w:rPr>
          <w:rFonts w:ascii="GHEA Grapalat" w:hAnsi="GHEA Grapalat" w:cs="GHEA Grapalat"/>
          <w:sz w:val="22"/>
          <w:szCs w:val="22"/>
        </w:rPr>
        <w:t xml:space="preserve"> </w:t>
      </w:r>
      <w:r w:rsidRPr="00B57DAB">
        <w:rPr>
          <w:rFonts w:ascii="GHEA Grapalat" w:hAnsi="GHEA Grapalat" w:cs="Sylfaen"/>
          <w:sz w:val="22"/>
          <w:szCs w:val="22"/>
        </w:rPr>
        <w:t xml:space="preserve">ծրագրի շրջանակներում </w:t>
      </w:r>
      <w:r w:rsidRPr="00B57DAB">
        <w:rPr>
          <w:rFonts w:ascii="GHEA Grapalat" w:hAnsi="GHEA Grapalat"/>
          <w:sz w:val="22"/>
          <w:szCs w:val="22"/>
        </w:rPr>
        <w:t xml:space="preserve">օգտագործվել է շուրջ 776.1 </w:t>
      </w:r>
      <w:r w:rsidR="00BF1B65" w:rsidRPr="00B57DAB">
        <w:rPr>
          <w:rFonts w:ascii="GHEA Grapalat" w:hAnsi="GHEA Grapalat"/>
          <w:sz w:val="22"/>
          <w:szCs w:val="22"/>
        </w:rPr>
        <w:t xml:space="preserve">մլն </w:t>
      </w:r>
      <w:r w:rsidRPr="00B57DAB">
        <w:rPr>
          <w:rFonts w:ascii="GHEA Grapalat" w:hAnsi="GHEA Grapalat"/>
          <w:sz w:val="22"/>
          <w:szCs w:val="22"/>
        </w:rPr>
        <w:t xml:space="preserve">դրամ կամ ծրագրված ցուցանիշի 52%-ը: </w:t>
      </w:r>
      <w:r w:rsidRPr="00B57DAB">
        <w:rPr>
          <w:rFonts w:ascii="GHEA Grapalat" w:hAnsi="GHEA Grapalat" w:cs="Sylfaen"/>
          <w:sz w:val="22"/>
          <w:szCs w:val="22"/>
        </w:rPr>
        <w:t xml:space="preserve">Շեղումը հիմնականում պայմանավորված է Համաշխարհային բանկի աջակցությամբ իրականացվող առևտրի և ենթակառուցվածքների զարգացման վարկային ծրագրի շրջանակներում իրականացված միջոցառումների կատարողականով, որոնց </w:t>
      </w:r>
      <w:r w:rsidR="007D228B" w:rsidRPr="00B57DAB">
        <w:rPr>
          <w:rFonts w:ascii="GHEA Grapalat" w:hAnsi="GHEA Grapalat" w:cs="Sylfaen"/>
          <w:sz w:val="22"/>
          <w:szCs w:val="22"/>
        </w:rPr>
        <w:t>շրջանակներում</w:t>
      </w:r>
      <w:r w:rsidRPr="00B57DAB">
        <w:rPr>
          <w:rFonts w:ascii="GHEA Grapalat" w:hAnsi="GHEA Grapalat" w:cs="Sylfaen"/>
          <w:sz w:val="22"/>
          <w:szCs w:val="22"/>
        </w:rPr>
        <w:t xml:space="preserve"> օգտագործվել է 726.1 մլն դրամ կամ նախատեսված միջոցների 59%-ը: Ծրագրի՝ ծառայությունների մատուցման բաղադրիչի ծախսերը կատարվել են 63%-</w:t>
      </w:r>
      <w:r w:rsidRPr="00B57DAB">
        <w:rPr>
          <w:rFonts w:ascii="GHEA Grapalat" w:hAnsi="GHEA Grapalat" w:cs="GHEA Grapalat"/>
          <w:sz w:val="22"/>
          <w:szCs w:val="22"/>
        </w:rPr>
        <w:t>ով՝ կազմելով շուրջ 521.5</w:t>
      </w:r>
      <w:r w:rsidR="00AA7FB6" w:rsidRPr="00B57DAB">
        <w:rPr>
          <w:rFonts w:ascii="Courier New" w:hAnsi="Courier New" w:cs="Courier New"/>
          <w:sz w:val="22"/>
          <w:szCs w:val="22"/>
        </w:rPr>
        <w:t> </w:t>
      </w:r>
      <w:r w:rsidRPr="00B57DAB">
        <w:rPr>
          <w:rFonts w:ascii="GHEA Grapalat" w:hAnsi="GHEA Grapalat" w:cs="GHEA Grapalat"/>
          <w:sz w:val="22"/>
          <w:szCs w:val="22"/>
        </w:rPr>
        <w:t>մլն դրամ, ինչը պայմանավորված է նրանով, որ կառուցվածքային փոփոխությունների հետևանքով որոշ դրամաշնորհային պայմանագրերի փոփոխություններ նախատեսված ժամկետից ուշ են ստորագրվել: Արդյունքում՝ դրամաշնորհների փուլային վճարումները կատարվել</w:t>
      </w:r>
      <w:r w:rsidR="00AA7FB6" w:rsidRPr="00B57DAB">
        <w:rPr>
          <w:rFonts w:ascii="GHEA Grapalat" w:hAnsi="GHEA Grapalat" w:cs="GHEA Grapalat"/>
          <w:sz w:val="22"/>
          <w:szCs w:val="22"/>
        </w:rPr>
        <w:t xml:space="preserve"> են մասնակիորեն</w:t>
      </w:r>
      <w:r w:rsidRPr="00B57DAB">
        <w:rPr>
          <w:rFonts w:ascii="GHEA Grapalat" w:hAnsi="GHEA Grapalat" w:cs="GHEA Grapalat"/>
          <w:sz w:val="22"/>
          <w:szCs w:val="22"/>
        </w:rPr>
        <w:t>: Վարկային ծրագրի շրջանակներում շենքերի և շինությունների շինարարության և հիմնանորոգման նպատակով</w:t>
      </w:r>
      <w:r w:rsidR="00BA7216" w:rsidRPr="00B57DAB">
        <w:rPr>
          <w:rFonts w:ascii="GHEA Grapalat" w:hAnsi="GHEA Grapalat" w:cs="GHEA Grapalat"/>
          <w:sz w:val="22"/>
          <w:szCs w:val="22"/>
        </w:rPr>
        <w:t xml:space="preserve"> Ստանդարտացման և չափագիտության ազգային մարմնի (ՍՉԱՄ) </w:t>
      </w:r>
      <w:r w:rsidRPr="00B57DAB">
        <w:rPr>
          <w:rFonts w:ascii="GHEA Grapalat" w:hAnsi="GHEA Grapalat" w:cs="GHEA Grapalat"/>
          <w:sz w:val="22"/>
          <w:szCs w:val="22"/>
        </w:rPr>
        <w:t>լաբորատորիաների և այլ տարածքների վերանորոգման աշխատանքները նախատեսված 45%-ի փոխարեն փաստացի կատարվել են 39%-ով՝ պայմանավորված եղանակային պայմանների հետևանքով Լարսի անցակետի ժամանակավոր փակ լինելու պատճառով ՌԴ-ից պատվիրված շինանյութի մատակարարման ուշացմա</w:t>
      </w:r>
      <w:r w:rsidR="00AA7FB6" w:rsidRPr="00B57DAB">
        <w:rPr>
          <w:rFonts w:ascii="GHEA Grapalat" w:hAnsi="GHEA Grapalat" w:cs="GHEA Grapalat"/>
          <w:sz w:val="22"/>
          <w:szCs w:val="22"/>
        </w:rPr>
        <w:t>մբ</w:t>
      </w:r>
      <w:r w:rsidRPr="00B57DAB">
        <w:rPr>
          <w:rFonts w:ascii="GHEA Grapalat" w:hAnsi="GHEA Grapalat" w:cs="GHEA Grapalat"/>
          <w:sz w:val="22"/>
          <w:szCs w:val="22"/>
        </w:rPr>
        <w:t xml:space="preserve">: Նշված միջոցառման շրջանակներում </w:t>
      </w:r>
      <w:r w:rsidRPr="00B57DAB">
        <w:rPr>
          <w:rFonts w:ascii="GHEA Grapalat" w:hAnsi="GHEA Grapalat" w:cs="Sylfaen"/>
          <w:sz w:val="22"/>
          <w:szCs w:val="22"/>
        </w:rPr>
        <w:t>օգտագործվել է 181.6 մլն դրամ կամ նախատեսված միջոցների 72.8%</w:t>
      </w:r>
      <w:r w:rsidRPr="00B57DAB">
        <w:rPr>
          <w:rFonts w:ascii="GHEA Grapalat" w:hAnsi="GHEA Grapalat" w:cs="Sylfaen"/>
          <w:sz w:val="22"/>
          <w:szCs w:val="22"/>
        </w:rPr>
        <w:noBreakHyphen/>
        <w:t>ը: Վերջինս հիմնականում պայմանավորված</w:t>
      </w:r>
      <w:r w:rsidRPr="00B57DAB">
        <w:rPr>
          <w:rFonts w:ascii="GHEA Grapalat" w:hAnsi="GHEA Grapalat" w:cs="GHEA Grapalat"/>
          <w:sz w:val="22"/>
          <w:szCs w:val="22"/>
        </w:rPr>
        <w:t xml:space="preserve"> է </w:t>
      </w:r>
      <w:r w:rsidRPr="00B57DAB">
        <w:rPr>
          <w:rFonts w:ascii="GHEA Grapalat" w:hAnsi="GHEA Grapalat" w:cs="Sylfaen"/>
          <w:sz w:val="22"/>
          <w:szCs w:val="22"/>
        </w:rPr>
        <w:t>նրանով, որ ինժեներական քաղաքի տարածքի բարեկարգման և ենթակառուցվածքների կառուցման համար պայմանագիրը ստորագրվել է նախատեսված ժամկետից ուշ՝</w:t>
      </w:r>
      <w:r w:rsidR="006A4207" w:rsidRPr="00B57DAB">
        <w:rPr>
          <w:rFonts w:ascii="GHEA Grapalat" w:hAnsi="GHEA Grapalat" w:cs="Sylfaen"/>
          <w:sz w:val="22"/>
          <w:szCs w:val="22"/>
        </w:rPr>
        <w:t xml:space="preserve"> </w:t>
      </w:r>
      <w:r w:rsidRPr="00B57DAB">
        <w:rPr>
          <w:rFonts w:ascii="GHEA Grapalat" w:hAnsi="GHEA Grapalat" w:cs="Sylfaen"/>
          <w:sz w:val="22"/>
          <w:szCs w:val="22"/>
        </w:rPr>
        <w:t xml:space="preserve">ելնելով երաշխիքային սպասարկման հետ կապված լրացուցիչ փաստաթղթեր ուսումնասիրելու անհրաժեշտությունից: Ծրագրի շրջանակներում սարքավորումների ձեռքբերման նպատակով կիբերանվտանգության ինկուբատորի կրթական լաբորատորիաների համար համակարգչային սարքավորումների ձեռքբերումն </w:t>
      </w:r>
      <w:r w:rsidR="00AA7FB6" w:rsidRPr="00B57DAB">
        <w:rPr>
          <w:rFonts w:ascii="GHEA Grapalat" w:hAnsi="GHEA Grapalat" w:cs="Sylfaen"/>
          <w:sz w:val="22"/>
          <w:szCs w:val="22"/>
        </w:rPr>
        <w:t xml:space="preserve">ամբողջությամբ </w:t>
      </w:r>
      <w:r w:rsidRPr="00B57DAB">
        <w:rPr>
          <w:rFonts w:ascii="GHEA Grapalat" w:hAnsi="GHEA Grapalat" w:cs="Sylfaen"/>
          <w:sz w:val="22"/>
          <w:szCs w:val="22"/>
        </w:rPr>
        <w:t>իրականացվել է, իսկ Հայաստանի գերհամակարգչային համակարգի արդիականացման և տեղադրման աշխատանք</w:t>
      </w:r>
      <w:r w:rsidR="00AA7FB6" w:rsidRPr="00B57DAB">
        <w:rPr>
          <w:rFonts w:ascii="GHEA Grapalat" w:hAnsi="GHEA Grapalat" w:cs="Sylfaen"/>
          <w:sz w:val="22"/>
          <w:szCs w:val="22"/>
        </w:rPr>
        <w:t>ն</w:t>
      </w:r>
      <w:r w:rsidRPr="00B57DAB">
        <w:rPr>
          <w:rFonts w:ascii="GHEA Grapalat" w:hAnsi="GHEA Grapalat" w:cs="Sylfaen"/>
          <w:sz w:val="22"/>
          <w:szCs w:val="22"/>
        </w:rPr>
        <w:t>երը</w:t>
      </w:r>
      <w:r w:rsidR="00AA7FB6" w:rsidRPr="00B57DAB">
        <w:rPr>
          <w:rFonts w:ascii="GHEA Grapalat" w:hAnsi="GHEA Grapalat" w:cs="Sylfaen"/>
          <w:sz w:val="22"/>
          <w:szCs w:val="22"/>
        </w:rPr>
        <w:t>, որոնց</w:t>
      </w:r>
      <w:r w:rsidRPr="00B57DAB">
        <w:rPr>
          <w:rFonts w:ascii="GHEA Grapalat" w:hAnsi="GHEA Grapalat" w:cs="Sylfaen"/>
          <w:sz w:val="22"/>
          <w:szCs w:val="22"/>
        </w:rPr>
        <w:t xml:space="preserve"> 30%-</w:t>
      </w:r>
      <w:r w:rsidR="00AA7FB6" w:rsidRPr="00B57DAB">
        <w:rPr>
          <w:rFonts w:ascii="GHEA Grapalat" w:hAnsi="GHEA Grapalat" w:cs="Sylfaen"/>
          <w:sz w:val="22"/>
          <w:szCs w:val="22"/>
        </w:rPr>
        <w:t>ն էր նախատեսված առաջին եռամսյակում, չ</w:t>
      </w:r>
      <w:r w:rsidRPr="00B57DAB">
        <w:rPr>
          <w:rFonts w:ascii="GHEA Grapalat" w:hAnsi="GHEA Grapalat" w:cs="Sylfaen"/>
          <w:sz w:val="22"/>
          <w:szCs w:val="22"/>
        </w:rPr>
        <w:t>են իրականացվել՝ պայմանավորված նրանով, որ մատակարարն առաջարկել էր իր հաշվին փոխարինել գերհամակարգչի որոշ առկա</w:t>
      </w:r>
      <w:r w:rsidRPr="00B57DAB">
        <w:rPr>
          <w:rFonts w:ascii="GHEA Grapalat" w:hAnsi="GHEA Grapalat" w:cs="GHEA Grapalat"/>
          <w:sz w:val="22"/>
          <w:szCs w:val="22"/>
        </w:rPr>
        <w:t xml:space="preserve"> մո</w:t>
      </w:r>
      <w:r w:rsidR="00AA7FB6" w:rsidRPr="00B57DAB">
        <w:rPr>
          <w:rFonts w:ascii="GHEA Grapalat" w:hAnsi="GHEA Grapalat" w:cs="GHEA Grapalat"/>
          <w:sz w:val="22"/>
          <w:szCs w:val="22"/>
        </w:rPr>
        <w:t>դուլներն առավել հզոր մոդելներով</w:t>
      </w:r>
      <w:r w:rsidRPr="00B57DAB">
        <w:rPr>
          <w:rFonts w:ascii="GHEA Grapalat" w:hAnsi="GHEA Grapalat" w:cs="GHEA Grapalat"/>
          <w:sz w:val="22"/>
          <w:szCs w:val="22"/>
        </w:rPr>
        <w:t xml:space="preserve">: </w:t>
      </w:r>
      <w:r w:rsidR="00AA7FB6" w:rsidRPr="00B57DAB">
        <w:rPr>
          <w:rFonts w:ascii="GHEA Grapalat" w:hAnsi="GHEA Grapalat" w:cs="GHEA Grapalat"/>
          <w:sz w:val="22"/>
          <w:szCs w:val="22"/>
        </w:rPr>
        <w:t>Կ</w:t>
      </w:r>
      <w:r w:rsidRPr="00B57DAB">
        <w:rPr>
          <w:rFonts w:ascii="GHEA Grapalat" w:hAnsi="GHEA Grapalat" w:cs="GHEA Grapalat"/>
          <w:sz w:val="22"/>
          <w:szCs w:val="22"/>
        </w:rPr>
        <w:t xml:space="preserve">առուցվածքային փոփոխությունների հետևանքով պայմանագիրը </w:t>
      </w:r>
      <w:r w:rsidRPr="00B57DAB">
        <w:rPr>
          <w:rFonts w:ascii="GHEA Grapalat" w:hAnsi="GHEA Grapalat" w:cs="Sylfaen"/>
          <w:sz w:val="22"/>
          <w:szCs w:val="22"/>
        </w:rPr>
        <w:t>ստորագրվել է 2022 թվականի փետրվար ամսին</w:t>
      </w:r>
      <w:r w:rsidR="00AA7FB6" w:rsidRPr="00B57DAB">
        <w:rPr>
          <w:rFonts w:ascii="GHEA Grapalat" w:hAnsi="GHEA Grapalat" w:cs="Sylfaen"/>
          <w:sz w:val="22"/>
          <w:szCs w:val="22"/>
        </w:rPr>
        <w:t>, իսկ</w:t>
      </w:r>
      <w:r w:rsidRPr="00B57DAB">
        <w:rPr>
          <w:rFonts w:ascii="GHEA Grapalat" w:hAnsi="GHEA Grapalat" w:cs="Sylfaen"/>
          <w:sz w:val="22"/>
          <w:szCs w:val="22"/>
        </w:rPr>
        <w:t xml:space="preserve"> Հայաստանի գերհամակարգչային համակարգի արդիականացման և տեղադրման նախատեսված աշխատանքները վերսկսվել են 2022 թվականի մարտ ամսից: </w:t>
      </w:r>
      <w:r w:rsidR="00AA7FB6" w:rsidRPr="00B57DAB">
        <w:rPr>
          <w:rFonts w:ascii="GHEA Grapalat" w:hAnsi="GHEA Grapalat" w:cs="Sylfaen"/>
          <w:sz w:val="22"/>
          <w:szCs w:val="22"/>
        </w:rPr>
        <w:t>Արդյունքում ն</w:t>
      </w:r>
      <w:r w:rsidRPr="00B57DAB">
        <w:rPr>
          <w:rFonts w:ascii="GHEA Grapalat" w:hAnsi="GHEA Grapalat" w:cs="Sylfaen"/>
          <w:sz w:val="22"/>
          <w:szCs w:val="22"/>
        </w:rPr>
        <w:t>շված միջոցառման շրջանակներում օգտագործվել է 23 մլն դրամ կամ նախատեսված</w:t>
      </w:r>
      <w:r w:rsidRPr="00B57DAB">
        <w:rPr>
          <w:rFonts w:ascii="GHEA Grapalat" w:hAnsi="GHEA Grapalat" w:cs="GHEA Grapalat"/>
          <w:sz w:val="22"/>
          <w:szCs w:val="22"/>
        </w:rPr>
        <w:t xml:space="preserve"> միջոցների </w:t>
      </w:r>
      <w:r w:rsidR="00AA7FB6" w:rsidRPr="00B57DAB">
        <w:rPr>
          <w:rFonts w:ascii="GHEA Grapalat" w:hAnsi="GHEA Grapalat" w:cs="GHEA Grapalat"/>
          <w:sz w:val="22"/>
          <w:szCs w:val="22"/>
        </w:rPr>
        <w:t>14.9%-ը</w:t>
      </w:r>
      <w:r w:rsidRPr="00B57DAB">
        <w:rPr>
          <w:rFonts w:ascii="GHEA Grapalat" w:hAnsi="GHEA Grapalat" w:cs="Sylfaen"/>
          <w:sz w:val="22"/>
          <w:szCs w:val="22"/>
        </w:rPr>
        <w:t xml:space="preserve">: </w:t>
      </w:r>
    </w:p>
    <w:p w:rsidR="008B74FB" w:rsidRPr="00B57DAB" w:rsidRDefault="008B74FB" w:rsidP="008B74FB">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Sylfaen"/>
          <w:sz w:val="22"/>
          <w:szCs w:val="22"/>
        </w:rPr>
        <w:t xml:space="preserve">2021 թվականի առաջին եռամսյակի համադրելի ցուցանիշի համեմատ Բարձր տեխնոլոգիական արդյունաբերության էկոհամակարգի, թվայնացման և շուկայի զարգացման </w:t>
      </w:r>
      <w:r w:rsidRPr="00B57DAB">
        <w:rPr>
          <w:rFonts w:ascii="GHEA Grapalat" w:hAnsi="GHEA Grapalat" w:cs="Sylfaen"/>
          <w:sz w:val="22"/>
          <w:szCs w:val="22"/>
        </w:rPr>
        <w:lastRenderedPageBreak/>
        <w:t xml:space="preserve">ծրագրի շրջանակներում կատարված ծախսերը նվազել են 67.4%-ով կամ 1.6 մլրդ դրամով՝ հիմնականում պայմանավորված Համաշխարհային բանկի աջակցությամբ իրականացվող առևտրի և ենթակառուցվածքների զարգացման վարկային ծրագրի շրջանակներում </w:t>
      </w:r>
      <w:r w:rsidR="00AA7FB6" w:rsidRPr="00B57DAB">
        <w:rPr>
          <w:rFonts w:ascii="GHEA Grapalat" w:hAnsi="GHEA Grapalat" w:cs="Sylfaen"/>
          <w:sz w:val="22"/>
          <w:szCs w:val="22"/>
        </w:rPr>
        <w:t>կատար</w:t>
      </w:r>
      <w:r w:rsidRPr="00B57DAB">
        <w:rPr>
          <w:rFonts w:ascii="GHEA Grapalat" w:hAnsi="GHEA Grapalat" w:cs="Sylfaen"/>
          <w:sz w:val="22"/>
          <w:szCs w:val="22"/>
        </w:rPr>
        <w:t xml:space="preserve">ված </w:t>
      </w:r>
      <w:r w:rsidR="00AA7FB6" w:rsidRPr="00B57DAB">
        <w:rPr>
          <w:rFonts w:ascii="GHEA Grapalat" w:hAnsi="GHEA Grapalat" w:cs="Sylfaen"/>
          <w:sz w:val="22"/>
          <w:szCs w:val="22"/>
        </w:rPr>
        <w:t>ծախսերի 54.8% (</w:t>
      </w:r>
      <w:r w:rsidRPr="00B57DAB">
        <w:rPr>
          <w:rFonts w:ascii="GHEA Grapalat" w:hAnsi="GHEA Grapalat" w:cs="Sylfaen"/>
          <w:sz w:val="22"/>
          <w:szCs w:val="22"/>
        </w:rPr>
        <w:t>882.1 մլն դրամ) նվազմամբ: Բացի ա</w:t>
      </w:r>
      <w:r w:rsidRPr="00B57DAB">
        <w:rPr>
          <w:rFonts w:ascii="GHEA Grapalat" w:hAnsi="GHEA Grapalat"/>
          <w:sz w:val="22"/>
          <w:szCs w:val="22"/>
        </w:rPr>
        <w:t>յդ, 2021 թվականի առաջին եռամսյակում Կորոնավիրուսի (COVID-19) տնտեսական հետևանքների չեզոքացման 17</w:t>
      </w:r>
      <w:r w:rsidRPr="00B57DAB">
        <w:rPr>
          <w:rFonts w:ascii="GHEA Grapalat" w:hAnsi="GHEA Grapalat"/>
          <w:sz w:val="22"/>
          <w:szCs w:val="22"/>
        </w:rPr>
        <w:noBreakHyphen/>
        <w:t>րդ միջոցառման շրջանակներում հատկացվել է</w:t>
      </w:r>
      <w:r w:rsidR="00AA7FB6" w:rsidRPr="00B57DAB">
        <w:rPr>
          <w:rFonts w:ascii="GHEA Grapalat" w:hAnsi="GHEA Grapalat"/>
          <w:sz w:val="22"/>
          <w:szCs w:val="22"/>
        </w:rPr>
        <w:t>ր</w:t>
      </w:r>
      <w:r w:rsidRPr="00B57DAB">
        <w:rPr>
          <w:rFonts w:ascii="GHEA Grapalat" w:hAnsi="GHEA Grapalat"/>
          <w:sz w:val="22"/>
          <w:szCs w:val="22"/>
        </w:rPr>
        <w:t xml:space="preserve"> 636.5 մլն դրամ:</w:t>
      </w:r>
    </w:p>
    <w:p w:rsidR="008B74FB" w:rsidRPr="00B57DAB" w:rsidRDefault="008B74FB" w:rsidP="008B74FB">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GHEA Grapalat"/>
          <w:i/>
          <w:sz w:val="22"/>
          <w:szCs w:val="22"/>
        </w:rPr>
        <w:t>Պաշտպանության բնագավառում գիտական և գիտատեխնիկական նպատակային հետազոտությունների</w:t>
      </w:r>
      <w:r w:rsidRPr="00B57DAB">
        <w:rPr>
          <w:rFonts w:ascii="GHEA Grapalat" w:hAnsi="GHEA Grapalat" w:cs="GHEA Grapalat"/>
          <w:sz w:val="22"/>
          <w:szCs w:val="22"/>
        </w:rPr>
        <w:t xml:space="preserve"> ծրագրի մ</w:t>
      </w:r>
      <w:r w:rsidRPr="00B57DAB">
        <w:rPr>
          <w:rFonts w:ascii="GHEA Grapalat" w:hAnsi="GHEA Grapalat" w:cs="Sylfaen"/>
          <w:sz w:val="22"/>
          <w:szCs w:val="22"/>
        </w:rPr>
        <w:t xml:space="preserve">իջոցներն ուղղվել են «Գիտական և գիտատեխնիկական նպատակային ծրագրային հետազոտություններ» ծրագրի շրջանակներում կատարվող հատուկ գիտահետազոտական և փորձակոնստրուկտորական աշխատանքների ֆինանսավորմանը: </w:t>
      </w:r>
      <w:r w:rsidRPr="00B57DAB">
        <w:rPr>
          <w:rFonts w:ascii="GHEA Grapalat" w:hAnsi="GHEA Grapalat" w:cs="GHEA Grapalat"/>
          <w:sz w:val="22"/>
          <w:szCs w:val="22"/>
        </w:rPr>
        <w:t xml:space="preserve">Ծրագրի շրջանակներում </w:t>
      </w:r>
      <w:r w:rsidRPr="00B57DAB">
        <w:rPr>
          <w:rFonts w:ascii="GHEA Grapalat" w:hAnsi="GHEA Grapalat" w:cs="Sylfaen"/>
          <w:sz w:val="22"/>
          <w:szCs w:val="22"/>
        </w:rPr>
        <w:t>օգտագործվել է 1.4 մլրդ դրամ՝ ապահովելով 67.1% կատարողական, ինչը պայմանավորված է նրանով, որ միջազգային շուկաներում հումք-նյութերի ձեռքբերման խնդիրների հետ</w:t>
      </w:r>
      <w:r w:rsidR="00A75EF4" w:rsidRPr="00B57DAB">
        <w:rPr>
          <w:rFonts w:ascii="GHEA Grapalat" w:hAnsi="GHEA Grapalat" w:cs="Sylfaen"/>
          <w:sz w:val="22"/>
          <w:szCs w:val="22"/>
        </w:rPr>
        <w:t xml:space="preserve"> կապված</w:t>
      </w:r>
      <w:r w:rsidR="007A5868" w:rsidRPr="00B57DAB">
        <w:rPr>
          <w:rFonts w:ascii="GHEA Grapalat" w:hAnsi="GHEA Grapalat" w:cs="Sylfaen"/>
          <w:sz w:val="22"/>
          <w:szCs w:val="22"/>
        </w:rPr>
        <w:t>՝</w:t>
      </w:r>
      <w:r w:rsidRPr="00B57DAB">
        <w:rPr>
          <w:rFonts w:ascii="GHEA Grapalat" w:hAnsi="GHEA Grapalat" w:cs="Sylfaen"/>
          <w:sz w:val="22"/>
          <w:szCs w:val="22"/>
        </w:rPr>
        <w:t xml:space="preserve"> չի կնքվել գիտահետազոտական և փորձակոնստրուկտորական աշխատանքների 1 պայմանագիր:</w:t>
      </w:r>
      <w:r w:rsidRPr="00B57DAB">
        <w:rPr>
          <w:rFonts w:ascii="GHEA Grapalat" w:hAnsi="GHEA Grapalat" w:cs="GHEA Grapalat"/>
          <w:sz w:val="22"/>
          <w:szCs w:val="22"/>
        </w:rPr>
        <w:t xml:space="preserve"> Նախորդ տարվա առաջին եռամսյակ</w:t>
      </w:r>
      <w:r w:rsidR="00C8237E" w:rsidRPr="00B57DAB">
        <w:rPr>
          <w:rFonts w:ascii="GHEA Grapalat" w:hAnsi="GHEA Grapalat" w:cs="GHEA Grapalat"/>
          <w:sz w:val="22"/>
          <w:szCs w:val="22"/>
        </w:rPr>
        <w:t>ում</w:t>
      </w:r>
      <w:r w:rsidRPr="00B57DAB">
        <w:rPr>
          <w:rFonts w:ascii="GHEA Grapalat" w:hAnsi="GHEA Grapalat" w:cs="GHEA Grapalat"/>
          <w:sz w:val="22"/>
          <w:szCs w:val="22"/>
        </w:rPr>
        <w:t xml:space="preserve"> Պաշտպանության բնագավառում գիտական և գիտատեխնիկական նպատակային հետազոտությունների ծրագրին հատկացված միջոցները չէին օգտագործվել:</w:t>
      </w:r>
    </w:p>
    <w:p w:rsidR="008B74FB" w:rsidRPr="00B57DAB" w:rsidRDefault="008B74FB" w:rsidP="008B74FB">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ՀՀ ԲՏԱՆ պատասխանատվությամբ իրականացվող այլ ծրագրերից</w:t>
      </w:r>
      <w:r w:rsidRPr="00B57DAB">
        <w:rPr>
          <w:rFonts w:ascii="GHEA Grapalat" w:hAnsi="GHEA Grapalat" w:cs="GHEA Grapalat"/>
          <w:i/>
          <w:sz w:val="22"/>
          <w:szCs w:val="22"/>
        </w:rPr>
        <w:t xml:space="preserve"> Բարձր տեխնոլոգիական արդյունաբերության բնագավառում պետական քաղաքականության մշակման, ծրագրերի համակարգման և մոնիտորինգի </w:t>
      </w:r>
      <w:r w:rsidRPr="00B57DAB">
        <w:rPr>
          <w:rFonts w:ascii="GHEA Grapalat" w:hAnsi="GHEA Grapalat" w:cs="GHEA Grapalat"/>
          <w:sz w:val="22"/>
          <w:szCs w:val="22"/>
        </w:rPr>
        <w:t>ծրագրի շրջանակներում ծախսերը կազմել են շուրջ 199.3 մլն դրամ կամ ծրագրային ցուցանիշի 87.1%</w:t>
      </w:r>
      <w:r w:rsidRPr="00B57DAB">
        <w:rPr>
          <w:rFonts w:ascii="GHEA Grapalat" w:hAnsi="GHEA Grapalat" w:cs="GHEA Grapalat"/>
          <w:sz w:val="22"/>
          <w:szCs w:val="22"/>
        </w:rPr>
        <w:noBreakHyphen/>
        <w:t xml:space="preserve">ը: Շեղումը հիմնականում պայմանավորված է </w:t>
      </w:r>
      <w:r w:rsidRPr="00B57DAB">
        <w:rPr>
          <w:rFonts w:ascii="GHEA Grapalat" w:hAnsi="GHEA Grapalat" w:cs="Arial"/>
          <w:sz w:val="22"/>
          <w:szCs w:val="22"/>
        </w:rPr>
        <w:t>Ռազմարդյունաբերության</w:t>
      </w:r>
      <w:r w:rsidRPr="00B57DAB">
        <w:rPr>
          <w:rFonts w:ascii="GHEA Grapalat" w:hAnsi="GHEA Grapalat" w:cs="Sylfaen"/>
          <w:sz w:val="22"/>
          <w:szCs w:val="22"/>
        </w:rPr>
        <w:t xml:space="preserve"> բնագավառում պետական քաղաքականության մշակման խորհրդատվական, մոնիտորինգի և աջակցության ծառայությունների, ծրագրերի համակարգման ծախսերի </w:t>
      </w:r>
      <w:r w:rsidRPr="00B57DAB">
        <w:rPr>
          <w:rFonts w:ascii="GHEA Grapalat" w:hAnsi="GHEA Grapalat" w:cs="GHEA Grapalat"/>
          <w:sz w:val="22"/>
          <w:szCs w:val="22"/>
        </w:rPr>
        <w:t xml:space="preserve">58.5% </w:t>
      </w:r>
      <w:r w:rsidRPr="00B57DAB">
        <w:rPr>
          <w:rFonts w:ascii="GHEA Grapalat" w:hAnsi="GHEA Grapalat" w:cs="Sylfaen"/>
          <w:sz w:val="22"/>
          <w:szCs w:val="22"/>
        </w:rPr>
        <w:t>կատարողականով</w:t>
      </w:r>
      <w:r w:rsidRPr="00B57DAB">
        <w:rPr>
          <w:rFonts w:ascii="GHEA Grapalat" w:hAnsi="GHEA Grapalat" w:cs="GHEA Grapalat"/>
          <w:sz w:val="22"/>
          <w:szCs w:val="22"/>
        </w:rPr>
        <w:t xml:space="preserve">, որի շրջանակներում օգտագործվել է 34.4 մլն դրամ: Շեղումը պայմանավորված է </w:t>
      </w:r>
      <w:r w:rsidRPr="00B57DAB">
        <w:rPr>
          <w:rFonts w:ascii="GHEA Grapalat" w:hAnsi="GHEA Grapalat" w:cs="Sylfaen"/>
          <w:sz w:val="22"/>
          <w:szCs w:val="22"/>
        </w:rPr>
        <w:t xml:space="preserve">գործուղումների, ինչպես նաև թափուր հաստիքների առկայության հետևանքով աշխատանքի վարձատրության ծախսերի </w:t>
      </w:r>
      <w:r w:rsidR="00C8237E" w:rsidRPr="00B57DAB">
        <w:rPr>
          <w:rFonts w:ascii="GHEA Grapalat" w:hAnsi="GHEA Grapalat" w:cs="Sylfaen"/>
          <w:sz w:val="22"/>
          <w:szCs w:val="22"/>
        </w:rPr>
        <w:t>տնտեսմամբ</w:t>
      </w:r>
      <w:r w:rsidRPr="00B57DAB">
        <w:rPr>
          <w:rFonts w:ascii="GHEA Grapalat" w:hAnsi="GHEA Grapalat" w:cs="Sylfaen"/>
          <w:sz w:val="22"/>
          <w:szCs w:val="22"/>
        </w:rPr>
        <w:t>:</w:t>
      </w:r>
    </w:p>
    <w:p w:rsidR="008B74FB" w:rsidRPr="00B57DAB" w:rsidRDefault="008B74FB" w:rsidP="008B74FB">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Բարձր տեխնոլոգիաների</w:t>
      </w:r>
      <w:r w:rsidRPr="00B57DAB">
        <w:rPr>
          <w:rFonts w:ascii="GHEA Grapalat" w:hAnsi="GHEA Grapalat" w:cs="Sylfaen"/>
          <w:sz w:val="22"/>
          <w:szCs w:val="22"/>
        </w:rPr>
        <w:t xml:space="preserve">, ռազմարդյունաբերության, թվայնացման, կիբեռանվտանգության, ինովացիոն տեխնոլոգիաների, կապի, փոստի, համացանցի և տիեզերական բնագավառներում պետական քաղաքականության մշակման, ծրագրերի համակարգման և մոնիտորինգի </w:t>
      </w:r>
      <w:r w:rsidR="0033682C" w:rsidRPr="00B57DAB">
        <w:rPr>
          <w:rFonts w:ascii="GHEA Grapalat" w:hAnsi="GHEA Grapalat" w:cs="Sylfaen"/>
          <w:sz w:val="22"/>
          <w:szCs w:val="22"/>
        </w:rPr>
        <w:t xml:space="preserve">միջոցառման </w:t>
      </w:r>
      <w:r w:rsidRPr="00B57DAB">
        <w:rPr>
          <w:rFonts w:ascii="GHEA Grapalat" w:hAnsi="GHEA Grapalat" w:cs="Sylfaen"/>
          <w:sz w:val="22"/>
          <w:szCs w:val="22"/>
        </w:rPr>
        <w:t xml:space="preserve">ծախսերը կազմել են շուրջ 157 մլն դրամ՝ ապահովելով 97.5% կատարողական: Շեղումը հիմնականում պայմանավորված </w:t>
      </w:r>
      <w:r w:rsidRPr="00B57DAB">
        <w:rPr>
          <w:rFonts w:ascii="GHEA Grapalat" w:hAnsi="GHEA Grapalat" w:cs="GHEA Grapalat"/>
          <w:sz w:val="22"/>
          <w:szCs w:val="22"/>
        </w:rPr>
        <w:t>է գնման մրցույթների արդյունքում ապրանքների և ծառայությունների՝ նախատեսվածից ցածր գներով ձեռքբերմա</w:t>
      </w:r>
      <w:r w:rsidR="00C8237E" w:rsidRPr="00B57DAB">
        <w:rPr>
          <w:rFonts w:ascii="GHEA Grapalat" w:hAnsi="GHEA Grapalat" w:cs="GHEA Grapalat"/>
          <w:sz w:val="22"/>
          <w:szCs w:val="22"/>
        </w:rPr>
        <w:t>ն արդյունքում</w:t>
      </w:r>
      <w:r w:rsidRPr="00B57DAB">
        <w:rPr>
          <w:rFonts w:ascii="GHEA Grapalat" w:hAnsi="GHEA Grapalat" w:cs="GHEA Grapalat"/>
          <w:sz w:val="22"/>
          <w:szCs w:val="22"/>
        </w:rPr>
        <w:t>, ինչպես նաև գործուղումների</w:t>
      </w:r>
      <w:r w:rsidR="00C8237E" w:rsidRPr="00B57DAB">
        <w:rPr>
          <w:rFonts w:ascii="GHEA Grapalat" w:hAnsi="GHEA Grapalat" w:cs="GHEA Grapalat"/>
          <w:sz w:val="22"/>
          <w:szCs w:val="22"/>
        </w:rPr>
        <w:t xml:space="preserve"> ծախսերի գծով</w:t>
      </w:r>
      <w:r w:rsidRPr="00B57DAB">
        <w:rPr>
          <w:rFonts w:ascii="GHEA Grapalat" w:hAnsi="GHEA Grapalat" w:cs="GHEA Grapalat"/>
          <w:sz w:val="22"/>
          <w:szCs w:val="22"/>
        </w:rPr>
        <w:t xml:space="preserve"> </w:t>
      </w:r>
      <w:r w:rsidR="00C8237E" w:rsidRPr="00B57DAB">
        <w:rPr>
          <w:rFonts w:ascii="GHEA Grapalat" w:hAnsi="GHEA Grapalat" w:cs="GHEA Grapalat"/>
          <w:sz w:val="22"/>
          <w:szCs w:val="22"/>
        </w:rPr>
        <w:t xml:space="preserve">առաջացած </w:t>
      </w:r>
      <w:r w:rsidRPr="00B57DAB">
        <w:rPr>
          <w:rFonts w:ascii="GHEA Grapalat" w:hAnsi="GHEA Grapalat" w:cs="GHEA Grapalat"/>
          <w:sz w:val="22"/>
          <w:szCs w:val="22"/>
        </w:rPr>
        <w:t>տնտեսումներով:</w:t>
      </w:r>
    </w:p>
    <w:p w:rsidR="008B74FB" w:rsidRPr="00B57DAB" w:rsidRDefault="008B74FB" w:rsidP="008B74FB">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lastRenderedPageBreak/>
        <w:t>Նախորդ տարվա առաջին եռամսյակի համեմատ Բարձր տեխնոլոգիական արդյունաբերության բնագավառում պետական քաղաքականության մշակման, ծրագրերի համակարգման և մոնիտորինգի ծրագրի ծախսերն աճել են 6.1%-ով կամ 11.4 մլն դրամով, որը հիմնականում պայմանավորված</w:t>
      </w:r>
      <w:r w:rsidRPr="00B57DAB">
        <w:rPr>
          <w:rFonts w:ascii="GHEA Grapalat" w:hAnsi="GHEA Grapalat" w:cs="Sylfaen"/>
          <w:sz w:val="22"/>
          <w:szCs w:val="22"/>
        </w:rPr>
        <w:t xml:space="preserve"> է </w:t>
      </w:r>
      <w:r w:rsidRPr="00B57DAB">
        <w:rPr>
          <w:rFonts w:ascii="GHEA Grapalat" w:hAnsi="GHEA Grapalat" w:cs="GHEA Grapalat"/>
          <w:sz w:val="22"/>
          <w:szCs w:val="22"/>
        </w:rPr>
        <w:t>Բարձր տեխնոլոգիաների, ռազմարդյունաբերության, թվայնացման, կիբեռանվտանգության, ինովացիոն տեխնոլոգիաների, կապի, փոստի, համացանցի և տիեզերական բնագավառներում պետական քաղաքականության մշակման, ծրագրերի համակարգման և մոնիտորինգի միջոցառման ծախսերի 5.2% (7.8 մլն դրամ)</w:t>
      </w:r>
      <w:r w:rsidR="00C8237E" w:rsidRPr="00B57DAB">
        <w:rPr>
          <w:rFonts w:ascii="GHEA Grapalat" w:hAnsi="GHEA Grapalat" w:cs="GHEA Grapalat"/>
          <w:sz w:val="22"/>
          <w:szCs w:val="22"/>
        </w:rPr>
        <w:t xml:space="preserve"> և արտասահմանյան պաշտոնական գործուղումների գծով ծախսերի 5.2 անգամ (6.3 մլն դրամ)</w:t>
      </w:r>
      <w:r w:rsidR="006A4207" w:rsidRPr="00B57DAB">
        <w:rPr>
          <w:rFonts w:ascii="GHEA Grapalat" w:hAnsi="GHEA Grapalat" w:cs="GHEA Grapalat"/>
          <w:sz w:val="22"/>
          <w:szCs w:val="22"/>
        </w:rPr>
        <w:t xml:space="preserve"> </w:t>
      </w:r>
      <w:r w:rsidRPr="00B57DAB">
        <w:rPr>
          <w:rFonts w:ascii="GHEA Grapalat" w:hAnsi="GHEA Grapalat" w:cs="GHEA Grapalat"/>
          <w:sz w:val="22"/>
          <w:szCs w:val="22"/>
        </w:rPr>
        <w:t xml:space="preserve">աճով: </w:t>
      </w:r>
    </w:p>
    <w:p w:rsidR="003F2149" w:rsidRPr="00B57DAB" w:rsidRDefault="003F2149" w:rsidP="003F2149">
      <w:pPr>
        <w:spacing w:line="360" w:lineRule="auto"/>
        <w:ind w:firstLine="561"/>
        <w:jc w:val="both"/>
        <w:rPr>
          <w:rFonts w:ascii="GHEA Grapalat" w:hAnsi="GHEA Grapalat" w:cs="GHEA Grapalat"/>
          <w:sz w:val="22"/>
          <w:szCs w:val="22"/>
        </w:rPr>
      </w:pPr>
    </w:p>
    <w:p w:rsidR="007173F4" w:rsidRPr="00B57DAB" w:rsidRDefault="003F2149" w:rsidP="007173F4">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i/>
          <w:sz w:val="22"/>
          <w:szCs w:val="22"/>
          <w:u w:val="single"/>
          <w:lang w:val="hy-AM"/>
        </w:rPr>
        <w:t xml:space="preserve">ՀՀ </w:t>
      </w:r>
      <w:r w:rsidRPr="00B57DAB">
        <w:rPr>
          <w:rFonts w:ascii="GHEA Grapalat" w:hAnsi="GHEA Grapalat" w:cs="GHEA Grapalat"/>
          <w:i/>
          <w:sz w:val="22"/>
          <w:szCs w:val="22"/>
          <w:u w:val="single"/>
        </w:rPr>
        <w:t>ֆինանսների</w:t>
      </w:r>
      <w:r w:rsidRPr="00B57DAB">
        <w:rPr>
          <w:rFonts w:ascii="GHEA Grapalat" w:hAnsi="GHEA Grapalat" w:cs="Sylfaen"/>
          <w:i/>
          <w:sz w:val="22"/>
          <w:szCs w:val="22"/>
          <w:u w:val="single"/>
          <w:lang w:val="hy-AM"/>
        </w:rPr>
        <w:t xml:space="preserve"> նախարարության</w:t>
      </w:r>
      <w:r w:rsidR="007173F4" w:rsidRPr="00B57DAB">
        <w:rPr>
          <w:rFonts w:ascii="GHEA Grapalat" w:hAnsi="GHEA Grapalat" w:cs="Sylfaen"/>
          <w:sz w:val="22"/>
          <w:szCs w:val="22"/>
        </w:rPr>
        <w:t xml:space="preserve"> պատասխանատվության ներքո իրականացվել են </w:t>
      </w:r>
      <w:r w:rsidR="00572CF4" w:rsidRPr="00B57DAB">
        <w:rPr>
          <w:rFonts w:ascii="GHEA Grapalat" w:hAnsi="GHEA Grapalat" w:cs="Sylfaen"/>
          <w:sz w:val="22"/>
          <w:szCs w:val="22"/>
        </w:rPr>
        <w:t>3</w:t>
      </w:r>
      <w:r w:rsidR="007173F4" w:rsidRPr="00B57DAB">
        <w:rPr>
          <w:rFonts w:ascii="GHEA Grapalat" w:hAnsi="GHEA Grapalat" w:cs="Sylfaen"/>
          <w:sz w:val="22"/>
          <w:szCs w:val="22"/>
        </w:rPr>
        <w:t xml:space="preserve"> ծրագրեր, որոնց շրջանակներում 2022 թվականի առաջին եռամսյակում ՀՀ պետական բյուջեից տրամադրվել է շուրջ 39.8</w:t>
      </w:r>
      <w:r w:rsidR="007173F4" w:rsidRPr="00B57DAB">
        <w:rPr>
          <w:rFonts w:ascii="Courier New" w:hAnsi="Courier New" w:cs="Courier New"/>
          <w:sz w:val="22"/>
          <w:szCs w:val="22"/>
        </w:rPr>
        <w:t> </w:t>
      </w:r>
      <w:r w:rsidR="007173F4" w:rsidRPr="00B57DAB">
        <w:rPr>
          <w:rFonts w:ascii="GHEA Grapalat" w:hAnsi="GHEA Grapalat" w:cs="GHEA Grapalat"/>
          <w:sz w:val="22"/>
          <w:szCs w:val="22"/>
        </w:rPr>
        <w:t>մլրդ</w:t>
      </w:r>
      <w:r w:rsidR="007173F4" w:rsidRPr="00B57DAB">
        <w:rPr>
          <w:rFonts w:ascii="GHEA Grapalat" w:hAnsi="GHEA Grapalat" w:cs="Sylfaen"/>
          <w:sz w:val="22"/>
          <w:szCs w:val="22"/>
        </w:rPr>
        <w:t xml:space="preserve"> </w:t>
      </w:r>
      <w:r w:rsidR="007173F4" w:rsidRPr="00B57DAB">
        <w:rPr>
          <w:rFonts w:ascii="GHEA Grapalat" w:hAnsi="GHEA Grapalat" w:cs="GHEA Grapalat"/>
          <w:sz w:val="22"/>
          <w:szCs w:val="22"/>
        </w:rPr>
        <w:t>դրամ՝</w:t>
      </w:r>
      <w:r w:rsidR="007173F4" w:rsidRPr="00B57DAB">
        <w:rPr>
          <w:rFonts w:ascii="GHEA Grapalat" w:hAnsi="GHEA Grapalat" w:cs="Sylfaen"/>
          <w:sz w:val="22"/>
          <w:szCs w:val="22"/>
        </w:rPr>
        <w:t xml:space="preserve"> </w:t>
      </w:r>
      <w:r w:rsidR="007173F4" w:rsidRPr="00B57DAB">
        <w:rPr>
          <w:rFonts w:ascii="GHEA Grapalat" w:hAnsi="GHEA Grapalat" w:cs="GHEA Grapalat"/>
          <w:sz w:val="22"/>
          <w:szCs w:val="22"/>
        </w:rPr>
        <w:t>ապահովելով</w:t>
      </w:r>
      <w:r w:rsidR="007173F4" w:rsidRPr="00B57DAB">
        <w:rPr>
          <w:rFonts w:ascii="GHEA Grapalat" w:hAnsi="GHEA Grapalat" w:cs="Sylfaen"/>
          <w:sz w:val="22"/>
          <w:szCs w:val="22"/>
        </w:rPr>
        <w:t xml:space="preserve"> </w:t>
      </w:r>
      <w:r w:rsidR="007173F4" w:rsidRPr="00B57DAB">
        <w:rPr>
          <w:rFonts w:ascii="GHEA Grapalat" w:hAnsi="GHEA Grapalat" w:cs="GHEA Grapalat"/>
          <w:sz w:val="22"/>
          <w:szCs w:val="22"/>
        </w:rPr>
        <w:t>ծրագրի</w:t>
      </w:r>
      <w:r w:rsidR="007173F4" w:rsidRPr="00B57DAB">
        <w:rPr>
          <w:rFonts w:ascii="GHEA Grapalat" w:hAnsi="GHEA Grapalat" w:cs="Sylfaen"/>
          <w:sz w:val="22"/>
          <w:szCs w:val="22"/>
        </w:rPr>
        <w:t xml:space="preserve"> 96.4% կատարողական: 2021 թվականի առաջին եռամսյակի համեմատ նախարարության ծախսերն աճել են 3.9%-ով (1.5 մլրդ դրամով)՝ հիմնականում պայմանավորված Պետական պարտքի կառավարման ծրագրի շրջանակներում կատարված ծախսերի աճով:</w:t>
      </w:r>
    </w:p>
    <w:p w:rsidR="007173F4" w:rsidRPr="00B57DAB" w:rsidRDefault="007173F4" w:rsidP="007173F4">
      <w:pPr>
        <w:autoSpaceDE w:val="0"/>
        <w:autoSpaceDN w:val="0"/>
        <w:adjustRightInd w:val="0"/>
        <w:spacing w:line="360" w:lineRule="auto"/>
        <w:ind w:firstLine="567"/>
        <w:jc w:val="both"/>
        <w:rPr>
          <w:rFonts w:ascii="GHEA Grapalat" w:hAnsi="GHEA Grapalat" w:cs="Sylfaen"/>
          <w:sz w:val="22"/>
          <w:szCs w:val="22"/>
        </w:rPr>
      </w:pPr>
    </w:p>
    <w:p w:rsidR="007173F4" w:rsidRPr="00B57DAB" w:rsidRDefault="007173F4" w:rsidP="00770F24">
      <w:pPr>
        <w:pStyle w:val="Caption"/>
        <w:keepNext/>
        <w:numPr>
          <w:ilvl w:val="0"/>
          <w:numId w:val="8"/>
        </w:numPr>
        <w:tabs>
          <w:tab w:val="left" w:pos="1276"/>
        </w:tabs>
        <w:ind w:left="0" w:firstLine="0"/>
        <w:jc w:val="left"/>
        <w:rPr>
          <w:rFonts w:ascii="GHEA Grapalat" w:hAnsi="GHEA Grapalat"/>
          <w:i/>
          <w:sz w:val="18"/>
          <w:szCs w:val="18"/>
          <w:lang w:val="en-US"/>
        </w:rPr>
      </w:pPr>
      <w:r w:rsidRPr="00B57DAB">
        <w:rPr>
          <w:rFonts w:ascii="GHEA Grapalat" w:hAnsi="GHEA Grapalat"/>
          <w:i/>
          <w:sz w:val="18"/>
          <w:szCs w:val="18"/>
          <w:lang w:val="en-US"/>
        </w:rPr>
        <w:t>2021թ. ՀՀ ֆինանսների նախարարության կողմից իրականացված ծրագրերը (մլն դրամ)</w:t>
      </w:r>
    </w:p>
    <w:tbl>
      <w:tblPr>
        <w:tblW w:w="10237" w:type="dxa"/>
        <w:jc w:val="center"/>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0"/>
        <w:gridCol w:w="992"/>
        <w:gridCol w:w="993"/>
        <w:gridCol w:w="992"/>
        <w:gridCol w:w="1276"/>
        <w:gridCol w:w="1275"/>
        <w:gridCol w:w="1149"/>
      </w:tblGrid>
      <w:tr w:rsidR="00072BF4" w:rsidRPr="00B57DAB" w:rsidTr="00656229">
        <w:trPr>
          <w:trHeight w:val="1908"/>
          <w:jc w:val="center"/>
        </w:trPr>
        <w:tc>
          <w:tcPr>
            <w:tcW w:w="3560" w:type="dxa"/>
            <w:shd w:val="clear" w:color="auto" w:fill="auto"/>
            <w:noWrap/>
            <w:vAlign w:val="bottom"/>
            <w:hideMark/>
          </w:tcPr>
          <w:p w:rsidR="00072BF4" w:rsidRPr="00B57DAB" w:rsidRDefault="00072BF4" w:rsidP="00504BFB">
            <w:pPr>
              <w:rPr>
                <w:rFonts w:ascii="GHEA Grapalat" w:hAnsi="GHEA Grapalat" w:cs="Calibri"/>
                <w:color w:val="000000"/>
                <w:sz w:val="18"/>
                <w:szCs w:val="18"/>
              </w:rPr>
            </w:pPr>
          </w:p>
        </w:tc>
        <w:tc>
          <w:tcPr>
            <w:tcW w:w="992" w:type="dxa"/>
          </w:tcPr>
          <w:p w:rsidR="00072BF4" w:rsidRPr="00B57DAB" w:rsidRDefault="00072BF4" w:rsidP="00504BFB">
            <w:pPr>
              <w:jc w:val="center"/>
              <w:rPr>
                <w:rFonts w:ascii="GHEA Grapalat" w:hAnsi="GHEA Grapalat" w:cs="Calibri"/>
                <w:b/>
                <w:bCs/>
                <w:sz w:val="18"/>
                <w:szCs w:val="18"/>
                <w:lang w:val="hy-AM"/>
              </w:rPr>
            </w:pPr>
            <w:r w:rsidRPr="00B57DAB">
              <w:rPr>
                <w:rFonts w:ascii="GHEA Grapalat" w:hAnsi="GHEA Grapalat" w:cs="Calibri"/>
                <w:b/>
                <w:bCs/>
                <w:sz w:val="18"/>
                <w:szCs w:val="18"/>
              </w:rPr>
              <w:t>2021թ. առաջին եռամս-յակի փաստ</w:t>
            </w:r>
          </w:p>
        </w:tc>
        <w:tc>
          <w:tcPr>
            <w:tcW w:w="993" w:type="dxa"/>
          </w:tcPr>
          <w:p w:rsidR="00072BF4" w:rsidRPr="00B57DAB" w:rsidRDefault="00072BF4" w:rsidP="00504BFB">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 ճշտված պլան</w:t>
            </w:r>
          </w:p>
        </w:tc>
        <w:tc>
          <w:tcPr>
            <w:tcW w:w="992" w:type="dxa"/>
            <w:shd w:val="clear" w:color="auto" w:fill="auto"/>
            <w:noWrap/>
            <w:hideMark/>
          </w:tcPr>
          <w:p w:rsidR="00072BF4" w:rsidRPr="00B57DAB" w:rsidRDefault="00072BF4" w:rsidP="00504BFB">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 փաստ</w:t>
            </w:r>
          </w:p>
        </w:tc>
        <w:tc>
          <w:tcPr>
            <w:tcW w:w="1276" w:type="dxa"/>
          </w:tcPr>
          <w:p w:rsidR="00072BF4" w:rsidRPr="00B57DAB" w:rsidRDefault="00072BF4" w:rsidP="00504BFB">
            <w:pPr>
              <w:jc w:val="center"/>
              <w:rPr>
                <w:rFonts w:ascii="GHEA Grapalat" w:hAnsi="GHEA Grapalat" w:cs="Calibri"/>
                <w:b/>
                <w:bCs/>
                <w:sz w:val="18"/>
                <w:szCs w:val="18"/>
              </w:rPr>
            </w:pPr>
            <w:r w:rsidRPr="00B57DAB">
              <w:rPr>
                <w:rFonts w:ascii="GHEA Grapalat" w:hAnsi="GHEA Grapalat" w:cs="Calibri"/>
                <w:b/>
                <w:bCs/>
                <w:sz w:val="18"/>
                <w:szCs w:val="18"/>
                <w:lang w:val="hy-AM"/>
              </w:rPr>
              <w:t>Կատարո-ղական</w:t>
            </w:r>
            <w:r w:rsidRPr="00B57DAB">
              <w:rPr>
                <w:rFonts w:ascii="GHEA Grapalat" w:hAnsi="GHEA Grapalat" w:cs="Calibri"/>
                <w:b/>
                <w:bCs/>
                <w:sz w:val="18"/>
                <w:szCs w:val="18"/>
              </w:rPr>
              <w:t>ն առաջին եռամսյակի</w:t>
            </w:r>
            <w:r w:rsidRPr="00B57DAB">
              <w:rPr>
                <w:rFonts w:ascii="GHEA Grapalat" w:hAnsi="GHEA Grapalat" w:cs="Calibri"/>
                <w:b/>
                <w:bCs/>
                <w:sz w:val="18"/>
                <w:szCs w:val="18"/>
                <w:lang w:val="hy-AM"/>
              </w:rPr>
              <w:t xml:space="preserve"> ճշտված պլանի նկատմամբ</w:t>
            </w:r>
            <w:r w:rsidRPr="00B57DAB">
              <w:rPr>
                <w:rFonts w:ascii="GHEA Grapalat" w:hAnsi="GHEA Grapalat" w:cs="Calibri"/>
                <w:b/>
                <w:bCs/>
                <w:sz w:val="18"/>
                <w:szCs w:val="18"/>
              </w:rPr>
              <w:t xml:space="preserve"> (%)</w:t>
            </w:r>
          </w:p>
        </w:tc>
        <w:tc>
          <w:tcPr>
            <w:tcW w:w="1275" w:type="dxa"/>
          </w:tcPr>
          <w:p w:rsidR="00072BF4" w:rsidRPr="00B57DAB" w:rsidRDefault="00072BF4" w:rsidP="00504BFB">
            <w:pPr>
              <w:jc w:val="center"/>
              <w:rPr>
                <w:rFonts w:ascii="GHEA Grapalat" w:hAnsi="GHEA Grapalat" w:cs="Calibri"/>
                <w:b/>
                <w:bCs/>
                <w:sz w:val="18"/>
                <w:szCs w:val="18"/>
              </w:rPr>
            </w:pPr>
            <w:r w:rsidRPr="00B57DAB">
              <w:rPr>
                <w:rFonts w:ascii="GHEA Grapalat" w:hAnsi="GHEA Grapalat" w:cs="Calibri"/>
                <w:b/>
                <w:bCs/>
                <w:sz w:val="18"/>
                <w:szCs w:val="18"/>
              </w:rPr>
              <w:t xml:space="preserve">2022թ. առաջին եռամսյակը 2021թ. </w:t>
            </w:r>
            <w:proofErr w:type="gramStart"/>
            <w:r w:rsidRPr="00B57DAB">
              <w:rPr>
                <w:rFonts w:ascii="GHEA Grapalat" w:hAnsi="GHEA Grapalat" w:cs="Calibri"/>
                <w:b/>
                <w:bCs/>
                <w:sz w:val="18"/>
                <w:szCs w:val="18"/>
              </w:rPr>
              <w:t>առաջին</w:t>
            </w:r>
            <w:proofErr w:type="gramEnd"/>
            <w:r w:rsidRPr="00B57DAB">
              <w:rPr>
                <w:rFonts w:ascii="GHEA Grapalat" w:hAnsi="GHEA Grapalat" w:cs="Calibri"/>
                <w:b/>
                <w:bCs/>
                <w:sz w:val="18"/>
                <w:szCs w:val="18"/>
              </w:rPr>
              <w:t xml:space="preserve"> եռամսյակի նկատմամբ (%)</w:t>
            </w:r>
          </w:p>
        </w:tc>
        <w:tc>
          <w:tcPr>
            <w:tcW w:w="1149" w:type="dxa"/>
          </w:tcPr>
          <w:p w:rsidR="00072BF4" w:rsidRPr="00B57DAB" w:rsidRDefault="00072BF4" w:rsidP="00504BFB">
            <w:pPr>
              <w:jc w:val="center"/>
              <w:rPr>
                <w:rFonts w:ascii="GHEA Grapalat" w:hAnsi="GHEA Grapalat" w:cs="Calibri"/>
                <w:b/>
                <w:color w:val="000000"/>
                <w:sz w:val="18"/>
                <w:szCs w:val="18"/>
              </w:rPr>
            </w:pPr>
            <w:r w:rsidRPr="00B57DAB">
              <w:rPr>
                <w:rFonts w:ascii="GHEA Grapalat" w:hAnsi="GHEA Grapalat" w:cs="Calibri"/>
                <w:b/>
                <w:color w:val="000000"/>
                <w:sz w:val="18"/>
                <w:szCs w:val="18"/>
              </w:rPr>
              <w:t>2022թ. և 2021թ. տարբե-րությունը</w:t>
            </w:r>
          </w:p>
        </w:tc>
      </w:tr>
      <w:tr w:rsidR="00072BF4" w:rsidRPr="00B57DAB" w:rsidTr="00150C0E">
        <w:trPr>
          <w:trHeight w:val="331"/>
          <w:jc w:val="center"/>
        </w:trPr>
        <w:tc>
          <w:tcPr>
            <w:tcW w:w="3560" w:type="dxa"/>
            <w:shd w:val="clear" w:color="auto" w:fill="auto"/>
            <w:vAlign w:val="bottom"/>
          </w:tcPr>
          <w:p w:rsidR="007173F4" w:rsidRPr="00B57DAB" w:rsidRDefault="007173F4" w:rsidP="00072BF4">
            <w:pPr>
              <w:rPr>
                <w:rFonts w:ascii="GHEA Grapalat" w:hAnsi="GHEA Grapalat" w:cs="Calibri"/>
                <w:b/>
                <w:color w:val="000000"/>
                <w:sz w:val="18"/>
                <w:szCs w:val="18"/>
              </w:rPr>
            </w:pPr>
            <w:r w:rsidRPr="00B57DAB">
              <w:rPr>
                <w:rFonts w:ascii="GHEA Grapalat" w:hAnsi="GHEA Grapalat" w:cs="Calibri"/>
                <w:b/>
                <w:color w:val="000000"/>
                <w:sz w:val="18"/>
                <w:szCs w:val="18"/>
              </w:rPr>
              <w:t>ԸՆԴԱՄԵՆԸ</w:t>
            </w:r>
          </w:p>
        </w:tc>
        <w:tc>
          <w:tcPr>
            <w:tcW w:w="992" w:type="dxa"/>
            <w:vAlign w:val="bottom"/>
          </w:tcPr>
          <w:p w:rsidR="007173F4" w:rsidRPr="00B57DAB" w:rsidRDefault="007173F4" w:rsidP="00072BF4">
            <w:pPr>
              <w:jc w:val="right"/>
              <w:rPr>
                <w:rFonts w:ascii="GHEA Grapalat" w:hAnsi="GHEA Grapalat" w:cs="Calibri"/>
                <w:b/>
                <w:color w:val="000000"/>
                <w:sz w:val="18"/>
                <w:szCs w:val="18"/>
              </w:rPr>
            </w:pPr>
            <w:r w:rsidRPr="00B57DAB">
              <w:rPr>
                <w:rFonts w:ascii="GHEA Grapalat" w:hAnsi="GHEA Grapalat" w:cs="Calibri"/>
                <w:b/>
                <w:color w:val="000000"/>
                <w:sz w:val="18"/>
                <w:szCs w:val="18"/>
              </w:rPr>
              <w:t>38,283.2</w:t>
            </w:r>
          </w:p>
        </w:tc>
        <w:tc>
          <w:tcPr>
            <w:tcW w:w="993" w:type="dxa"/>
            <w:vAlign w:val="bottom"/>
          </w:tcPr>
          <w:p w:rsidR="007173F4" w:rsidRPr="00B57DAB" w:rsidRDefault="007173F4" w:rsidP="00072BF4">
            <w:pPr>
              <w:jc w:val="right"/>
              <w:rPr>
                <w:rFonts w:ascii="GHEA Grapalat" w:hAnsi="GHEA Grapalat" w:cs="Calibri"/>
                <w:b/>
                <w:color w:val="000000"/>
                <w:sz w:val="18"/>
                <w:szCs w:val="18"/>
              </w:rPr>
            </w:pPr>
            <w:r w:rsidRPr="00B57DAB">
              <w:rPr>
                <w:rFonts w:ascii="GHEA Grapalat" w:hAnsi="GHEA Grapalat" w:cs="Calibri"/>
                <w:b/>
                <w:color w:val="000000"/>
                <w:sz w:val="18"/>
                <w:szCs w:val="18"/>
              </w:rPr>
              <w:t>41,269.0</w:t>
            </w:r>
          </w:p>
        </w:tc>
        <w:tc>
          <w:tcPr>
            <w:tcW w:w="992" w:type="dxa"/>
            <w:shd w:val="clear" w:color="auto" w:fill="auto"/>
            <w:vAlign w:val="bottom"/>
          </w:tcPr>
          <w:p w:rsidR="007173F4" w:rsidRPr="00B57DAB" w:rsidRDefault="007173F4" w:rsidP="00072BF4">
            <w:pPr>
              <w:jc w:val="right"/>
              <w:rPr>
                <w:rFonts w:ascii="GHEA Grapalat" w:hAnsi="GHEA Grapalat" w:cs="Calibri"/>
                <w:b/>
                <w:color w:val="000000"/>
                <w:sz w:val="18"/>
                <w:szCs w:val="18"/>
              </w:rPr>
            </w:pPr>
            <w:r w:rsidRPr="00B57DAB">
              <w:rPr>
                <w:rFonts w:ascii="GHEA Grapalat" w:hAnsi="GHEA Grapalat" w:cs="Calibri"/>
                <w:b/>
                <w:color w:val="000000"/>
                <w:sz w:val="18"/>
                <w:szCs w:val="18"/>
              </w:rPr>
              <w:t>39,792.0</w:t>
            </w:r>
          </w:p>
        </w:tc>
        <w:tc>
          <w:tcPr>
            <w:tcW w:w="1276" w:type="dxa"/>
            <w:vAlign w:val="bottom"/>
          </w:tcPr>
          <w:p w:rsidR="007173F4" w:rsidRPr="00B57DAB" w:rsidRDefault="007173F4" w:rsidP="00072BF4">
            <w:pPr>
              <w:jc w:val="right"/>
              <w:rPr>
                <w:rFonts w:ascii="GHEA Grapalat" w:hAnsi="GHEA Grapalat" w:cs="Calibri"/>
                <w:b/>
                <w:color w:val="000000"/>
                <w:sz w:val="18"/>
                <w:szCs w:val="18"/>
              </w:rPr>
            </w:pPr>
            <w:r w:rsidRPr="00B57DAB">
              <w:rPr>
                <w:rFonts w:ascii="GHEA Grapalat" w:hAnsi="GHEA Grapalat" w:cs="Calibri"/>
                <w:b/>
                <w:color w:val="000000"/>
                <w:sz w:val="18"/>
                <w:szCs w:val="18"/>
              </w:rPr>
              <w:t>96.4</w:t>
            </w:r>
          </w:p>
        </w:tc>
        <w:tc>
          <w:tcPr>
            <w:tcW w:w="1275" w:type="dxa"/>
            <w:vAlign w:val="bottom"/>
          </w:tcPr>
          <w:p w:rsidR="007173F4" w:rsidRPr="00B57DAB" w:rsidRDefault="007173F4" w:rsidP="00072BF4">
            <w:pPr>
              <w:jc w:val="right"/>
              <w:rPr>
                <w:rFonts w:ascii="GHEA Grapalat" w:hAnsi="GHEA Grapalat" w:cs="Calibri"/>
                <w:b/>
                <w:color w:val="000000"/>
                <w:sz w:val="18"/>
                <w:szCs w:val="18"/>
              </w:rPr>
            </w:pPr>
            <w:r w:rsidRPr="00B57DAB">
              <w:rPr>
                <w:rFonts w:ascii="GHEA Grapalat" w:hAnsi="GHEA Grapalat" w:cs="Calibri"/>
                <w:b/>
                <w:color w:val="000000"/>
                <w:sz w:val="18"/>
                <w:szCs w:val="18"/>
              </w:rPr>
              <w:t>103.9</w:t>
            </w:r>
          </w:p>
        </w:tc>
        <w:tc>
          <w:tcPr>
            <w:tcW w:w="1149" w:type="dxa"/>
            <w:vAlign w:val="bottom"/>
          </w:tcPr>
          <w:p w:rsidR="007173F4" w:rsidRPr="00B57DAB" w:rsidRDefault="007173F4" w:rsidP="00072BF4">
            <w:pPr>
              <w:jc w:val="right"/>
              <w:rPr>
                <w:rFonts w:ascii="GHEA Grapalat" w:hAnsi="GHEA Grapalat" w:cs="Calibri"/>
                <w:b/>
                <w:color w:val="000000"/>
                <w:sz w:val="18"/>
                <w:szCs w:val="18"/>
              </w:rPr>
            </w:pPr>
            <w:r w:rsidRPr="00B57DAB">
              <w:rPr>
                <w:rFonts w:ascii="GHEA Grapalat" w:hAnsi="GHEA Grapalat" w:cs="Calibri"/>
                <w:b/>
                <w:color w:val="000000"/>
                <w:sz w:val="18"/>
                <w:szCs w:val="18"/>
              </w:rPr>
              <w:t>1,508.9</w:t>
            </w:r>
          </w:p>
        </w:tc>
      </w:tr>
      <w:tr w:rsidR="00072BF4" w:rsidRPr="00B57DAB" w:rsidTr="00150C0E">
        <w:trPr>
          <w:trHeight w:val="339"/>
          <w:jc w:val="center"/>
        </w:trPr>
        <w:tc>
          <w:tcPr>
            <w:tcW w:w="3560" w:type="dxa"/>
            <w:shd w:val="clear" w:color="auto" w:fill="auto"/>
            <w:vAlign w:val="bottom"/>
            <w:hideMark/>
          </w:tcPr>
          <w:p w:rsidR="007173F4" w:rsidRPr="00B57DAB" w:rsidRDefault="007173F4" w:rsidP="00072BF4">
            <w:pPr>
              <w:rPr>
                <w:rFonts w:ascii="GHEA Grapalat" w:hAnsi="GHEA Grapalat" w:cs="Calibri"/>
                <w:color w:val="000000"/>
                <w:sz w:val="18"/>
                <w:szCs w:val="18"/>
              </w:rPr>
            </w:pPr>
            <w:r w:rsidRPr="00B57DAB">
              <w:rPr>
                <w:rFonts w:ascii="GHEA Grapalat" w:hAnsi="GHEA Grapalat" w:cs="Calibri"/>
                <w:color w:val="000000"/>
                <w:sz w:val="18"/>
                <w:szCs w:val="18"/>
              </w:rPr>
              <w:t>Պետական պարտքի կառավարում</w:t>
            </w:r>
          </w:p>
        </w:tc>
        <w:tc>
          <w:tcPr>
            <w:tcW w:w="992" w:type="dxa"/>
            <w:vAlign w:val="bottom"/>
          </w:tcPr>
          <w:p w:rsidR="007173F4" w:rsidRPr="00B57DAB" w:rsidRDefault="007173F4" w:rsidP="00072BF4">
            <w:pPr>
              <w:jc w:val="right"/>
              <w:rPr>
                <w:rFonts w:ascii="GHEA Grapalat" w:hAnsi="GHEA Grapalat" w:cs="Calibri"/>
                <w:color w:val="000000"/>
                <w:sz w:val="18"/>
                <w:szCs w:val="18"/>
              </w:rPr>
            </w:pPr>
            <w:r w:rsidRPr="00B57DAB">
              <w:rPr>
                <w:rFonts w:ascii="GHEA Grapalat" w:hAnsi="GHEA Grapalat" w:cs="Calibri"/>
                <w:color w:val="000000"/>
                <w:sz w:val="18"/>
                <w:szCs w:val="18"/>
              </w:rPr>
              <w:t>37,746.1</w:t>
            </w:r>
          </w:p>
        </w:tc>
        <w:tc>
          <w:tcPr>
            <w:tcW w:w="993" w:type="dxa"/>
            <w:vAlign w:val="bottom"/>
          </w:tcPr>
          <w:p w:rsidR="007173F4" w:rsidRPr="00B57DAB" w:rsidRDefault="007173F4" w:rsidP="00072BF4">
            <w:pPr>
              <w:jc w:val="right"/>
              <w:rPr>
                <w:rFonts w:ascii="GHEA Grapalat" w:hAnsi="GHEA Grapalat" w:cs="Calibri"/>
                <w:color w:val="000000"/>
                <w:sz w:val="18"/>
                <w:szCs w:val="18"/>
              </w:rPr>
            </w:pPr>
            <w:r w:rsidRPr="00B57DAB">
              <w:rPr>
                <w:rFonts w:ascii="GHEA Grapalat" w:hAnsi="GHEA Grapalat" w:cs="Calibri"/>
                <w:color w:val="000000"/>
                <w:sz w:val="18"/>
                <w:szCs w:val="18"/>
              </w:rPr>
              <w:t>40,479.1</w:t>
            </w:r>
          </w:p>
        </w:tc>
        <w:tc>
          <w:tcPr>
            <w:tcW w:w="992" w:type="dxa"/>
            <w:shd w:val="clear" w:color="auto" w:fill="auto"/>
            <w:vAlign w:val="bottom"/>
            <w:hideMark/>
          </w:tcPr>
          <w:p w:rsidR="007173F4" w:rsidRPr="00B57DAB" w:rsidRDefault="00072BF4" w:rsidP="00072BF4">
            <w:pPr>
              <w:jc w:val="right"/>
              <w:rPr>
                <w:rFonts w:ascii="GHEA Grapalat" w:hAnsi="GHEA Grapalat" w:cs="Calibri"/>
                <w:color w:val="000000"/>
                <w:sz w:val="18"/>
                <w:szCs w:val="18"/>
              </w:rPr>
            </w:pPr>
            <w:r w:rsidRPr="00B57DAB">
              <w:rPr>
                <w:rFonts w:ascii="GHEA Grapalat" w:hAnsi="GHEA Grapalat" w:cs="Calibri"/>
                <w:color w:val="000000"/>
                <w:sz w:val="18"/>
                <w:szCs w:val="18"/>
              </w:rPr>
              <w:t xml:space="preserve"> </w:t>
            </w:r>
            <w:r w:rsidR="007173F4" w:rsidRPr="00B57DAB">
              <w:rPr>
                <w:rFonts w:ascii="GHEA Grapalat" w:hAnsi="GHEA Grapalat" w:cs="Calibri"/>
                <w:color w:val="000000"/>
                <w:sz w:val="18"/>
                <w:szCs w:val="18"/>
              </w:rPr>
              <w:t>39,159.0</w:t>
            </w:r>
          </w:p>
        </w:tc>
        <w:tc>
          <w:tcPr>
            <w:tcW w:w="1276" w:type="dxa"/>
            <w:vAlign w:val="bottom"/>
          </w:tcPr>
          <w:p w:rsidR="007173F4" w:rsidRPr="00B57DAB" w:rsidRDefault="007173F4" w:rsidP="00072BF4">
            <w:pPr>
              <w:jc w:val="right"/>
              <w:rPr>
                <w:rFonts w:ascii="GHEA Grapalat" w:hAnsi="GHEA Grapalat" w:cs="Calibri"/>
                <w:color w:val="000000"/>
                <w:sz w:val="18"/>
                <w:szCs w:val="18"/>
              </w:rPr>
            </w:pPr>
            <w:r w:rsidRPr="00B57DAB">
              <w:rPr>
                <w:rFonts w:ascii="GHEA Grapalat" w:hAnsi="GHEA Grapalat" w:cs="Calibri"/>
                <w:color w:val="000000"/>
                <w:sz w:val="18"/>
                <w:szCs w:val="18"/>
              </w:rPr>
              <w:t>96.7</w:t>
            </w:r>
          </w:p>
        </w:tc>
        <w:tc>
          <w:tcPr>
            <w:tcW w:w="1275" w:type="dxa"/>
            <w:vAlign w:val="bottom"/>
          </w:tcPr>
          <w:p w:rsidR="007173F4" w:rsidRPr="00B57DAB" w:rsidRDefault="007173F4" w:rsidP="00072BF4">
            <w:pPr>
              <w:jc w:val="right"/>
              <w:rPr>
                <w:rFonts w:ascii="GHEA Grapalat" w:hAnsi="GHEA Grapalat" w:cs="Calibri"/>
                <w:color w:val="000000"/>
                <w:sz w:val="18"/>
                <w:szCs w:val="18"/>
              </w:rPr>
            </w:pPr>
            <w:r w:rsidRPr="00B57DAB">
              <w:rPr>
                <w:rFonts w:ascii="GHEA Grapalat" w:hAnsi="GHEA Grapalat" w:cs="Calibri"/>
                <w:color w:val="000000"/>
                <w:sz w:val="18"/>
                <w:szCs w:val="18"/>
              </w:rPr>
              <w:t>103.7</w:t>
            </w:r>
          </w:p>
        </w:tc>
        <w:tc>
          <w:tcPr>
            <w:tcW w:w="1149" w:type="dxa"/>
            <w:vAlign w:val="bottom"/>
          </w:tcPr>
          <w:p w:rsidR="007173F4" w:rsidRPr="00B57DAB" w:rsidRDefault="007173F4" w:rsidP="00072BF4">
            <w:pPr>
              <w:jc w:val="right"/>
              <w:rPr>
                <w:rFonts w:ascii="GHEA Grapalat" w:hAnsi="GHEA Grapalat" w:cs="Calibri"/>
                <w:color w:val="000000"/>
                <w:sz w:val="18"/>
                <w:szCs w:val="18"/>
              </w:rPr>
            </w:pPr>
            <w:r w:rsidRPr="00B57DAB">
              <w:rPr>
                <w:rFonts w:ascii="GHEA Grapalat" w:hAnsi="GHEA Grapalat" w:cs="Calibri"/>
                <w:color w:val="000000"/>
                <w:sz w:val="18"/>
                <w:szCs w:val="18"/>
              </w:rPr>
              <w:t>1,412.9</w:t>
            </w:r>
          </w:p>
        </w:tc>
      </w:tr>
      <w:tr w:rsidR="00072BF4" w:rsidRPr="00B57DAB" w:rsidTr="00150C0E">
        <w:trPr>
          <w:trHeight w:val="300"/>
          <w:jc w:val="center"/>
        </w:trPr>
        <w:tc>
          <w:tcPr>
            <w:tcW w:w="3560" w:type="dxa"/>
            <w:shd w:val="clear" w:color="auto" w:fill="auto"/>
            <w:vAlign w:val="bottom"/>
            <w:hideMark/>
          </w:tcPr>
          <w:p w:rsidR="007173F4" w:rsidRPr="00B57DAB" w:rsidRDefault="007173F4" w:rsidP="00072BF4">
            <w:pPr>
              <w:rPr>
                <w:rFonts w:ascii="GHEA Grapalat" w:hAnsi="GHEA Grapalat" w:cs="Calibri"/>
                <w:color w:val="000000"/>
                <w:sz w:val="18"/>
                <w:szCs w:val="18"/>
              </w:rPr>
            </w:pPr>
            <w:r w:rsidRPr="00B57DAB">
              <w:rPr>
                <w:rFonts w:ascii="GHEA Grapalat" w:hAnsi="GHEA Grapalat" w:cs="Calibri"/>
                <w:color w:val="000000"/>
                <w:sz w:val="18"/>
                <w:szCs w:val="18"/>
              </w:rPr>
              <w:t>Հանրային ֆինանսների կառավարման բնագավառում պետական քաղաքակա</w:t>
            </w:r>
            <w:r w:rsidR="00150C0E" w:rsidRPr="00B57DAB">
              <w:rPr>
                <w:rFonts w:ascii="GHEA Grapalat" w:hAnsi="GHEA Grapalat" w:cs="Calibri"/>
                <w:color w:val="000000"/>
                <w:sz w:val="18"/>
                <w:szCs w:val="18"/>
              </w:rPr>
              <w:t>-</w:t>
            </w:r>
            <w:r w:rsidRPr="00B57DAB">
              <w:rPr>
                <w:rFonts w:ascii="GHEA Grapalat" w:hAnsi="GHEA Grapalat" w:cs="Calibri"/>
                <w:color w:val="000000"/>
                <w:sz w:val="18"/>
                <w:szCs w:val="18"/>
              </w:rPr>
              <w:t>նության մշակում, ծրագրերի համակար</w:t>
            </w:r>
            <w:r w:rsidR="00150C0E" w:rsidRPr="00B57DAB">
              <w:rPr>
                <w:rFonts w:ascii="GHEA Grapalat" w:hAnsi="GHEA Grapalat" w:cs="Calibri"/>
                <w:color w:val="000000"/>
                <w:sz w:val="18"/>
                <w:szCs w:val="18"/>
              </w:rPr>
              <w:t>-</w:t>
            </w:r>
            <w:r w:rsidRPr="00B57DAB">
              <w:rPr>
                <w:rFonts w:ascii="GHEA Grapalat" w:hAnsi="GHEA Grapalat" w:cs="Calibri"/>
                <w:color w:val="000000"/>
                <w:sz w:val="18"/>
                <w:szCs w:val="18"/>
              </w:rPr>
              <w:t>գում և մոնիտորինգ</w:t>
            </w:r>
          </w:p>
        </w:tc>
        <w:tc>
          <w:tcPr>
            <w:tcW w:w="992" w:type="dxa"/>
            <w:vAlign w:val="bottom"/>
          </w:tcPr>
          <w:p w:rsidR="007173F4" w:rsidRPr="00B57DAB" w:rsidRDefault="007173F4" w:rsidP="00072BF4">
            <w:pPr>
              <w:jc w:val="right"/>
              <w:rPr>
                <w:rFonts w:ascii="GHEA Grapalat" w:hAnsi="GHEA Grapalat" w:cs="Calibri"/>
                <w:color w:val="000000"/>
                <w:sz w:val="18"/>
                <w:szCs w:val="18"/>
              </w:rPr>
            </w:pPr>
            <w:r w:rsidRPr="00B57DAB">
              <w:rPr>
                <w:rFonts w:ascii="GHEA Grapalat" w:hAnsi="GHEA Grapalat" w:cs="Calibri"/>
                <w:color w:val="000000"/>
                <w:sz w:val="18"/>
                <w:szCs w:val="18"/>
              </w:rPr>
              <w:t>517.1</w:t>
            </w:r>
          </w:p>
        </w:tc>
        <w:tc>
          <w:tcPr>
            <w:tcW w:w="993" w:type="dxa"/>
            <w:vAlign w:val="bottom"/>
          </w:tcPr>
          <w:p w:rsidR="007173F4" w:rsidRPr="00B57DAB" w:rsidRDefault="007173F4" w:rsidP="00072BF4">
            <w:pPr>
              <w:jc w:val="right"/>
              <w:rPr>
                <w:rFonts w:ascii="GHEA Grapalat" w:hAnsi="GHEA Grapalat" w:cs="Calibri"/>
                <w:color w:val="000000"/>
                <w:sz w:val="18"/>
                <w:szCs w:val="18"/>
              </w:rPr>
            </w:pPr>
            <w:r w:rsidRPr="00B57DAB">
              <w:rPr>
                <w:rFonts w:ascii="GHEA Grapalat" w:hAnsi="GHEA Grapalat" w:cs="Calibri"/>
                <w:color w:val="000000"/>
                <w:sz w:val="18"/>
                <w:szCs w:val="18"/>
              </w:rPr>
              <w:t>753.4</w:t>
            </w:r>
          </w:p>
        </w:tc>
        <w:tc>
          <w:tcPr>
            <w:tcW w:w="992" w:type="dxa"/>
            <w:shd w:val="clear" w:color="auto" w:fill="auto"/>
            <w:vAlign w:val="bottom"/>
            <w:hideMark/>
          </w:tcPr>
          <w:p w:rsidR="007173F4" w:rsidRPr="00B57DAB" w:rsidRDefault="007173F4" w:rsidP="00072BF4">
            <w:pPr>
              <w:jc w:val="right"/>
              <w:rPr>
                <w:rFonts w:ascii="GHEA Grapalat" w:hAnsi="GHEA Grapalat" w:cs="Calibri"/>
                <w:color w:val="000000"/>
                <w:sz w:val="18"/>
                <w:szCs w:val="18"/>
              </w:rPr>
            </w:pPr>
            <w:r w:rsidRPr="00B57DAB">
              <w:rPr>
                <w:rFonts w:ascii="GHEA Grapalat" w:hAnsi="GHEA Grapalat" w:cs="Calibri"/>
                <w:color w:val="000000"/>
                <w:sz w:val="18"/>
                <w:szCs w:val="18"/>
              </w:rPr>
              <w:t>613.3</w:t>
            </w:r>
          </w:p>
        </w:tc>
        <w:tc>
          <w:tcPr>
            <w:tcW w:w="1276" w:type="dxa"/>
            <w:vAlign w:val="bottom"/>
          </w:tcPr>
          <w:p w:rsidR="007173F4" w:rsidRPr="00B57DAB" w:rsidRDefault="007173F4" w:rsidP="00072BF4">
            <w:pPr>
              <w:jc w:val="right"/>
              <w:rPr>
                <w:rFonts w:ascii="GHEA Grapalat" w:hAnsi="GHEA Grapalat" w:cs="Calibri"/>
                <w:color w:val="000000"/>
                <w:sz w:val="18"/>
                <w:szCs w:val="18"/>
              </w:rPr>
            </w:pPr>
            <w:r w:rsidRPr="00B57DAB">
              <w:rPr>
                <w:rFonts w:ascii="GHEA Grapalat" w:hAnsi="GHEA Grapalat" w:cs="Calibri"/>
                <w:color w:val="000000"/>
                <w:sz w:val="18"/>
                <w:szCs w:val="18"/>
              </w:rPr>
              <w:t>81.4</w:t>
            </w:r>
          </w:p>
        </w:tc>
        <w:tc>
          <w:tcPr>
            <w:tcW w:w="1275" w:type="dxa"/>
            <w:vAlign w:val="bottom"/>
          </w:tcPr>
          <w:p w:rsidR="007173F4" w:rsidRPr="00B57DAB" w:rsidRDefault="007173F4" w:rsidP="00072BF4">
            <w:pPr>
              <w:jc w:val="right"/>
              <w:rPr>
                <w:rFonts w:ascii="GHEA Grapalat" w:hAnsi="GHEA Grapalat" w:cs="Calibri"/>
                <w:color w:val="000000"/>
                <w:sz w:val="18"/>
                <w:szCs w:val="18"/>
              </w:rPr>
            </w:pPr>
            <w:r w:rsidRPr="00B57DAB">
              <w:rPr>
                <w:rFonts w:ascii="GHEA Grapalat" w:hAnsi="GHEA Grapalat" w:cs="Calibri"/>
                <w:color w:val="000000"/>
                <w:sz w:val="18"/>
                <w:szCs w:val="18"/>
              </w:rPr>
              <w:t>118.6</w:t>
            </w:r>
          </w:p>
        </w:tc>
        <w:tc>
          <w:tcPr>
            <w:tcW w:w="1149" w:type="dxa"/>
            <w:vAlign w:val="bottom"/>
          </w:tcPr>
          <w:p w:rsidR="007173F4" w:rsidRPr="00B57DAB" w:rsidRDefault="007173F4" w:rsidP="00072BF4">
            <w:pPr>
              <w:jc w:val="right"/>
              <w:rPr>
                <w:rFonts w:ascii="GHEA Grapalat" w:hAnsi="GHEA Grapalat" w:cs="Calibri"/>
                <w:color w:val="000000"/>
                <w:sz w:val="18"/>
                <w:szCs w:val="18"/>
              </w:rPr>
            </w:pPr>
            <w:r w:rsidRPr="00B57DAB">
              <w:rPr>
                <w:rFonts w:ascii="GHEA Grapalat" w:hAnsi="GHEA Grapalat" w:cs="Calibri"/>
                <w:color w:val="000000"/>
                <w:sz w:val="18"/>
                <w:szCs w:val="18"/>
              </w:rPr>
              <w:t>96.2</w:t>
            </w:r>
          </w:p>
        </w:tc>
      </w:tr>
      <w:tr w:rsidR="00072BF4" w:rsidRPr="00B57DAB" w:rsidTr="00150C0E">
        <w:trPr>
          <w:trHeight w:val="300"/>
          <w:jc w:val="center"/>
        </w:trPr>
        <w:tc>
          <w:tcPr>
            <w:tcW w:w="3560" w:type="dxa"/>
            <w:shd w:val="clear" w:color="auto" w:fill="auto"/>
            <w:vAlign w:val="bottom"/>
            <w:hideMark/>
          </w:tcPr>
          <w:p w:rsidR="007173F4" w:rsidRPr="00B57DAB" w:rsidRDefault="007173F4" w:rsidP="00072BF4">
            <w:pPr>
              <w:rPr>
                <w:rFonts w:ascii="GHEA Grapalat" w:hAnsi="GHEA Grapalat" w:cs="Calibri"/>
                <w:color w:val="000000"/>
                <w:sz w:val="18"/>
                <w:szCs w:val="18"/>
              </w:rPr>
            </w:pPr>
            <w:r w:rsidRPr="00B57DAB">
              <w:rPr>
                <w:rFonts w:ascii="GHEA Grapalat" w:hAnsi="GHEA Grapalat" w:cs="Calibri"/>
                <w:color w:val="000000"/>
                <w:sz w:val="18"/>
                <w:szCs w:val="18"/>
              </w:rPr>
              <w:t>Այլ ծրագրեր</w:t>
            </w:r>
          </w:p>
        </w:tc>
        <w:tc>
          <w:tcPr>
            <w:tcW w:w="992" w:type="dxa"/>
            <w:vAlign w:val="bottom"/>
          </w:tcPr>
          <w:p w:rsidR="007173F4" w:rsidRPr="00B57DAB" w:rsidRDefault="007173F4" w:rsidP="00072BF4">
            <w:pPr>
              <w:jc w:val="right"/>
              <w:rPr>
                <w:rFonts w:ascii="GHEA Grapalat" w:hAnsi="GHEA Grapalat" w:cs="Calibri"/>
                <w:color w:val="000000"/>
                <w:sz w:val="18"/>
                <w:szCs w:val="18"/>
              </w:rPr>
            </w:pPr>
            <w:r w:rsidRPr="00B57DAB">
              <w:rPr>
                <w:rFonts w:ascii="GHEA Grapalat" w:hAnsi="GHEA Grapalat" w:cs="Calibri"/>
                <w:color w:val="000000"/>
                <w:sz w:val="18"/>
                <w:szCs w:val="18"/>
              </w:rPr>
              <w:t>20.0</w:t>
            </w:r>
          </w:p>
        </w:tc>
        <w:tc>
          <w:tcPr>
            <w:tcW w:w="993" w:type="dxa"/>
            <w:vAlign w:val="bottom"/>
          </w:tcPr>
          <w:p w:rsidR="007173F4" w:rsidRPr="00B57DAB" w:rsidRDefault="007173F4" w:rsidP="006F1E80">
            <w:pPr>
              <w:jc w:val="right"/>
              <w:rPr>
                <w:rFonts w:ascii="GHEA Grapalat" w:hAnsi="GHEA Grapalat" w:cs="Calibri"/>
                <w:color w:val="000000"/>
                <w:sz w:val="18"/>
                <w:szCs w:val="18"/>
              </w:rPr>
            </w:pPr>
            <w:r w:rsidRPr="00B57DAB">
              <w:rPr>
                <w:rFonts w:ascii="GHEA Grapalat" w:hAnsi="GHEA Grapalat" w:cs="Calibri"/>
                <w:color w:val="000000"/>
                <w:sz w:val="18"/>
                <w:szCs w:val="18"/>
              </w:rPr>
              <w:t>36.</w:t>
            </w:r>
            <w:r w:rsidR="006F1E80" w:rsidRPr="00B57DAB">
              <w:rPr>
                <w:rFonts w:ascii="GHEA Grapalat" w:hAnsi="GHEA Grapalat" w:cs="Calibri"/>
                <w:color w:val="000000"/>
                <w:sz w:val="18"/>
                <w:szCs w:val="18"/>
              </w:rPr>
              <w:t>6</w:t>
            </w:r>
          </w:p>
        </w:tc>
        <w:tc>
          <w:tcPr>
            <w:tcW w:w="992" w:type="dxa"/>
            <w:shd w:val="clear" w:color="auto" w:fill="auto"/>
            <w:vAlign w:val="bottom"/>
            <w:hideMark/>
          </w:tcPr>
          <w:p w:rsidR="007173F4" w:rsidRPr="00B57DAB" w:rsidRDefault="007173F4" w:rsidP="00072BF4">
            <w:pPr>
              <w:jc w:val="right"/>
              <w:rPr>
                <w:rFonts w:ascii="GHEA Grapalat" w:hAnsi="GHEA Grapalat" w:cs="Calibri"/>
                <w:color w:val="000000"/>
                <w:sz w:val="18"/>
                <w:szCs w:val="18"/>
              </w:rPr>
            </w:pPr>
            <w:r w:rsidRPr="00B57DAB">
              <w:rPr>
                <w:rFonts w:ascii="GHEA Grapalat" w:hAnsi="GHEA Grapalat" w:cs="Calibri"/>
                <w:color w:val="000000"/>
                <w:sz w:val="18"/>
                <w:szCs w:val="18"/>
              </w:rPr>
              <w:t>19.7</w:t>
            </w:r>
          </w:p>
        </w:tc>
        <w:tc>
          <w:tcPr>
            <w:tcW w:w="1276" w:type="dxa"/>
            <w:vAlign w:val="bottom"/>
          </w:tcPr>
          <w:p w:rsidR="007173F4" w:rsidRPr="00B57DAB" w:rsidRDefault="007173F4" w:rsidP="006F1E80">
            <w:pPr>
              <w:jc w:val="right"/>
              <w:rPr>
                <w:rFonts w:ascii="GHEA Grapalat" w:hAnsi="GHEA Grapalat" w:cs="Calibri"/>
                <w:color w:val="000000"/>
                <w:sz w:val="18"/>
                <w:szCs w:val="18"/>
              </w:rPr>
            </w:pPr>
            <w:r w:rsidRPr="00B57DAB">
              <w:rPr>
                <w:rFonts w:ascii="GHEA Grapalat" w:hAnsi="GHEA Grapalat" w:cs="Calibri"/>
                <w:color w:val="000000"/>
                <w:sz w:val="18"/>
                <w:szCs w:val="18"/>
              </w:rPr>
              <w:t>5</w:t>
            </w:r>
            <w:r w:rsidR="006F1E80" w:rsidRPr="00B57DAB">
              <w:rPr>
                <w:rFonts w:ascii="GHEA Grapalat" w:hAnsi="GHEA Grapalat" w:cs="Calibri"/>
                <w:color w:val="000000"/>
                <w:sz w:val="18"/>
                <w:szCs w:val="18"/>
              </w:rPr>
              <w:t>3.9</w:t>
            </w:r>
          </w:p>
        </w:tc>
        <w:tc>
          <w:tcPr>
            <w:tcW w:w="1275" w:type="dxa"/>
            <w:vAlign w:val="bottom"/>
          </w:tcPr>
          <w:p w:rsidR="007173F4" w:rsidRPr="00B57DAB" w:rsidRDefault="007173F4" w:rsidP="00072BF4">
            <w:pPr>
              <w:jc w:val="right"/>
              <w:rPr>
                <w:rFonts w:ascii="GHEA Grapalat" w:hAnsi="GHEA Grapalat" w:cs="Calibri"/>
                <w:color w:val="000000"/>
                <w:sz w:val="18"/>
                <w:szCs w:val="18"/>
              </w:rPr>
            </w:pPr>
            <w:r w:rsidRPr="00B57DAB">
              <w:rPr>
                <w:rFonts w:ascii="GHEA Grapalat" w:hAnsi="GHEA Grapalat" w:cs="Calibri"/>
                <w:color w:val="000000"/>
                <w:sz w:val="18"/>
                <w:szCs w:val="18"/>
              </w:rPr>
              <w:t>98.</w:t>
            </w:r>
            <w:r w:rsidR="006F1E80" w:rsidRPr="00B57DAB">
              <w:rPr>
                <w:rFonts w:ascii="GHEA Grapalat" w:hAnsi="GHEA Grapalat" w:cs="Calibri"/>
                <w:color w:val="000000"/>
                <w:sz w:val="18"/>
                <w:szCs w:val="18"/>
              </w:rPr>
              <w:t>7</w:t>
            </w:r>
          </w:p>
        </w:tc>
        <w:tc>
          <w:tcPr>
            <w:tcW w:w="1149" w:type="dxa"/>
            <w:vAlign w:val="bottom"/>
          </w:tcPr>
          <w:p w:rsidR="007173F4" w:rsidRPr="00B57DAB" w:rsidRDefault="007173F4" w:rsidP="00072BF4">
            <w:pPr>
              <w:jc w:val="right"/>
              <w:rPr>
                <w:rFonts w:ascii="GHEA Grapalat" w:hAnsi="GHEA Grapalat" w:cs="Calibri"/>
                <w:color w:val="000000"/>
                <w:sz w:val="18"/>
                <w:szCs w:val="18"/>
              </w:rPr>
            </w:pPr>
            <w:r w:rsidRPr="00B57DAB">
              <w:rPr>
                <w:rFonts w:ascii="GHEA Grapalat" w:hAnsi="GHEA Grapalat" w:cs="Calibri"/>
                <w:color w:val="000000"/>
                <w:sz w:val="18"/>
                <w:szCs w:val="18"/>
              </w:rPr>
              <w:t>(0.3)</w:t>
            </w:r>
          </w:p>
        </w:tc>
      </w:tr>
    </w:tbl>
    <w:p w:rsidR="007173F4" w:rsidRPr="00B57DAB" w:rsidRDefault="007173F4" w:rsidP="007173F4">
      <w:pPr>
        <w:autoSpaceDE w:val="0"/>
        <w:autoSpaceDN w:val="0"/>
        <w:adjustRightInd w:val="0"/>
        <w:spacing w:line="360" w:lineRule="auto"/>
        <w:ind w:firstLine="567"/>
        <w:jc w:val="both"/>
      </w:pPr>
    </w:p>
    <w:p w:rsidR="007173F4" w:rsidRPr="00B57DAB" w:rsidRDefault="007173F4" w:rsidP="007173F4">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 xml:space="preserve">Հատկացված միջոցների գերակշիռ մասը բաժին է ընկել </w:t>
      </w:r>
      <w:r w:rsidRPr="00B57DAB">
        <w:rPr>
          <w:rFonts w:ascii="GHEA Grapalat" w:hAnsi="GHEA Grapalat" w:cs="Sylfaen"/>
          <w:i/>
          <w:sz w:val="22"/>
          <w:szCs w:val="22"/>
        </w:rPr>
        <w:t>Պետական պարտքի կառավարման</w:t>
      </w:r>
      <w:r w:rsidRPr="00B57DAB">
        <w:rPr>
          <w:rFonts w:ascii="GHEA Grapalat" w:hAnsi="GHEA Grapalat" w:cs="Sylfaen"/>
          <w:sz w:val="22"/>
          <w:szCs w:val="22"/>
        </w:rPr>
        <w:t xml:space="preserve"> ծրագրին, որի շրջանակներում օգտագործվել է նախատեսված միջոցների 96.7%-ը՝ 39.2</w:t>
      </w:r>
      <w:r w:rsidR="00572CF4" w:rsidRPr="00B57DAB">
        <w:rPr>
          <w:rFonts w:ascii="GHEA Grapalat" w:hAnsi="GHEA Grapalat" w:cs="Sylfaen"/>
          <w:sz w:val="22"/>
          <w:szCs w:val="22"/>
        </w:rPr>
        <w:t xml:space="preserve"> մլրդ դրամ: Նշված գումարը գրեթե ամբողջությամբ</w:t>
      </w:r>
      <w:r w:rsidRPr="00B57DAB">
        <w:rPr>
          <w:rFonts w:ascii="GHEA Grapalat" w:hAnsi="GHEA Grapalat" w:cs="Sylfaen"/>
          <w:sz w:val="22"/>
          <w:szCs w:val="22"/>
        </w:rPr>
        <w:t xml:space="preserve"> ուղղվել է Կառավարության պարտքի սպասարկման</w:t>
      </w:r>
      <w:r w:rsidR="00572CF4" w:rsidRPr="00B57DAB">
        <w:rPr>
          <w:rFonts w:ascii="GHEA Grapalat" w:hAnsi="GHEA Grapalat" w:cs="Sylfaen"/>
          <w:sz w:val="22"/>
          <w:szCs w:val="22"/>
        </w:rPr>
        <w:t xml:space="preserve"> միջոցառմանը</w:t>
      </w:r>
      <w:r w:rsidRPr="00B57DAB">
        <w:rPr>
          <w:rFonts w:ascii="GHEA Grapalat" w:hAnsi="GHEA Grapalat" w:cs="Sylfaen"/>
          <w:sz w:val="22"/>
          <w:szCs w:val="22"/>
        </w:rPr>
        <w:t>, որը կա</w:t>
      </w:r>
      <w:r w:rsidR="00572CF4" w:rsidRPr="00B57DAB">
        <w:rPr>
          <w:rFonts w:ascii="GHEA Grapalat" w:hAnsi="GHEA Grapalat" w:cs="Sylfaen"/>
          <w:sz w:val="22"/>
          <w:szCs w:val="22"/>
        </w:rPr>
        <w:t>տարվել է</w:t>
      </w:r>
      <w:r w:rsidRPr="00B57DAB">
        <w:rPr>
          <w:rFonts w:ascii="GHEA Grapalat" w:hAnsi="GHEA Grapalat" w:cs="Sylfaen"/>
          <w:sz w:val="22"/>
          <w:szCs w:val="22"/>
        </w:rPr>
        <w:t xml:space="preserve"> 96.8%-</w:t>
      </w:r>
      <w:r w:rsidR="00572CF4" w:rsidRPr="00B57DAB">
        <w:rPr>
          <w:rFonts w:ascii="GHEA Grapalat" w:hAnsi="GHEA Grapalat" w:cs="Sylfaen"/>
          <w:sz w:val="22"/>
          <w:szCs w:val="22"/>
        </w:rPr>
        <w:t>ով</w:t>
      </w:r>
      <w:r w:rsidRPr="00B57DAB">
        <w:rPr>
          <w:rStyle w:val="FootnoteReference"/>
          <w:rFonts w:ascii="GHEA Grapalat" w:hAnsi="GHEA Grapalat" w:cs="Sylfaen"/>
          <w:sz w:val="22"/>
          <w:szCs w:val="22"/>
        </w:rPr>
        <w:footnoteReference w:id="33"/>
      </w:r>
      <w:r w:rsidRPr="00B57DAB">
        <w:rPr>
          <w:rFonts w:ascii="GHEA Grapalat" w:hAnsi="GHEA Grapalat" w:cs="Sylfaen"/>
          <w:sz w:val="22"/>
          <w:szCs w:val="22"/>
        </w:rPr>
        <w:t xml:space="preserve">: Նախորդ տարվա համեմատ Պետական պարտքի </w:t>
      </w:r>
      <w:r w:rsidRPr="00B57DAB">
        <w:rPr>
          <w:rFonts w:ascii="GHEA Grapalat" w:hAnsi="GHEA Grapalat" w:cs="Sylfaen"/>
          <w:sz w:val="22"/>
          <w:szCs w:val="22"/>
        </w:rPr>
        <w:lastRenderedPageBreak/>
        <w:t xml:space="preserve">կառավարման ծրագրի ծախսերն աճել են 3.7%-ով կամ 1.4 մլրդ դրամով՝ հիմնականում պայմանավորված </w:t>
      </w:r>
      <w:r w:rsidR="00DE0DC8" w:rsidRPr="00B57DAB">
        <w:rPr>
          <w:rFonts w:ascii="GHEA Grapalat" w:hAnsi="GHEA Grapalat" w:cs="Sylfaen"/>
          <w:sz w:val="22"/>
          <w:szCs w:val="22"/>
        </w:rPr>
        <w:t xml:space="preserve">Կառավարության </w:t>
      </w:r>
      <w:r w:rsidRPr="00B57DAB">
        <w:rPr>
          <w:rFonts w:ascii="GHEA Grapalat" w:hAnsi="GHEA Grapalat" w:cs="Sylfaen"/>
          <w:sz w:val="22"/>
          <w:szCs w:val="22"/>
        </w:rPr>
        <w:t xml:space="preserve">պարտքի սպասարկման </w:t>
      </w:r>
      <w:r w:rsidR="00572CF4" w:rsidRPr="00B57DAB">
        <w:rPr>
          <w:rFonts w:ascii="GHEA Grapalat" w:hAnsi="GHEA Grapalat" w:cs="Sylfaen"/>
          <w:sz w:val="22"/>
          <w:szCs w:val="22"/>
        </w:rPr>
        <w:t xml:space="preserve">միջոցառման </w:t>
      </w:r>
      <w:r w:rsidRPr="00B57DAB">
        <w:rPr>
          <w:rFonts w:ascii="GHEA Grapalat" w:hAnsi="GHEA Grapalat" w:cs="Sylfaen"/>
          <w:sz w:val="22"/>
          <w:szCs w:val="22"/>
        </w:rPr>
        <w:t xml:space="preserve">ծախսերի 5.0% (1.9 մլրդ դրամ) աճով: </w:t>
      </w:r>
    </w:p>
    <w:p w:rsidR="007173F4" w:rsidRPr="00B57DAB" w:rsidRDefault="007173F4" w:rsidP="007173F4">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i/>
          <w:sz w:val="22"/>
          <w:szCs w:val="22"/>
        </w:rPr>
        <w:t>Հանրային ֆինանսների կառավարման բնագավառում պետական քաղաքականության մշակման, ծրագրերի համակարգման և մոնիտորինգի</w:t>
      </w:r>
      <w:r w:rsidRPr="00B57DAB">
        <w:rPr>
          <w:rFonts w:ascii="GHEA Grapalat" w:hAnsi="GHEA Grapalat" w:cs="Sylfaen"/>
          <w:sz w:val="22"/>
          <w:szCs w:val="22"/>
        </w:rPr>
        <w:t xml:space="preserve"> ծախսերը կազմել են 613.3 մլրդ դրամ՝ ապահովելով եռամսյակային ծրագրի 81.4%-ը: Շեղումը հիմնականում </w:t>
      </w:r>
      <w:r w:rsidR="00DE0DC8" w:rsidRPr="00B57DAB">
        <w:rPr>
          <w:rFonts w:ascii="GHEA Grapalat" w:hAnsi="GHEA Grapalat" w:cs="Sylfaen"/>
          <w:sz w:val="22"/>
          <w:szCs w:val="22"/>
        </w:rPr>
        <w:t>առաջացել</w:t>
      </w:r>
      <w:r w:rsidRPr="00B57DAB">
        <w:rPr>
          <w:rFonts w:ascii="GHEA Grapalat" w:hAnsi="GHEA Grapalat" w:cs="Sylfaen"/>
          <w:sz w:val="22"/>
          <w:szCs w:val="22"/>
        </w:rPr>
        <w:t xml:space="preserve"> է </w:t>
      </w:r>
      <w:r w:rsidR="00DE0DC8" w:rsidRPr="00B57DAB">
        <w:rPr>
          <w:rFonts w:ascii="GHEA Grapalat" w:hAnsi="GHEA Grapalat" w:cs="Sylfaen"/>
          <w:sz w:val="22"/>
          <w:szCs w:val="22"/>
        </w:rPr>
        <w:t>«Ֆ</w:t>
      </w:r>
      <w:r w:rsidRPr="00B57DAB">
        <w:rPr>
          <w:rFonts w:ascii="GHEA Grapalat" w:hAnsi="GHEA Grapalat" w:cs="Sylfaen"/>
          <w:sz w:val="22"/>
          <w:szCs w:val="22"/>
        </w:rPr>
        <w:t>ինանսական կառավարման համակարգի վճարահաշվարկային ծառայություններ</w:t>
      </w:r>
      <w:r w:rsidR="00DE0DC8" w:rsidRPr="00B57DAB">
        <w:rPr>
          <w:rFonts w:ascii="GHEA Grapalat" w:hAnsi="GHEA Grapalat" w:cs="Sylfaen"/>
          <w:sz w:val="22"/>
          <w:szCs w:val="22"/>
        </w:rPr>
        <w:t>»,</w:t>
      </w:r>
      <w:r w:rsidRPr="00B57DAB">
        <w:rPr>
          <w:rFonts w:ascii="GHEA Grapalat" w:hAnsi="GHEA Grapalat" w:cs="Sylfaen"/>
          <w:sz w:val="22"/>
          <w:szCs w:val="22"/>
        </w:rPr>
        <w:t xml:space="preserve"> </w:t>
      </w:r>
      <w:r w:rsidR="00DE0DC8" w:rsidRPr="00B57DAB">
        <w:rPr>
          <w:rFonts w:ascii="GHEA Grapalat" w:hAnsi="GHEA Grapalat" w:cs="Sylfaen"/>
          <w:sz w:val="22"/>
          <w:szCs w:val="22"/>
        </w:rPr>
        <w:t>«</w:t>
      </w:r>
      <w:r w:rsidRPr="00B57DAB">
        <w:rPr>
          <w:rFonts w:ascii="GHEA Grapalat" w:hAnsi="GHEA Grapalat" w:cs="Sylfaen"/>
          <w:sz w:val="22"/>
          <w:szCs w:val="22"/>
        </w:rPr>
        <w:t>Պլանավորում, բյուջետավորում, գանձապետական ծառայություններ, պետական պարտքի կառավարում, տնտեսական և հարկաբյուջետային քաղաքականության մշակում և մոնիտորինգ</w:t>
      </w:r>
      <w:r w:rsidR="00DE0DC8" w:rsidRPr="00B57DAB">
        <w:rPr>
          <w:rFonts w:ascii="GHEA Grapalat" w:hAnsi="GHEA Grapalat" w:cs="Sylfaen"/>
          <w:sz w:val="22"/>
          <w:szCs w:val="22"/>
        </w:rPr>
        <w:t>» և «ՀՀ միջազգային վարկանիշի տրամադրում» միջոցառումների գծով</w:t>
      </w:r>
      <w:r w:rsidRPr="00B57DAB">
        <w:rPr>
          <w:rFonts w:ascii="GHEA Grapalat" w:hAnsi="GHEA Grapalat" w:cs="Sylfaen"/>
          <w:sz w:val="22"/>
          <w:szCs w:val="22"/>
        </w:rPr>
        <w:t xml:space="preserve"> ծախսերում:</w:t>
      </w:r>
    </w:p>
    <w:p w:rsidR="007173F4" w:rsidRPr="00B57DAB" w:rsidRDefault="007173F4" w:rsidP="007173F4">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 xml:space="preserve">Ծրագրի շրջանակներում հատկացված միջոցների մեծ մասը բաժին է ընկել պլանավորման, բյուջետավորման, գանձապետական ծառայությունների, պետական պարտքի կառավարման, տնտեսական և հարկաբյուջետային քաղաքականության մշակման և մոնիտորինգի միջոցառման ծախսերին, որոնք կատարվել են 92.3%-ով և կազմել 462.3 մլն դրամ: </w:t>
      </w:r>
      <w:r w:rsidR="0020315E" w:rsidRPr="00B57DAB">
        <w:rPr>
          <w:rFonts w:ascii="GHEA Grapalat" w:hAnsi="GHEA Grapalat" w:cs="Sylfaen"/>
          <w:sz w:val="22"/>
          <w:szCs w:val="22"/>
        </w:rPr>
        <w:t>Շեղումը պայմանավորված է նրանով, որ մարտ ամսին մատուցված ծառայությունների մի մասի դիմաց վճարումները կատարվել են ապրիլ ամսին:</w:t>
      </w:r>
    </w:p>
    <w:p w:rsidR="003B3A69" w:rsidRPr="00B57DAB" w:rsidRDefault="003B3A69" w:rsidP="007173F4">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ՀՀ միջազգային վարկանիշի տրամադրման ծախսերը կազմել են 78.9 մլն դրամ կամ ծրագրված ցուցանիշի 67.8%-ը: Միջոցները հատկացվել են Fitch և Moodys վարկանիշային գործակալությունների</w:t>
      </w:r>
      <w:r w:rsidR="001103D9" w:rsidRPr="00B57DAB">
        <w:rPr>
          <w:rFonts w:ascii="GHEA Grapalat" w:hAnsi="GHEA Grapalat" w:cs="Sylfaen"/>
          <w:sz w:val="22"/>
          <w:szCs w:val="22"/>
        </w:rPr>
        <w:t>ն, որոնց</w:t>
      </w:r>
      <w:r w:rsidRPr="00B57DAB">
        <w:rPr>
          <w:rFonts w:ascii="GHEA Grapalat" w:hAnsi="GHEA Grapalat" w:cs="Sylfaen"/>
          <w:sz w:val="22"/>
          <w:szCs w:val="22"/>
        </w:rPr>
        <w:t xml:space="preserve"> </w:t>
      </w:r>
      <w:r w:rsidR="00E22909" w:rsidRPr="00B57DAB">
        <w:rPr>
          <w:rFonts w:ascii="GHEA Grapalat" w:hAnsi="GHEA Grapalat" w:cs="Sylfaen"/>
          <w:sz w:val="22"/>
          <w:szCs w:val="22"/>
        </w:rPr>
        <w:t xml:space="preserve">կողմից </w:t>
      </w:r>
      <w:r w:rsidR="001103D9" w:rsidRPr="00B57DAB">
        <w:rPr>
          <w:rFonts w:ascii="GHEA Grapalat" w:hAnsi="GHEA Grapalat" w:cs="Sylfaen"/>
          <w:sz w:val="22"/>
          <w:szCs w:val="22"/>
        </w:rPr>
        <w:t xml:space="preserve">իրականացվել են </w:t>
      </w:r>
      <w:r w:rsidR="00E22909" w:rsidRPr="00B57DAB">
        <w:rPr>
          <w:rFonts w:ascii="GHEA Grapalat" w:hAnsi="GHEA Grapalat" w:cs="Sylfaen"/>
          <w:sz w:val="22"/>
          <w:szCs w:val="22"/>
        </w:rPr>
        <w:t>վարկային դեֆոլտի (երկարաժամկետ և</w:t>
      </w:r>
      <w:r w:rsidR="00E22909" w:rsidRPr="00B57DAB">
        <w:rPr>
          <w:rFonts w:ascii="GHEA Grapalat" w:hAnsi="GHEA Grapalat" w:cs="Times Armenian"/>
          <w:sz w:val="22"/>
          <w:szCs w:val="22"/>
        </w:rPr>
        <w:t xml:space="preserve"> կարճաժամկետ, դրամային և արտարժույթային) վարկանիշների</w:t>
      </w:r>
      <w:r w:rsidR="001103D9" w:rsidRPr="00B57DAB">
        <w:rPr>
          <w:rFonts w:ascii="GHEA Grapalat" w:hAnsi="GHEA Grapalat" w:cs="Times Armenian"/>
          <w:sz w:val="22"/>
          <w:szCs w:val="22"/>
        </w:rPr>
        <w:t xml:space="preserve"> 2-ական</w:t>
      </w:r>
      <w:r w:rsidR="00E22909" w:rsidRPr="00B57DAB">
        <w:rPr>
          <w:rFonts w:ascii="GHEA Grapalat" w:hAnsi="GHEA Grapalat" w:cs="Times Armenian"/>
          <w:sz w:val="22"/>
          <w:szCs w:val="22"/>
        </w:rPr>
        <w:t xml:space="preserve"> վերանայումներ</w:t>
      </w:r>
      <w:r w:rsidR="001103D9" w:rsidRPr="00B57DAB">
        <w:rPr>
          <w:rFonts w:ascii="GHEA Grapalat" w:hAnsi="GHEA Grapalat" w:cs="Times Armenian"/>
          <w:sz w:val="22"/>
          <w:szCs w:val="22"/>
        </w:rPr>
        <w:t>,</w:t>
      </w:r>
      <w:r w:rsidR="00E22909" w:rsidRPr="00B57DAB">
        <w:rPr>
          <w:rFonts w:ascii="GHEA Grapalat" w:hAnsi="GHEA Grapalat" w:cs="Times Armenian"/>
          <w:sz w:val="22"/>
          <w:szCs w:val="22"/>
        </w:rPr>
        <w:t xml:space="preserve"> </w:t>
      </w:r>
      <w:r w:rsidR="001103D9" w:rsidRPr="00B57DAB">
        <w:rPr>
          <w:rFonts w:ascii="GHEA Grapalat" w:hAnsi="GHEA Grapalat" w:cs="Times Armenian"/>
          <w:sz w:val="22"/>
          <w:szCs w:val="22"/>
        </w:rPr>
        <w:t>իսկ</w:t>
      </w:r>
      <w:r w:rsidRPr="00B57DAB">
        <w:rPr>
          <w:rFonts w:ascii="GHEA Grapalat" w:hAnsi="GHEA Grapalat" w:cs="Sylfaen"/>
          <w:sz w:val="22"/>
          <w:szCs w:val="22"/>
        </w:rPr>
        <w:t xml:space="preserve"> </w:t>
      </w:r>
      <w:r w:rsidR="001103D9" w:rsidRPr="00B57DAB">
        <w:rPr>
          <w:rFonts w:ascii="GHEA Grapalat" w:hAnsi="GHEA Grapalat" w:cs="Sylfaen"/>
          <w:sz w:val="22"/>
          <w:szCs w:val="22"/>
        </w:rPr>
        <w:t xml:space="preserve">Standard&amp;Poor's </w:t>
      </w:r>
      <w:r w:rsidRPr="00B57DAB">
        <w:rPr>
          <w:rFonts w:ascii="GHEA Grapalat" w:hAnsi="GHEA Grapalat" w:cs="Sylfaen"/>
          <w:sz w:val="22"/>
          <w:szCs w:val="22"/>
        </w:rPr>
        <w:t>վարկան</w:t>
      </w:r>
      <w:r w:rsidR="001103D9" w:rsidRPr="00B57DAB">
        <w:rPr>
          <w:rFonts w:ascii="GHEA Grapalat" w:hAnsi="GHEA Grapalat" w:cs="Sylfaen"/>
          <w:sz w:val="22"/>
          <w:szCs w:val="22"/>
        </w:rPr>
        <w:t>ի</w:t>
      </w:r>
      <w:r w:rsidRPr="00B57DAB">
        <w:rPr>
          <w:rFonts w:ascii="GHEA Grapalat" w:hAnsi="GHEA Grapalat" w:cs="Sylfaen"/>
          <w:sz w:val="22"/>
          <w:szCs w:val="22"/>
        </w:rPr>
        <w:t xml:space="preserve">շային </w:t>
      </w:r>
      <w:r w:rsidR="001103D9" w:rsidRPr="00B57DAB">
        <w:rPr>
          <w:rFonts w:ascii="GHEA Grapalat" w:hAnsi="GHEA Grapalat" w:cs="Sylfaen"/>
          <w:sz w:val="22"/>
          <w:szCs w:val="22"/>
        </w:rPr>
        <w:t>գործակալ</w:t>
      </w:r>
      <w:r w:rsidRPr="00B57DAB">
        <w:rPr>
          <w:rFonts w:ascii="GHEA Grapalat" w:hAnsi="GHEA Grapalat" w:cs="Sylfaen"/>
          <w:sz w:val="22"/>
          <w:szCs w:val="22"/>
        </w:rPr>
        <w:t>ության կողմից վճարման պահանջագիր չ</w:t>
      </w:r>
      <w:r w:rsidR="001103D9" w:rsidRPr="00B57DAB">
        <w:rPr>
          <w:rFonts w:ascii="GHEA Grapalat" w:hAnsi="GHEA Grapalat" w:cs="Sylfaen"/>
          <w:sz w:val="22"/>
          <w:szCs w:val="22"/>
        </w:rPr>
        <w:t xml:space="preserve">ի </w:t>
      </w:r>
      <w:r w:rsidRPr="00B57DAB">
        <w:rPr>
          <w:rFonts w:ascii="GHEA Grapalat" w:hAnsi="GHEA Grapalat" w:cs="Sylfaen"/>
          <w:sz w:val="22"/>
          <w:szCs w:val="22"/>
        </w:rPr>
        <w:t>ներկայացվել:</w:t>
      </w:r>
    </w:p>
    <w:p w:rsidR="003F2149" w:rsidRPr="00B57DAB" w:rsidRDefault="007173F4" w:rsidP="007173F4">
      <w:pPr>
        <w:autoSpaceDE w:val="0"/>
        <w:autoSpaceDN w:val="0"/>
        <w:adjustRightInd w:val="0"/>
        <w:spacing w:line="360" w:lineRule="auto"/>
        <w:ind w:firstLine="567"/>
        <w:jc w:val="both"/>
        <w:rPr>
          <w:rFonts w:ascii="GHEA Grapalat" w:hAnsi="GHEA Grapalat" w:cs="Times Armenian"/>
          <w:sz w:val="22"/>
          <w:szCs w:val="22"/>
        </w:rPr>
      </w:pPr>
      <w:r w:rsidRPr="00B57DAB">
        <w:rPr>
          <w:rFonts w:ascii="GHEA Grapalat" w:hAnsi="GHEA Grapalat"/>
          <w:sz w:val="22"/>
          <w:szCs w:val="22"/>
        </w:rPr>
        <w:t>Նախորդ տարվա</w:t>
      </w:r>
      <w:r w:rsidRPr="00B57DAB">
        <w:rPr>
          <w:rFonts w:ascii="GHEA Grapalat" w:hAnsi="GHEA Grapalat" w:cs="Sylfaen"/>
          <w:sz w:val="22"/>
          <w:szCs w:val="22"/>
        </w:rPr>
        <w:t xml:space="preserve"> առաջին եռամսյակի համեմատ Հանրային ֆինանսների կառավարման բնագավառում պետական քաղաքականության մշակման, ծրագրերի համակարգման և մոնիտորինգի ծրագրի ծախսերն աճել են 18.6%-</w:t>
      </w:r>
      <w:r w:rsidRPr="00B57DAB">
        <w:rPr>
          <w:rFonts w:ascii="GHEA Grapalat" w:hAnsi="GHEA Grapalat" w:cs="Times Armenian"/>
          <w:sz w:val="22"/>
          <w:szCs w:val="22"/>
        </w:rPr>
        <w:t xml:space="preserve">ով (96.2 մլն դրամով)՝ հիմնականում պայմանավորված Դատական ակտերի հիման վրա ՀՀ պետական բյուջեից բռնագանձման ենթակա գումարների վճարման </w:t>
      </w:r>
      <w:r w:rsidRPr="00B57DAB">
        <w:rPr>
          <w:rFonts w:ascii="GHEA Grapalat" w:hAnsi="GHEA Grapalat" w:cs="Sylfaen"/>
          <w:sz w:val="22"/>
          <w:szCs w:val="22"/>
        </w:rPr>
        <w:t>միջոցառման ծախսեր</w:t>
      </w:r>
      <w:r w:rsidR="003B3A69" w:rsidRPr="00B57DAB">
        <w:rPr>
          <w:rFonts w:ascii="GHEA Grapalat" w:hAnsi="GHEA Grapalat" w:cs="Sylfaen"/>
          <w:sz w:val="22"/>
          <w:szCs w:val="22"/>
        </w:rPr>
        <w:t>ով, որոնք կազմել են 38.9 մլն դրամ,</w:t>
      </w:r>
      <w:r w:rsidRPr="00B57DAB">
        <w:rPr>
          <w:rFonts w:ascii="GHEA Grapalat" w:hAnsi="GHEA Grapalat" w:cs="Sylfaen"/>
          <w:sz w:val="22"/>
          <w:szCs w:val="22"/>
        </w:rPr>
        <w:t xml:space="preserve"> և ՀՀ միջազգային վարկանիշի տրամադրման ծախսերի 64.4% (30.9 մլն դրամ) աճով</w:t>
      </w:r>
      <w:r w:rsidRPr="00B57DAB">
        <w:rPr>
          <w:rFonts w:ascii="GHEA Grapalat" w:hAnsi="GHEA Grapalat" w:cs="Times Armenian"/>
          <w:sz w:val="22"/>
          <w:szCs w:val="22"/>
        </w:rPr>
        <w:t>:</w:t>
      </w:r>
    </w:p>
    <w:p w:rsidR="003F2149" w:rsidRPr="00B57DAB" w:rsidRDefault="003F2149" w:rsidP="003F2149">
      <w:pPr>
        <w:spacing w:line="360" w:lineRule="auto"/>
        <w:ind w:firstLine="561"/>
        <w:jc w:val="both"/>
        <w:rPr>
          <w:rFonts w:ascii="GHEA Grapalat" w:hAnsi="GHEA Grapalat" w:cs="Sylfaen"/>
          <w:sz w:val="22"/>
          <w:szCs w:val="22"/>
        </w:rPr>
      </w:pPr>
    </w:p>
    <w:p w:rsidR="00463F57" w:rsidRPr="00B57DAB" w:rsidRDefault="003F2149" w:rsidP="00463F57">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i/>
          <w:sz w:val="22"/>
          <w:szCs w:val="22"/>
          <w:u w:val="single"/>
          <w:lang w:val="hy-AM"/>
        </w:rPr>
        <w:t>ՀՀ արտակարգ իրավիճակների նախարարության</w:t>
      </w:r>
      <w:r w:rsidRPr="00B57DAB">
        <w:rPr>
          <w:rFonts w:ascii="GHEA Grapalat" w:hAnsi="GHEA Grapalat" w:cs="GHEA Grapalat"/>
          <w:sz w:val="22"/>
          <w:szCs w:val="22"/>
          <w:lang w:val="hy-AM"/>
        </w:rPr>
        <w:t xml:space="preserve"> </w:t>
      </w:r>
      <w:r w:rsidR="00463F57" w:rsidRPr="00B57DAB">
        <w:rPr>
          <w:rFonts w:ascii="GHEA Grapalat" w:hAnsi="GHEA Grapalat" w:cs="Times Armenian"/>
          <w:sz w:val="22"/>
          <w:szCs w:val="22"/>
        </w:rPr>
        <w:t>պատասխանատվությամբ 2022</w:t>
      </w:r>
      <w:r w:rsidR="00463F57" w:rsidRPr="00B57DAB">
        <w:rPr>
          <w:rFonts w:ascii="GHEA Grapalat" w:hAnsi="GHEA Grapalat" w:cs="GHEA Grapalat"/>
          <w:sz w:val="22"/>
          <w:szCs w:val="22"/>
        </w:rPr>
        <w:t xml:space="preserve"> թվականի առաջին եռամսյակում</w:t>
      </w:r>
      <w:r w:rsidR="00463F57" w:rsidRPr="00B57DAB">
        <w:rPr>
          <w:rFonts w:ascii="GHEA Grapalat" w:hAnsi="GHEA Grapalat" w:cs="GHEA Grapalat"/>
          <w:sz w:val="22"/>
          <w:szCs w:val="22"/>
          <w:lang w:val="ru-RU"/>
        </w:rPr>
        <w:t xml:space="preserve"> </w:t>
      </w:r>
      <w:r w:rsidR="00463F57" w:rsidRPr="00B57DAB">
        <w:rPr>
          <w:rFonts w:ascii="GHEA Grapalat" w:hAnsi="GHEA Grapalat" w:cs="GHEA Grapalat"/>
          <w:sz w:val="22"/>
          <w:szCs w:val="22"/>
        </w:rPr>
        <w:t>կատարվել է պետական բյուջեի 5 ծրագիր: Ծախսերը կազմել են ավելի քան 2.1 մլրդ դրամ կամ ծրագրված ցուցանիշի 66.9%</w:t>
      </w:r>
      <w:r w:rsidR="00463F57" w:rsidRPr="00B57DAB">
        <w:rPr>
          <w:rFonts w:ascii="GHEA Grapalat" w:hAnsi="GHEA Grapalat" w:cs="GHEA Grapalat"/>
          <w:sz w:val="22"/>
          <w:szCs w:val="22"/>
        </w:rPr>
        <w:noBreakHyphen/>
        <w:t xml:space="preserve">ը: Շեղումը հիմնականում պայմանավորված է նախարարության կողմից կատարված ծախսերի գերակշիռ մասը կազմող «Փրկարարական ծառայություններ» ծրագրի կատարողականով: Նախորդ տարվա առաջին եռամսյակի համեմատ ՀՀ </w:t>
      </w:r>
      <w:r w:rsidR="00463F57" w:rsidRPr="00B57DAB">
        <w:rPr>
          <w:rFonts w:ascii="GHEA Grapalat" w:hAnsi="GHEA Grapalat" w:cs="GHEA Grapalat"/>
          <w:sz w:val="22"/>
          <w:szCs w:val="22"/>
        </w:rPr>
        <w:lastRenderedPageBreak/>
        <w:t>արտակարգ իրավիճակների նախարարության պատասխանատվությամբ իրականացվող ծախսերն աճել են 0.3%</w:t>
      </w:r>
      <w:r w:rsidR="00463F57" w:rsidRPr="00B57DAB">
        <w:rPr>
          <w:rFonts w:ascii="GHEA Grapalat" w:hAnsi="GHEA Grapalat" w:cs="GHEA Grapalat"/>
          <w:sz w:val="22"/>
          <w:szCs w:val="22"/>
        </w:rPr>
        <w:noBreakHyphen/>
        <w:t>ով կամ 6.5 մլն դրամով:</w:t>
      </w:r>
    </w:p>
    <w:p w:rsidR="00463F57" w:rsidRPr="00B57DAB" w:rsidRDefault="00463F57" w:rsidP="00463F57">
      <w:pPr>
        <w:autoSpaceDE w:val="0"/>
        <w:autoSpaceDN w:val="0"/>
        <w:adjustRightInd w:val="0"/>
        <w:spacing w:line="360" w:lineRule="auto"/>
        <w:ind w:firstLine="567"/>
        <w:jc w:val="both"/>
        <w:rPr>
          <w:rFonts w:ascii="GHEA Grapalat" w:hAnsi="GHEA Grapalat" w:cs="GHEA Grapalat"/>
          <w:sz w:val="22"/>
          <w:szCs w:val="22"/>
        </w:rPr>
      </w:pPr>
    </w:p>
    <w:p w:rsidR="00463F57" w:rsidRPr="00B57DAB" w:rsidRDefault="00463F57" w:rsidP="00770F24">
      <w:pPr>
        <w:pStyle w:val="Caption"/>
        <w:keepNext/>
        <w:numPr>
          <w:ilvl w:val="0"/>
          <w:numId w:val="8"/>
        </w:numPr>
        <w:tabs>
          <w:tab w:val="left" w:pos="1276"/>
        </w:tabs>
        <w:ind w:left="0" w:firstLine="0"/>
        <w:jc w:val="left"/>
        <w:rPr>
          <w:rFonts w:ascii="GHEA Grapalat" w:hAnsi="GHEA Grapalat"/>
          <w:i/>
          <w:sz w:val="18"/>
          <w:szCs w:val="18"/>
          <w:lang w:val="en-US"/>
        </w:rPr>
      </w:pPr>
      <w:r w:rsidRPr="00B57DAB">
        <w:rPr>
          <w:rFonts w:ascii="GHEA Grapalat" w:hAnsi="GHEA Grapalat"/>
          <w:i/>
          <w:sz w:val="18"/>
          <w:szCs w:val="18"/>
          <w:lang w:val="en-US"/>
        </w:rPr>
        <w:t>2022թ. առաջին եռամսյակում ՀՀ արտակարգ իրավիճակների նախարարության կողմից իրականացված ծրագրերը (մլն</w:t>
      </w:r>
      <w:r w:rsidRPr="00B57DAB">
        <w:rPr>
          <w:rFonts w:ascii="Courier New" w:hAnsi="Courier New" w:cs="Courier New"/>
          <w:i/>
          <w:sz w:val="18"/>
          <w:szCs w:val="18"/>
          <w:lang w:val="en-US"/>
        </w:rPr>
        <w:t> </w:t>
      </w:r>
      <w:r w:rsidRPr="00B57DAB">
        <w:rPr>
          <w:rFonts w:ascii="GHEA Grapalat" w:hAnsi="GHEA Grapalat" w:cs="GHEA Grapalat"/>
          <w:i/>
          <w:sz w:val="18"/>
          <w:szCs w:val="18"/>
          <w:lang w:val="en-US"/>
        </w:rPr>
        <w:t>դրամ</w:t>
      </w:r>
      <w:r w:rsidRPr="00B57DAB">
        <w:rPr>
          <w:rFonts w:ascii="GHEA Grapalat" w:hAnsi="GHEA Grapalat"/>
          <w:i/>
          <w:sz w:val="18"/>
          <w:szCs w:val="18"/>
          <w:lang w:val="en-US"/>
        </w:rPr>
        <w:t>)</w:t>
      </w:r>
    </w:p>
    <w:tbl>
      <w:tblPr>
        <w:tblW w:w="10236" w:type="dxa"/>
        <w:jc w:val="center"/>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9"/>
        <w:gridCol w:w="992"/>
        <w:gridCol w:w="1043"/>
        <w:gridCol w:w="942"/>
        <w:gridCol w:w="1276"/>
        <w:gridCol w:w="1275"/>
        <w:gridCol w:w="1149"/>
      </w:tblGrid>
      <w:tr w:rsidR="00463F57" w:rsidRPr="00B57DAB" w:rsidTr="00E171FD">
        <w:trPr>
          <w:trHeight w:val="300"/>
          <w:jc w:val="center"/>
        </w:trPr>
        <w:tc>
          <w:tcPr>
            <w:tcW w:w="3559" w:type="dxa"/>
            <w:tcBorders>
              <w:top w:val="single" w:sz="4" w:space="0" w:color="auto"/>
              <w:left w:val="single" w:sz="4" w:space="0" w:color="auto"/>
              <w:bottom w:val="single" w:sz="4" w:space="0" w:color="auto"/>
              <w:right w:val="single" w:sz="4" w:space="0" w:color="auto"/>
            </w:tcBorders>
            <w:noWrap/>
            <w:vAlign w:val="bottom"/>
            <w:hideMark/>
          </w:tcPr>
          <w:p w:rsidR="00463F57" w:rsidRPr="00B57DAB" w:rsidRDefault="00463F57" w:rsidP="001C165B">
            <w:pPr>
              <w:rPr>
                <w:rFonts w:ascii="GHEA Grapalat" w:hAnsi="GHEA Grapalat" w:cs="Calibri"/>
                <w:color w:val="000000"/>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463F57" w:rsidRPr="00B57DAB" w:rsidRDefault="00463F57" w:rsidP="001C165B">
            <w:pPr>
              <w:jc w:val="center"/>
              <w:rPr>
                <w:rFonts w:ascii="GHEA Grapalat" w:hAnsi="GHEA Grapalat" w:cs="Calibri"/>
                <w:b/>
                <w:color w:val="000000"/>
                <w:sz w:val="18"/>
                <w:szCs w:val="18"/>
              </w:rPr>
            </w:pPr>
            <w:r w:rsidRPr="00B57DAB">
              <w:rPr>
                <w:rFonts w:ascii="GHEA Grapalat" w:hAnsi="GHEA Grapalat" w:cs="Calibri"/>
                <w:b/>
                <w:color w:val="000000"/>
                <w:sz w:val="18"/>
                <w:szCs w:val="18"/>
              </w:rPr>
              <w:t>2021թ. առաջին եռամս-յակի փաստ</w:t>
            </w:r>
          </w:p>
        </w:tc>
        <w:tc>
          <w:tcPr>
            <w:tcW w:w="1043" w:type="dxa"/>
            <w:tcBorders>
              <w:top w:val="single" w:sz="4" w:space="0" w:color="auto"/>
              <w:left w:val="single" w:sz="4" w:space="0" w:color="auto"/>
              <w:bottom w:val="single" w:sz="4" w:space="0" w:color="auto"/>
              <w:right w:val="single" w:sz="4" w:space="0" w:color="auto"/>
            </w:tcBorders>
            <w:hideMark/>
          </w:tcPr>
          <w:p w:rsidR="00463F57" w:rsidRPr="00B57DAB" w:rsidRDefault="00463F57" w:rsidP="001C165B">
            <w:pPr>
              <w:jc w:val="center"/>
              <w:rPr>
                <w:rFonts w:ascii="GHEA Grapalat" w:hAnsi="GHEA Grapalat" w:cs="Calibri"/>
                <w:b/>
                <w:color w:val="000000"/>
                <w:sz w:val="18"/>
                <w:szCs w:val="18"/>
              </w:rPr>
            </w:pPr>
            <w:r w:rsidRPr="00B57DAB">
              <w:rPr>
                <w:rFonts w:ascii="GHEA Grapalat" w:hAnsi="GHEA Grapalat" w:cs="Calibri"/>
                <w:b/>
                <w:color w:val="000000"/>
                <w:sz w:val="18"/>
                <w:szCs w:val="18"/>
              </w:rPr>
              <w:t>2022թ. առաջին եռամս-յակի ճշտված պլան</w:t>
            </w:r>
          </w:p>
        </w:tc>
        <w:tc>
          <w:tcPr>
            <w:tcW w:w="942" w:type="dxa"/>
            <w:tcBorders>
              <w:top w:val="single" w:sz="4" w:space="0" w:color="auto"/>
              <w:left w:val="single" w:sz="4" w:space="0" w:color="auto"/>
              <w:bottom w:val="single" w:sz="4" w:space="0" w:color="auto"/>
              <w:right w:val="single" w:sz="4" w:space="0" w:color="auto"/>
            </w:tcBorders>
            <w:noWrap/>
            <w:hideMark/>
          </w:tcPr>
          <w:p w:rsidR="00463F57" w:rsidRPr="00B57DAB" w:rsidRDefault="00463F57" w:rsidP="001C165B">
            <w:pPr>
              <w:jc w:val="center"/>
              <w:rPr>
                <w:rFonts w:ascii="GHEA Grapalat" w:hAnsi="GHEA Grapalat" w:cs="Calibri"/>
                <w:b/>
                <w:color w:val="000000"/>
                <w:sz w:val="18"/>
                <w:szCs w:val="18"/>
              </w:rPr>
            </w:pPr>
            <w:r w:rsidRPr="00B57DAB">
              <w:rPr>
                <w:rFonts w:ascii="GHEA Grapalat" w:hAnsi="GHEA Grapalat" w:cs="Calibri"/>
                <w:b/>
                <w:color w:val="000000"/>
                <w:sz w:val="18"/>
                <w:szCs w:val="18"/>
              </w:rPr>
              <w:t>2022թ. առաջին եռամս-յակի փաստ</w:t>
            </w:r>
          </w:p>
        </w:tc>
        <w:tc>
          <w:tcPr>
            <w:tcW w:w="1276" w:type="dxa"/>
            <w:tcBorders>
              <w:top w:val="single" w:sz="4" w:space="0" w:color="auto"/>
              <w:left w:val="single" w:sz="4" w:space="0" w:color="auto"/>
              <w:bottom w:val="single" w:sz="4" w:space="0" w:color="auto"/>
              <w:right w:val="single" w:sz="4" w:space="0" w:color="auto"/>
            </w:tcBorders>
            <w:hideMark/>
          </w:tcPr>
          <w:p w:rsidR="00463F57" w:rsidRPr="00B57DAB" w:rsidRDefault="00463F57" w:rsidP="001C165B">
            <w:pPr>
              <w:jc w:val="center"/>
              <w:rPr>
                <w:rFonts w:ascii="GHEA Grapalat" w:hAnsi="GHEA Grapalat" w:cs="Calibri"/>
                <w:b/>
                <w:color w:val="000000"/>
                <w:sz w:val="18"/>
                <w:szCs w:val="18"/>
              </w:rPr>
            </w:pPr>
            <w:r w:rsidRPr="00B57DAB">
              <w:rPr>
                <w:rFonts w:ascii="GHEA Grapalat" w:hAnsi="GHEA Grapalat" w:cs="Calibri"/>
                <w:b/>
                <w:color w:val="000000"/>
                <w:sz w:val="18"/>
                <w:szCs w:val="18"/>
              </w:rPr>
              <w:t xml:space="preserve">Կատարո-ղականն առաջին եռամսյակի ճշտված պլանի նկատմամբ (%) </w:t>
            </w:r>
          </w:p>
        </w:tc>
        <w:tc>
          <w:tcPr>
            <w:tcW w:w="1275" w:type="dxa"/>
            <w:tcBorders>
              <w:top w:val="single" w:sz="4" w:space="0" w:color="auto"/>
              <w:left w:val="single" w:sz="4" w:space="0" w:color="auto"/>
              <w:bottom w:val="single" w:sz="4" w:space="0" w:color="auto"/>
              <w:right w:val="single" w:sz="4" w:space="0" w:color="auto"/>
            </w:tcBorders>
          </w:tcPr>
          <w:p w:rsidR="00463F57" w:rsidRPr="00B57DAB" w:rsidRDefault="00463F57" w:rsidP="00463F57">
            <w:pPr>
              <w:jc w:val="center"/>
              <w:rPr>
                <w:rFonts w:ascii="GHEA Grapalat" w:hAnsi="GHEA Grapalat" w:cs="Calibri"/>
                <w:b/>
                <w:color w:val="000000"/>
                <w:sz w:val="18"/>
                <w:szCs w:val="18"/>
              </w:rPr>
            </w:pPr>
            <w:r w:rsidRPr="00B57DAB">
              <w:rPr>
                <w:rFonts w:ascii="GHEA Grapalat" w:hAnsi="GHEA Grapalat" w:cs="Calibri"/>
                <w:b/>
                <w:bCs/>
                <w:color w:val="000000"/>
                <w:sz w:val="18"/>
                <w:szCs w:val="18"/>
              </w:rPr>
              <w:t xml:space="preserve">2022թ. </w:t>
            </w:r>
            <w:r w:rsidRPr="00B57DAB">
              <w:rPr>
                <w:rFonts w:ascii="GHEA Grapalat" w:hAnsi="GHEA Grapalat" w:cs="Calibri"/>
                <w:b/>
                <w:color w:val="000000"/>
                <w:sz w:val="18"/>
                <w:szCs w:val="18"/>
              </w:rPr>
              <w:t xml:space="preserve">առաջին եռամսյակը </w:t>
            </w:r>
            <w:r w:rsidRPr="00B57DAB">
              <w:rPr>
                <w:rFonts w:ascii="GHEA Grapalat" w:hAnsi="GHEA Grapalat" w:cs="Calibri"/>
                <w:b/>
                <w:bCs/>
                <w:color w:val="000000"/>
                <w:sz w:val="18"/>
                <w:szCs w:val="18"/>
              </w:rPr>
              <w:t xml:space="preserve">2021թ. </w:t>
            </w:r>
            <w:proofErr w:type="gramStart"/>
            <w:r w:rsidRPr="00B57DAB">
              <w:rPr>
                <w:rFonts w:ascii="GHEA Grapalat" w:hAnsi="GHEA Grapalat" w:cs="Calibri"/>
                <w:b/>
                <w:color w:val="000000"/>
                <w:sz w:val="18"/>
                <w:szCs w:val="18"/>
              </w:rPr>
              <w:t>առաջին</w:t>
            </w:r>
            <w:proofErr w:type="gramEnd"/>
            <w:r w:rsidRPr="00B57DAB">
              <w:rPr>
                <w:rFonts w:ascii="GHEA Grapalat" w:hAnsi="GHEA Grapalat" w:cs="Calibri"/>
                <w:b/>
                <w:color w:val="000000"/>
                <w:sz w:val="18"/>
                <w:szCs w:val="18"/>
              </w:rPr>
              <w:t xml:space="preserve"> եռամսյակի </w:t>
            </w:r>
            <w:r w:rsidRPr="00B57DAB">
              <w:rPr>
                <w:rFonts w:ascii="GHEA Grapalat" w:hAnsi="GHEA Grapalat" w:cs="Calibri"/>
                <w:b/>
                <w:bCs/>
                <w:color w:val="000000"/>
                <w:sz w:val="18"/>
                <w:szCs w:val="18"/>
              </w:rPr>
              <w:t>նկատմամբ (%)</w:t>
            </w:r>
          </w:p>
        </w:tc>
        <w:tc>
          <w:tcPr>
            <w:tcW w:w="1149" w:type="dxa"/>
            <w:tcBorders>
              <w:top w:val="single" w:sz="4" w:space="0" w:color="auto"/>
              <w:left w:val="single" w:sz="4" w:space="0" w:color="auto"/>
              <w:bottom w:val="single" w:sz="4" w:space="0" w:color="auto"/>
              <w:right w:val="single" w:sz="4" w:space="0" w:color="auto"/>
            </w:tcBorders>
          </w:tcPr>
          <w:p w:rsidR="00463F57" w:rsidRPr="00B57DAB" w:rsidRDefault="00463F57" w:rsidP="001C165B">
            <w:pPr>
              <w:jc w:val="center"/>
              <w:rPr>
                <w:rFonts w:ascii="GHEA Grapalat" w:hAnsi="GHEA Grapalat" w:cs="Calibri"/>
                <w:b/>
                <w:color w:val="000000"/>
                <w:sz w:val="18"/>
                <w:szCs w:val="18"/>
              </w:rPr>
            </w:pPr>
            <w:r w:rsidRPr="00B57DAB">
              <w:rPr>
                <w:rFonts w:ascii="GHEA Grapalat" w:hAnsi="GHEA Grapalat" w:cs="Calibri"/>
                <w:b/>
                <w:bCs/>
                <w:color w:val="000000"/>
                <w:sz w:val="18"/>
                <w:szCs w:val="18"/>
              </w:rPr>
              <w:t>2022թ. և 2021թ. տարբե-րությունը</w:t>
            </w:r>
          </w:p>
        </w:tc>
      </w:tr>
      <w:tr w:rsidR="00463F57" w:rsidRPr="00B57DAB" w:rsidTr="00E171FD">
        <w:trPr>
          <w:trHeight w:val="331"/>
          <w:jc w:val="center"/>
        </w:trPr>
        <w:tc>
          <w:tcPr>
            <w:tcW w:w="3559" w:type="dxa"/>
            <w:tcBorders>
              <w:top w:val="single" w:sz="4" w:space="0" w:color="auto"/>
              <w:left w:val="single" w:sz="4" w:space="0" w:color="auto"/>
              <w:bottom w:val="single" w:sz="4" w:space="0" w:color="auto"/>
              <w:right w:val="single" w:sz="4" w:space="0" w:color="auto"/>
            </w:tcBorders>
            <w:vAlign w:val="bottom"/>
            <w:hideMark/>
          </w:tcPr>
          <w:p w:rsidR="00463F57" w:rsidRPr="00B57DAB" w:rsidRDefault="00463F57" w:rsidP="00E171FD">
            <w:pPr>
              <w:rPr>
                <w:rFonts w:ascii="GHEA Grapalat" w:hAnsi="GHEA Grapalat" w:cs="Calibri"/>
                <w:b/>
                <w:color w:val="000000"/>
                <w:sz w:val="18"/>
                <w:szCs w:val="18"/>
              </w:rPr>
            </w:pPr>
            <w:r w:rsidRPr="00B57DAB">
              <w:rPr>
                <w:rFonts w:ascii="GHEA Grapalat" w:hAnsi="GHEA Grapalat" w:cs="Calibri"/>
                <w:b/>
                <w:color w:val="000000"/>
                <w:sz w:val="18"/>
                <w:szCs w:val="18"/>
              </w:rPr>
              <w:t>ԸՆԴԱՄԵՆԸ</w:t>
            </w:r>
          </w:p>
        </w:tc>
        <w:tc>
          <w:tcPr>
            <w:tcW w:w="992" w:type="dxa"/>
            <w:tcBorders>
              <w:top w:val="single" w:sz="4" w:space="0" w:color="auto"/>
              <w:left w:val="single" w:sz="4" w:space="0" w:color="auto"/>
              <w:bottom w:val="single" w:sz="4" w:space="0" w:color="auto"/>
              <w:right w:val="single" w:sz="4" w:space="0" w:color="auto"/>
            </w:tcBorders>
            <w:vAlign w:val="bottom"/>
            <w:hideMark/>
          </w:tcPr>
          <w:p w:rsidR="00463F57" w:rsidRPr="00B57DAB" w:rsidRDefault="00463F57" w:rsidP="00E171FD">
            <w:pPr>
              <w:jc w:val="right"/>
              <w:rPr>
                <w:rFonts w:ascii="GHEA Grapalat" w:hAnsi="GHEA Grapalat"/>
                <w:b/>
                <w:bCs/>
                <w:sz w:val="18"/>
                <w:szCs w:val="18"/>
              </w:rPr>
            </w:pPr>
            <w:r w:rsidRPr="00B57DAB">
              <w:rPr>
                <w:rFonts w:ascii="GHEA Grapalat" w:hAnsi="GHEA Grapalat"/>
                <w:b/>
                <w:bCs/>
                <w:sz w:val="18"/>
                <w:szCs w:val="18"/>
              </w:rPr>
              <w:t>2,142.8</w:t>
            </w:r>
          </w:p>
        </w:tc>
        <w:tc>
          <w:tcPr>
            <w:tcW w:w="1043" w:type="dxa"/>
            <w:tcBorders>
              <w:top w:val="single" w:sz="4" w:space="0" w:color="auto"/>
              <w:left w:val="single" w:sz="4" w:space="0" w:color="auto"/>
              <w:bottom w:val="single" w:sz="4" w:space="0" w:color="auto"/>
              <w:right w:val="single" w:sz="4" w:space="0" w:color="auto"/>
            </w:tcBorders>
            <w:vAlign w:val="bottom"/>
            <w:hideMark/>
          </w:tcPr>
          <w:p w:rsidR="00463F57" w:rsidRPr="00B57DAB" w:rsidRDefault="00463F57" w:rsidP="00E171FD">
            <w:pPr>
              <w:jc w:val="right"/>
              <w:rPr>
                <w:rFonts w:ascii="GHEA Grapalat" w:hAnsi="GHEA Grapalat"/>
                <w:b/>
                <w:bCs/>
                <w:sz w:val="18"/>
                <w:szCs w:val="18"/>
              </w:rPr>
            </w:pPr>
            <w:r w:rsidRPr="00B57DAB">
              <w:rPr>
                <w:rFonts w:ascii="GHEA Grapalat" w:hAnsi="GHEA Grapalat"/>
                <w:b/>
                <w:bCs/>
                <w:sz w:val="18"/>
                <w:szCs w:val="18"/>
              </w:rPr>
              <w:t>3,211.3</w:t>
            </w:r>
          </w:p>
        </w:tc>
        <w:tc>
          <w:tcPr>
            <w:tcW w:w="942" w:type="dxa"/>
            <w:tcBorders>
              <w:top w:val="single" w:sz="4" w:space="0" w:color="auto"/>
              <w:left w:val="single" w:sz="4" w:space="0" w:color="auto"/>
              <w:bottom w:val="single" w:sz="4" w:space="0" w:color="auto"/>
              <w:right w:val="single" w:sz="4" w:space="0" w:color="auto"/>
            </w:tcBorders>
            <w:vAlign w:val="bottom"/>
            <w:hideMark/>
          </w:tcPr>
          <w:p w:rsidR="00463F57" w:rsidRPr="00B57DAB" w:rsidRDefault="00463F57" w:rsidP="00E171FD">
            <w:pPr>
              <w:jc w:val="right"/>
              <w:rPr>
                <w:rFonts w:ascii="GHEA Grapalat" w:hAnsi="GHEA Grapalat"/>
                <w:b/>
                <w:bCs/>
                <w:sz w:val="18"/>
                <w:szCs w:val="18"/>
              </w:rPr>
            </w:pPr>
            <w:r w:rsidRPr="00B57DAB">
              <w:rPr>
                <w:rFonts w:ascii="GHEA Grapalat" w:hAnsi="GHEA Grapalat"/>
                <w:b/>
                <w:bCs/>
                <w:sz w:val="18"/>
                <w:szCs w:val="18"/>
              </w:rPr>
              <w:t>2,149.3</w:t>
            </w:r>
          </w:p>
        </w:tc>
        <w:tc>
          <w:tcPr>
            <w:tcW w:w="1276" w:type="dxa"/>
            <w:tcBorders>
              <w:top w:val="single" w:sz="4" w:space="0" w:color="auto"/>
              <w:left w:val="single" w:sz="4" w:space="0" w:color="auto"/>
              <w:bottom w:val="single" w:sz="4" w:space="0" w:color="auto"/>
              <w:right w:val="single" w:sz="4" w:space="0" w:color="auto"/>
            </w:tcBorders>
            <w:vAlign w:val="bottom"/>
            <w:hideMark/>
          </w:tcPr>
          <w:p w:rsidR="00463F57" w:rsidRPr="00B57DAB" w:rsidRDefault="00463F57" w:rsidP="00E171FD">
            <w:pPr>
              <w:jc w:val="right"/>
              <w:rPr>
                <w:rFonts w:ascii="GHEA Grapalat" w:hAnsi="GHEA Grapalat"/>
                <w:b/>
                <w:bCs/>
                <w:sz w:val="18"/>
                <w:szCs w:val="18"/>
              </w:rPr>
            </w:pPr>
            <w:r w:rsidRPr="00B57DAB">
              <w:rPr>
                <w:rFonts w:ascii="GHEA Grapalat" w:hAnsi="GHEA Grapalat"/>
                <w:b/>
                <w:bCs/>
                <w:sz w:val="18"/>
                <w:szCs w:val="18"/>
              </w:rPr>
              <w:t>66.9</w:t>
            </w:r>
          </w:p>
        </w:tc>
        <w:tc>
          <w:tcPr>
            <w:tcW w:w="1275" w:type="dxa"/>
            <w:tcBorders>
              <w:top w:val="single" w:sz="4" w:space="0" w:color="auto"/>
              <w:left w:val="single" w:sz="4" w:space="0" w:color="auto"/>
              <w:bottom w:val="single" w:sz="4" w:space="0" w:color="auto"/>
              <w:right w:val="single" w:sz="4" w:space="0" w:color="auto"/>
            </w:tcBorders>
            <w:vAlign w:val="bottom"/>
            <w:hideMark/>
          </w:tcPr>
          <w:p w:rsidR="00463F57" w:rsidRPr="00B57DAB" w:rsidRDefault="00463F57" w:rsidP="00E171FD">
            <w:pPr>
              <w:jc w:val="right"/>
              <w:rPr>
                <w:rFonts w:ascii="GHEA Grapalat" w:hAnsi="GHEA Grapalat"/>
                <w:b/>
                <w:bCs/>
                <w:sz w:val="18"/>
                <w:szCs w:val="18"/>
              </w:rPr>
            </w:pPr>
            <w:r w:rsidRPr="00B57DAB">
              <w:rPr>
                <w:rFonts w:ascii="GHEA Grapalat" w:hAnsi="GHEA Grapalat"/>
                <w:b/>
                <w:bCs/>
                <w:sz w:val="18"/>
                <w:szCs w:val="18"/>
              </w:rPr>
              <w:t>100.3</w:t>
            </w:r>
          </w:p>
        </w:tc>
        <w:tc>
          <w:tcPr>
            <w:tcW w:w="1149" w:type="dxa"/>
            <w:tcBorders>
              <w:top w:val="single" w:sz="4" w:space="0" w:color="auto"/>
              <w:left w:val="single" w:sz="4" w:space="0" w:color="auto"/>
              <w:bottom w:val="single" w:sz="4" w:space="0" w:color="auto"/>
              <w:right w:val="single" w:sz="4" w:space="0" w:color="auto"/>
            </w:tcBorders>
            <w:vAlign w:val="bottom"/>
            <w:hideMark/>
          </w:tcPr>
          <w:p w:rsidR="00463F57" w:rsidRPr="00B57DAB" w:rsidRDefault="00463F57" w:rsidP="00E171FD">
            <w:pPr>
              <w:jc w:val="right"/>
              <w:rPr>
                <w:rFonts w:ascii="GHEA Grapalat" w:hAnsi="GHEA Grapalat"/>
                <w:b/>
                <w:bCs/>
                <w:sz w:val="18"/>
                <w:szCs w:val="18"/>
              </w:rPr>
            </w:pPr>
            <w:r w:rsidRPr="00B57DAB">
              <w:rPr>
                <w:rFonts w:ascii="GHEA Grapalat" w:hAnsi="GHEA Grapalat"/>
                <w:b/>
                <w:bCs/>
                <w:sz w:val="18"/>
                <w:szCs w:val="18"/>
              </w:rPr>
              <w:t>6.5</w:t>
            </w:r>
          </w:p>
        </w:tc>
      </w:tr>
      <w:tr w:rsidR="00463F57" w:rsidRPr="00B57DAB" w:rsidTr="00E171FD">
        <w:trPr>
          <w:trHeight w:val="300"/>
          <w:jc w:val="center"/>
        </w:trPr>
        <w:tc>
          <w:tcPr>
            <w:tcW w:w="3559" w:type="dxa"/>
            <w:tcBorders>
              <w:top w:val="single" w:sz="4" w:space="0" w:color="auto"/>
              <w:left w:val="single" w:sz="4" w:space="0" w:color="auto"/>
              <w:bottom w:val="single" w:sz="4" w:space="0" w:color="auto"/>
              <w:right w:val="single" w:sz="4" w:space="0" w:color="auto"/>
            </w:tcBorders>
            <w:vAlign w:val="bottom"/>
            <w:hideMark/>
          </w:tcPr>
          <w:p w:rsidR="00463F57" w:rsidRPr="00B57DAB" w:rsidRDefault="00463F57" w:rsidP="00E171FD">
            <w:pPr>
              <w:rPr>
                <w:rFonts w:ascii="GHEA Grapalat" w:hAnsi="GHEA Grapalat"/>
                <w:sz w:val="18"/>
                <w:szCs w:val="18"/>
              </w:rPr>
            </w:pPr>
            <w:r w:rsidRPr="00B57DAB">
              <w:rPr>
                <w:rFonts w:ascii="GHEA Grapalat" w:hAnsi="GHEA Grapalat"/>
                <w:sz w:val="18"/>
                <w:szCs w:val="18"/>
              </w:rPr>
              <w:t>Փրկարարական ծառայություններ</w:t>
            </w:r>
          </w:p>
        </w:tc>
        <w:tc>
          <w:tcPr>
            <w:tcW w:w="992" w:type="dxa"/>
            <w:tcBorders>
              <w:top w:val="single" w:sz="4" w:space="0" w:color="auto"/>
              <w:left w:val="single" w:sz="4" w:space="0" w:color="auto"/>
              <w:bottom w:val="single" w:sz="4" w:space="0" w:color="auto"/>
              <w:right w:val="single" w:sz="4" w:space="0" w:color="auto"/>
            </w:tcBorders>
            <w:vAlign w:val="bottom"/>
            <w:hideMark/>
          </w:tcPr>
          <w:p w:rsidR="00463F57" w:rsidRPr="00B57DAB" w:rsidRDefault="00463F57" w:rsidP="00E171FD">
            <w:pPr>
              <w:jc w:val="right"/>
              <w:rPr>
                <w:rFonts w:ascii="GHEA Grapalat" w:hAnsi="GHEA Grapalat"/>
                <w:sz w:val="18"/>
                <w:szCs w:val="18"/>
              </w:rPr>
            </w:pPr>
            <w:r w:rsidRPr="00B57DAB">
              <w:rPr>
                <w:rFonts w:ascii="GHEA Grapalat" w:hAnsi="GHEA Grapalat"/>
                <w:sz w:val="18"/>
                <w:szCs w:val="18"/>
              </w:rPr>
              <w:t>1,711.5</w:t>
            </w:r>
          </w:p>
        </w:tc>
        <w:tc>
          <w:tcPr>
            <w:tcW w:w="1043" w:type="dxa"/>
            <w:tcBorders>
              <w:top w:val="single" w:sz="4" w:space="0" w:color="auto"/>
              <w:left w:val="single" w:sz="4" w:space="0" w:color="auto"/>
              <w:bottom w:val="single" w:sz="4" w:space="0" w:color="auto"/>
              <w:right w:val="single" w:sz="4" w:space="0" w:color="auto"/>
            </w:tcBorders>
            <w:vAlign w:val="bottom"/>
            <w:hideMark/>
          </w:tcPr>
          <w:p w:rsidR="00463F57" w:rsidRPr="00B57DAB" w:rsidRDefault="00463F57" w:rsidP="00E171FD">
            <w:pPr>
              <w:jc w:val="right"/>
              <w:rPr>
                <w:rFonts w:ascii="GHEA Grapalat" w:hAnsi="GHEA Grapalat"/>
                <w:sz w:val="18"/>
                <w:szCs w:val="18"/>
              </w:rPr>
            </w:pPr>
            <w:r w:rsidRPr="00B57DAB">
              <w:rPr>
                <w:rFonts w:ascii="GHEA Grapalat" w:hAnsi="GHEA Grapalat"/>
                <w:sz w:val="18"/>
                <w:szCs w:val="18"/>
              </w:rPr>
              <w:t>2,665.5</w:t>
            </w:r>
          </w:p>
        </w:tc>
        <w:tc>
          <w:tcPr>
            <w:tcW w:w="942" w:type="dxa"/>
            <w:tcBorders>
              <w:top w:val="single" w:sz="4" w:space="0" w:color="auto"/>
              <w:left w:val="single" w:sz="4" w:space="0" w:color="auto"/>
              <w:bottom w:val="single" w:sz="4" w:space="0" w:color="auto"/>
              <w:right w:val="single" w:sz="4" w:space="0" w:color="auto"/>
            </w:tcBorders>
            <w:vAlign w:val="bottom"/>
            <w:hideMark/>
          </w:tcPr>
          <w:p w:rsidR="00463F57" w:rsidRPr="00B57DAB" w:rsidRDefault="00463F57" w:rsidP="00E171FD">
            <w:pPr>
              <w:jc w:val="right"/>
              <w:rPr>
                <w:rFonts w:ascii="GHEA Grapalat" w:hAnsi="GHEA Grapalat"/>
                <w:sz w:val="18"/>
                <w:szCs w:val="18"/>
              </w:rPr>
            </w:pPr>
            <w:r w:rsidRPr="00B57DAB">
              <w:rPr>
                <w:rFonts w:ascii="GHEA Grapalat" w:hAnsi="GHEA Grapalat"/>
                <w:sz w:val="18"/>
                <w:szCs w:val="18"/>
              </w:rPr>
              <w:t>1,698.1</w:t>
            </w:r>
          </w:p>
        </w:tc>
        <w:tc>
          <w:tcPr>
            <w:tcW w:w="1276" w:type="dxa"/>
            <w:tcBorders>
              <w:top w:val="single" w:sz="4" w:space="0" w:color="auto"/>
              <w:left w:val="single" w:sz="4" w:space="0" w:color="auto"/>
              <w:bottom w:val="single" w:sz="4" w:space="0" w:color="auto"/>
              <w:right w:val="single" w:sz="4" w:space="0" w:color="auto"/>
            </w:tcBorders>
            <w:vAlign w:val="bottom"/>
            <w:hideMark/>
          </w:tcPr>
          <w:p w:rsidR="00463F57" w:rsidRPr="00B57DAB" w:rsidRDefault="00463F57" w:rsidP="00E171FD">
            <w:pPr>
              <w:jc w:val="right"/>
              <w:rPr>
                <w:rFonts w:ascii="GHEA Grapalat" w:hAnsi="GHEA Grapalat"/>
                <w:sz w:val="18"/>
                <w:szCs w:val="18"/>
              </w:rPr>
            </w:pPr>
            <w:r w:rsidRPr="00B57DAB">
              <w:rPr>
                <w:rFonts w:ascii="GHEA Grapalat" w:hAnsi="GHEA Grapalat"/>
                <w:sz w:val="18"/>
                <w:szCs w:val="18"/>
              </w:rPr>
              <w:t>63.7</w:t>
            </w:r>
          </w:p>
        </w:tc>
        <w:tc>
          <w:tcPr>
            <w:tcW w:w="1275" w:type="dxa"/>
            <w:tcBorders>
              <w:top w:val="single" w:sz="4" w:space="0" w:color="auto"/>
              <w:left w:val="single" w:sz="4" w:space="0" w:color="auto"/>
              <w:bottom w:val="single" w:sz="4" w:space="0" w:color="auto"/>
              <w:right w:val="single" w:sz="4" w:space="0" w:color="auto"/>
            </w:tcBorders>
            <w:vAlign w:val="bottom"/>
            <w:hideMark/>
          </w:tcPr>
          <w:p w:rsidR="00463F57" w:rsidRPr="00B57DAB" w:rsidRDefault="00463F57" w:rsidP="00E171FD">
            <w:pPr>
              <w:jc w:val="right"/>
              <w:rPr>
                <w:rFonts w:ascii="GHEA Grapalat" w:hAnsi="GHEA Grapalat"/>
                <w:sz w:val="18"/>
                <w:szCs w:val="18"/>
              </w:rPr>
            </w:pPr>
            <w:r w:rsidRPr="00B57DAB">
              <w:rPr>
                <w:rFonts w:ascii="GHEA Grapalat" w:hAnsi="GHEA Grapalat"/>
                <w:sz w:val="18"/>
                <w:szCs w:val="18"/>
              </w:rPr>
              <w:t>99.2</w:t>
            </w:r>
          </w:p>
        </w:tc>
        <w:tc>
          <w:tcPr>
            <w:tcW w:w="1149" w:type="dxa"/>
            <w:tcBorders>
              <w:top w:val="single" w:sz="4" w:space="0" w:color="auto"/>
              <w:left w:val="single" w:sz="4" w:space="0" w:color="auto"/>
              <w:bottom w:val="single" w:sz="4" w:space="0" w:color="auto"/>
              <w:right w:val="single" w:sz="4" w:space="0" w:color="auto"/>
            </w:tcBorders>
            <w:vAlign w:val="bottom"/>
            <w:hideMark/>
          </w:tcPr>
          <w:p w:rsidR="00463F57" w:rsidRPr="00B57DAB" w:rsidRDefault="00463F57" w:rsidP="00E171FD">
            <w:pPr>
              <w:jc w:val="right"/>
              <w:rPr>
                <w:rFonts w:ascii="GHEA Grapalat" w:hAnsi="GHEA Grapalat"/>
                <w:sz w:val="18"/>
                <w:szCs w:val="18"/>
              </w:rPr>
            </w:pPr>
            <w:r w:rsidRPr="00B57DAB">
              <w:rPr>
                <w:rFonts w:ascii="GHEA Grapalat" w:hAnsi="GHEA Grapalat"/>
                <w:sz w:val="18"/>
                <w:szCs w:val="18"/>
              </w:rPr>
              <w:t>(13.4)</w:t>
            </w:r>
          </w:p>
        </w:tc>
      </w:tr>
      <w:tr w:rsidR="00463F57" w:rsidRPr="00B57DAB" w:rsidTr="00E171FD">
        <w:trPr>
          <w:trHeight w:val="300"/>
          <w:jc w:val="center"/>
        </w:trPr>
        <w:tc>
          <w:tcPr>
            <w:tcW w:w="3559" w:type="dxa"/>
            <w:tcBorders>
              <w:top w:val="single" w:sz="4" w:space="0" w:color="auto"/>
              <w:left w:val="single" w:sz="4" w:space="0" w:color="auto"/>
              <w:bottom w:val="single" w:sz="4" w:space="0" w:color="auto"/>
              <w:right w:val="single" w:sz="4" w:space="0" w:color="auto"/>
            </w:tcBorders>
            <w:vAlign w:val="bottom"/>
            <w:hideMark/>
          </w:tcPr>
          <w:p w:rsidR="00463F57" w:rsidRPr="00B57DAB" w:rsidRDefault="00463F57" w:rsidP="00E171FD">
            <w:pPr>
              <w:rPr>
                <w:rFonts w:ascii="GHEA Grapalat" w:hAnsi="GHEA Grapalat"/>
                <w:sz w:val="18"/>
                <w:szCs w:val="18"/>
              </w:rPr>
            </w:pPr>
            <w:r w:rsidRPr="00B57DAB">
              <w:rPr>
                <w:rFonts w:ascii="GHEA Grapalat" w:hAnsi="GHEA Grapalat"/>
                <w:sz w:val="18"/>
                <w:szCs w:val="18"/>
              </w:rPr>
              <w:t>Արտակարգ իրավիճակների բնագավառի պետական քաղաքականության մշակում, ծրագրերի համակարգում և մոնիտորինգ</w:t>
            </w:r>
          </w:p>
        </w:tc>
        <w:tc>
          <w:tcPr>
            <w:tcW w:w="992" w:type="dxa"/>
            <w:tcBorders>
              <w:top w:val="single" w:sz="4" w:space="0" w:color="auto"/>
              <w:left w:val="single" w:sz="4" w:space="0" w:color="auto"/>
              <w:bottom w:val="single" w:sz="4" w:space="0" w:color="auto"/>
              <w:right w:val="single" w:sz="4" w:space="0" w:color="auto"/>
            </w:tcBorders>
            <w:vAlign w:val="bottom"/>
            <w:hideMark/>
          </w:tcPr>
          <w:p w:rsidR="00463F57" w:rsidRPr="00B57DAB" w:rsidRDefault="00463F57" w:rsidP="00E171FD">
            <w:pPr>
              <w:jc w:val="right"/>
              <w:rPr>
                <w:rFonts w:ascii="GHEA Grapalat" w:hAnsi="GHEA Grapalat"/>
                <w:sz w:val="18"/>
                <w:szCs w:val="18"/>
              </w:rPr>
            </w:pPr>
            <w:r w:rsidRPr="00B57DAB">
              <w:rPr>
                <w:rFonts w:ascii="GHEA Grapalat" w:hAnsi="GHEA Grapalat"/>
                <w:sz w:val="18"/>
                <w:szCs w:val="18"/>
              </w:rPr>
              <w:t>186.2</w:t>
            </w:r>
          </w:p>
        </w:tc>
        <w:tc>
          <w:tcPr>
            <w:tcW w:w="1043" w:type="dxa"/>
            <w:tcBorders>
              <w:top w:val="single" w:sz="4" w:space="0" w:color="auto"/>
              <w:left w:val="single" w:sz="4" w:space="0" w:color="auto"/>
              <w:bottom w:val="single" w:sz="4" w:space="0" w:color="auto"/>
              <w:right w:val="single" w:sz="4" w:space="0" w:color="auto"/>
            </w:tcBorders>
            <w:vAlign w:val="bottom"/>
            <w:hideMark/>
          </w:tcPr>
          <w:p w:rsidR="00463F57" w:rsidRPr="00B57DAB" w:rsidRDefault="00463F57" w:rsidP="00E171FD">
            <w:pPr>
              <w:jc w:val="right"/>
              <w:rPr>
                <w:rFonts w:ascii="GHEA Grapalat" w:hAnsi="GHEA Grapalat"/>
                <w:sz w:val="18"/>
                <w:szCs w:val="18"/>
              </w:rPr>
            </w:pPr>
            <w:r w:rsidRPr="00B57DAB">
              <w:rPr>
                <w:rFonts w:ascii="GHEA Grapalat" w:hAnsi="GHEA Grapalat"/>
                <w:sz w:val="18"/>
                <w:szCs w:val="18"/>
              </w:rPr>
              <w:t>293.4</w:t>
            </w:r>
          </w:p>
        </w:tc>
        <w:tc>
          <w:tcPr>
            <w:tcW w:w="942" w:type="dxa"/>
            <w:tcBorders>
              <w:top w:val="single" w:sz="4" w:space="0" w:color="auto"/>
              <w:left w:val="single" w:sz="4" w:space="0" w:color="auto"/>
              <w:bottom w:val="single" w:sz="4" w:space="0" w:color="auto"/>
              <w:right w:val="single" w:sz="4" w:space="0" w:color="auto"/>
            </w:tcBorders>
            <w:vAlign w:val="bottom"/>
            <w:hideMark/>
          </w:tcPr>
          <w:p w:rsidR="00463F57" w:rsidRPr="00B57DAB" w:rsidRDefault="00463F57" w:rsidP="00E171FD">
            <w:pPr>
              <w:jc w:val="right"/>
              <w:rPr>
                <w:rFonts w:ascii="GHEA Grapalat" w:hAnsi="GHEA Grapalat"/>
                <w:sz w:val="18"/>
                <w:szCs w:val="18"/>
              </w:rPr>
            </w:pPr>
            <w:r w:rsidRPr="00B57DAB">
              <w:rPr>
                <w:rFonts w:ascii="GHEA Grapalat" w:hAnsi="GHEA Grapalat"/>
                <w:sz w:val="18"/>
                <w:szCs w:val="18"/>
              </w:rPr>
              <w:t>234.8</w:t>
            </w:r>
          </w:p>
        </w:tc>
        <w:tc>
          <w:tcPr>
            <w:tcW w:w="1276" w:type="dxa"/>
            <w:tcBorders>
              <w:top w:val="single" w:sz="4" w:space="0" w:color="auto"/>
              <w:left w:val="single" w:sz="4" w:space="0" w:color="auto"/>
              <w:bottom w:val="single" w:sz="4" w:space="0" w:color="auto"/>
              <w:right w:val="single" w:sz="4" w:space="0" w:color="auto"/>
            </w:tcBorders>
            <w:vAlign w:val="bottom"/>
            <w:hideMark/>
          </w:tcPr>
          <w:p w:rsidR="00463F57" w:rsidRPr="00B57DAB" w:rsidRDefault="00463F57" w:rsidP="00E171FD">
            <w:pPr>
              <w:jc w:val="right"/>
              <w:rPr>
                <w:rFonts w:ascii="GHEA Grapalat" w:hAnsi="GHEA Grapalat"/>
                <w:sz w:val="18"/>
                <w:szCs w:val="18"/>
              </w:rPr>
            </w:pPr>
            <w:r w:rsidRPr="00B57DAB">
              <w:rPr>
                <w:rFonts w:ascii="GHEA Grapalat" w:hAnsi="GHEA Grapalat"/>
                <w:sz w:val="18"/>
                <w:szCs w:val="18"/>
              </w:rPr>
              <w:t>80.0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463F57" w:rsidRPr="00B57DAB" w:rsidRDefault="00463F57" w:rsidP="00E171FD">
            <w:pPr>
              <w:jc w:val="right"/>
              <w:rPr>
                <w:rFonts w:ascii="GHEA Grapalat" w:hAnsi="GHEA Grapalat"/>
                <w:sz w:val="18"/>
                <w:szCs w:val="18"/>
              </w:rPr>
            </w:pPr>
            <w:r w:rsidRPr="00B57DAB">
              <w:rPr>
                <w:rFonts w:ascii="GHEA Grapalat" w:hAnsi="GHEA Grapalat"/>
                <w:sz w:val="18"/>
                <w:szCs w:val="18"/>
              </w:rPr>
              <w:t>126.1</w:t>
            </w:r>
          </w:p>
        </w:tc>
        <w:tc>
          <w:tcPr>
            <w:tcW w:w="1149" w:type="dxa"/>
            <w:tcBorders>
              <w:top w:val="single" w:sz="4" w:space="0" w:color="auto"/>
              <w:left w:val="single" w:sz="4" w:space="0" w:color="auto"/>
              <w:bottom w:val="single" w:sz="4" w:space="0" w:color="auto"/>
              <w:right w:val="single" w:sz="4" w:space="0" w:color="auto"/>
            </w:tcBorders>
            <w:vAlign w:val="bottom"/>
            <w:hideMark/>
          </w:tcPr>
          <w:p w:rsidR="00463F57" w:rsidRPr="00B57DAB" w:rsidRDefault="00463F57" w:rsidP="00E171FD">
            <w:pPr>
              <w:jc w:val="right"/>
              <w:rPr>
                <w:rFonts w:ascii="GHEA Grapalat" w:hAnsi="GHEA Grapalat"/>
                <w:sz w:val="18"/>
                <w:szCs w:val="18"/>
              </w:rPr>
            </w:pPr>
            <w:r w:rsidRPr="00B57DAB">
              <w:rPr>
                <w:rFonts w:ascii="GHEA Grapalat" w:hAnsi="GHEA Grapalat"/>
                <w:sz w:val="18"/>
                <w:szCs w:val="18"/>
              </w:rPr>
              <w:t>48.6</w:t>
            </w:r>
          </w:p>
        </w:tc>
      </w:tr>
      <w:tr w:rsidR="00463F57" w:rsidRPr="00B57DAB" w:rsidTr="00E171FD">
        <w:trPr>
          <w:trHeight w:val="300"/>
          <w:jc w:val="center"/>
        </w:trPr>
        <w:tc>
          <w:tcPr>
            <w:tcW w:w="3559" w:type="dxa"/>
            <w:tcBorders>
              <w:top w:val="single" w:sz="4" w:space="0" w:color="auto"/>
              <w:left w:val="single" w:sz="4" w:space="0" w:color="auto"/>
              <w:bottom w:val="single" w:sz="4" w:space="0" w:color="auto"/>
              <w:right w:val="single" w:sz="4" w:space="0" w:color="auto"/>
            </w:tcBorders>
            <w:vAlign w:val="bottom"/>
            <w:hideMark/>
          </w:tcPr>
          <w:p w:rsidR="00463F57" w:rsidRPr="00B57DAB" w:rsidRDefault="00463F57" w:rsidP="00E171FD">
            <w:pPr>
              <w:rPr>
                <w:rFonts w:ascii="GHEA Grapalat" w:hAnsi="GHEA Grapalat"/>
                <w:sz w:val="18"/>
                <w:szCs w:val="18"/>
              </w:rPr>
            </w:pPr>
            <w:r w:rsidRPr="00B57DAB">
              <w:rPr>
                <w:rFonts w:ascii="GHEA Grapalat" w:hAnsi="GHEA Grapalat"/>
                <w:sz w:val="18"/>
                <w:szCs w:val="18"/>
              </w:rPr>
              <w:t>Այլ ծրագրեր</w:t>
            </w:r>
          </w:p>
        </w:tc>
        <w:tc>
          <w:tcPr>
            <w:tcW w:w="992" w:type="dxa"/>
            <w:tcBorders>
              <w:top w:val="single" w:sz="4" w:space="0" w:color="auto"/>
              <w:left w:val="single" w:sz="4" w:space="0" w:color="auto"/>
              <w:bottom w:val="single" w:sz="4" w:space="0" w:color="auto"/>
              <w:right w:val="single" w:sz="4" w:space="0" w:color="auto"/>
            </w:tcBorders>
            <w:vAlign w:val="bottom"/>
            <w:hideMark/>
          </w:tcPr>
          <w:p w:rsidR="00463F57" w:rsidRPr="00B57DAB" w:rsidRDefault="00463F57" w:rsidP="00E171FD">
            <w:pPr>
              <w:jc w:val="right"/>
              <w:rPr>
                <w:rFonts w:ascii="GHEA Grapalat" w:hAnsi="GHEA Grapalat"/>
                <w:sz w:val="18"/>
                <w:szCs w:val="18"/>
              </w:rPr>
            </w:pPr>
            <w:r w:rsidRPr="00B57DAB">
              <w:rPr>
                <w:rFonts w:ascii="GHEA Grapalat" w:hAnsi="GHEA Grapalat"/>
                <w:sz w:val="18"/>
                <w:szCs w:val="18"/>
              </w:rPr>
              <w:t>245.1</w:t>
            </w:r>
          </w:p>
        </w:tc>
        <w:tc>
          <w:tcPr>
            <w:tcW w:w="1043" w:type="dxa"/>
            <w:tcBorders>
              <w:top w:val="single" w:sz="4" w:space="0" w:color="auto"/>
              <w:left w:val="single" w:sz="4" w:space="0" w:color="auto"/>
              <w:bottom w:val="single" w:sz="4" w:space="0" w:color="auto"/>
              <w:right w:val="single" w:sz="4" w:space="0" w:color="auto"/>
            </w:tcBorders>
            <w:vAlign w:val="bottom"/>
            <w:hideMark/>
          </w:tcPr>
          <w:p w:rsidR="00463F57" w:rsidRPr="00B57DAB" w:rsidRDefault="00463F57" w:rsidP="00E171FD">
            <w:pPr>
              <w:jc w:val="right"/>
              <w:rPr>
                <w:rFonts w:ascii="GHEA Grapalat" w:hAnsi="GHEA Grapalat"/>
                <w:sz w:val="18"/>
                <w:szCs w:val="18"/>
              </w:rPr>
            </w:pPr>
            <w:r w:rsidRPr="00B57DAB">
              <w:rPr>
                <w:rFonts w:ascii="GHEA Grapalat" w:hAnsi="GHEA Grapalat"/>
                <w:sz w:val="18"/>
                <w:szCs w:val="18"/>
              </w:rPr>
              <w:t>252.4</w:t>
            </w:r>
          </w:p>
        </w:tc>
        <w:tc>
          <w:tcPr>
            <w:tcW w:w="942" w:type="dxa"/>
            <w:tcBorders>
              <w:top w:val="single" w:sz="4" w:space="0" w:color="auto"/>
              <w:left w:val="single" w:sz="4" w:space="0" w:color="auto"/>
              <w:bottom w:val="single" w:sz="4" w:space="0" w:color="auto"/>
              <w:right w:val="single" w:sz="4" w:space="0" w:color="auto"/>
            </w:tcBorders>
            <w:vAlign w:val="bottom"/>
            <w:hideMark/>
          </w:tcPr>
          <w:p w:rsidR="00463F57" w:rsidRPr="00B57DAB" w:rsidRDefault="00463F57" w:rsidP="00E171FD">
            <w:pPr>
              <w:jc w:val="right"/>
              <w:rPr>
                <w:rFonts w:ascii="GHEA Grapalat" w:hAnsi="GHEA Grapalat"/>
                <w:sz w:val="18"/>
                <w:szCs w:val="18"/>
              </w:rPr>
            </w:pPr>
            <w:r w:rsidRPr="00B57DAB">
              <w:rPr>
                <w:rFonts w:ascii="GHEA Grapalat" w:hAnsi="GHEA Grapalat"/>
                <w:sz w:val="18"/>
                <w:szCs w:val="18"/>
              </w:rPr>
              <w:t>216.4</w:t>
            </w:r>
          </w:p>
        </w:tc>
        <w:tc>
          <w:tcPr>
            <w:tcW w:w="1276" w:type="dxa"/>
            <w:tcBorders>
              <w:top w:val="single" w:sz="4" w:space="0" w:color="auto"/>
              <w:left w:val="single" w:sz="4" w:space="0" w:color="auto"/>
              <w:bottom w:val="single" w:sz="4" w:space="0" w:color="auto"/>
              <w:right w:val="single" w:sz="4" w:space="0" w:color="auto"/>
            </w:tcBorders>
            <w:vAlign w:val="bottom"/>
            <w:hideMark/>
          </w:tcPr>
          <w:p w:rsidR="00463F57" w:rsidRPr="00B57DAB" w:rsidRDefault="00463F57" w:rsidP="00E171FD">
            <w:pPr>
              <w:jc w:val="right"/>
              <w:rPr>
                <w:rFonts w:ascii="GHEA Grapalat" w:hAnsi="GHEA Grapalat"/>
                <w:sz w:val="18"/>
                <w:szCs w:val="18"/>
              </w:rPr>
            </w:pPr>
            <w:r w:rsidRPr="00B57DAB">
              <w:rPr>
                <w:rFonts w:ascii="GHEA Grapalat" w:hAnsi="GHEA Grapalat"/>
                <w:sz w:val="18"/>
                <w:szCs w:val="18"/>
              </w:rPr>
              <w:t>85.7</w:t>
            </w:r>
          </w:p>
        </w:tc>
        <w:tc>
          <w:tcPr>
            <w:tcW w:w="1275" w:type="dxa"/>
            <w:tcBorders>
              <w:top w:val="single" w:sz="4" w:space="0" w:color="auto"/>
              <w:left w:val="single" w:sz="4" w:space="0" w:color="auto"/>
              <w:bottom w:val="single" w:sz="4" w:space="0" w:color="auto"/>
              <w:right w:val="single" w:sz="4" w:space="0" w:color="auto"/>
            </w:tcBorders>
            <w:vAlign w:val="bottom"/>
            <w:hideMark/>
          </w:tcPr>
          <w:p w:rsidR="00463F57" w:rsidRPr="00B57DAB" w:rsidRDefault="00463F57" w:rsidP="00E171FD">
            <w:pPr>
              <w:jc w:val="right"/>
              <w:rPr>
                <w:rFonts w:ascii="GHEA Grapalat" w:hAnsi="GHEA Grapalat"/>
                <w:sz w:val="18"/>
                <w:szCs w:val="18"/>
              </w:rPr>
            </w:pPr>
            <w:r w:rsidRPr="00B57DAB">
              <w:rPr>
                <w:rFonts w:ascii="GHEA Grapalat" w:hAnsi="GHEA Grapalat"/>
                <w:sz w:val="18"/>
                <w:szCs w:val="18"/>
              </w:rPr>
              <w:t>88.3</w:t>
            </w:r>
          </w:p>
        </w:tc>
        <w:tc>
          <w:tcPr>
            <w:tcW w:w="1149" w:type="dxa"/>
            <w:tcBorders>
              <w:top w:val="single" w:sz="4" w:space="0" w:color="auto"/>
              <w:left w:val="single" w:sz="4" w:space="0" w:color="auto"/>
              <w:bottom w:val="single" w:sz="4" w:space="0" w:color="auto"/>
              <w:right w:val="single" w:sz="4" w:space="0" w:color="auto"/>
            </w:tcBorders>
            <w:vAlign w:val="bottom"/>
            <w:hideMark/>
          </w:tcPr>
          <w:p w:rsidR="00463F57" w:rsidRPr="00B57DAB" w:rsidRDefault="00463F57" w:rsidP="00E171FD">
            <w:pPr>
              <w:jc w:val="right"/>
              <w:rPr>
                <w:rFonts w:ascii="GHEA Grapalat" w:hAnsi="GHEA Grapalat"/>
                <w:sz w:val="18"/>
                <w:szCs w:val="18"/>
              </w:rPr>
            </w:pPr>
            <w:r w:rsidRPr="00B57DAB">
              <w:rPr>
                <w:rFonts w:ascii="GHEA Grapalat" w:hAnsi="GHEA Grapalat"/>
                <w:sz w:val="18"/>
                <w:szCs w:val="18"/>
              </w:rPr>
              <w:t>(28.7)</w:t>
            </w:r>
          </w:p>
        </w:tc>
      </w:tr>
    </w:tbl>
    <w:p w:rsidR="00463F57" w:rsidRPr="00B57DAB" w:rsidRDefault="00463F57" w:rsidP="00463F57">
      <w:pPr>
        <w:autoSpaceDE w:val="0"/>
        <w:autoSpaceDN w:val="0"/>
        <w:adjustRightInd w:val="0"/>
        <w:spacing w:line="360" w:lineRule="auto"/>
        <w:ind w:firstLine="567"/>
        <w:jc w:val="both"/>
        <w:rPr>
          <w:rFonts w:ascii="GHEA Grapalat" w:hAnsi="GHEA Grapalat" w:cs="GHEA Grapalat"/>
          <w:sz w:val="22"/>
          <w:szCs w:val="22"/>
        </w:rPr>
      </w:pPr>
    </w:p>
    <w:p w:rsidR="00463F57" w:rsidRPr="00B57DAB" w:rsidRDefault="00463F57" w:rsidP="00463F57">
      <w:pPr>
        <w:autoSpaceDE w:val="0"/>
        <w:autoSpaceDN w:val="0"/>
        <w:adjustRightInd w:val="0"/>
        <w:spacing w:line="360" w:lineRule="auto"/>
        <w:ind w:firstLine="567"/>
        <w:jc w:val="both"/>
        <w:rPr>
          <w:rFonts w:ascii="GHEA Grapalat" w:hAnsi="GHEA Grapalat"/>
          <w:sz w:val="22"/>
          <w:szCs w:val="22"/>
        </w:rPr>
      </w:pPr>
      <w:r w:rsidRPr="00B57DAB">
        <w:rPr>
          <w:rFonts w:ascii="GHEA Grapalat" w:hAnsi="GHEA Grapalat" w:cs="GHEA Grapalat"/>
          <w:sz w:val="22"/>
          <w:szCs w:val="22"/>
        </w:rPr>
        <w:t xml:space="preserve">Հաշվետու ժամանակահատվածում </w:t>
      </w:r>
      <w:r w:rsidRPr="00B57DAB">
        <w:rPr>
          <w:rFonts w:ascii="GHEA Grapalat" w:hAnsi="GHEA Grapalat" w:cs="GHEA Grapalat"/>
          <w:i/>
          <w:sz w:val="22"/>
          <w:szCs w:val="22"/>
        </w:rPr>
        <w:t>«Փրկարարական ծառայություններ»</w:t>
      </w:r>
      <w:r w:rsidRPr="00B57DAB">
        <w:rPr>
          <w:rFonts w:ascii="GHEA Grapalat" w:hAnsi="GHEA Grapalat" w:cs="GHEA Grapalat"/>
          <w:sz w:val="22"/>
          <w:szCs w:val="22"/>
        </w:rPr>
        <w:t xml:space="preserve"> </w:t>
      </w:r>
      <w:r w:rsidRPr="00B57DAB">
        <w:rPr>
          <w:rFonts w:ascii="GHEA Grapalat" w:hAnsi="GHEA Grapalat" w:cs="Sylfaen"/>
          <w:sz w:val="22"/>
          <w:szCs w:val="22"/>
        </w:rPr>
        <w:t>ծրագրի շրջանակներում օգտագործվել է շուրջ 1.7 մլրդ դրամ</w:t>
      </w:r>
      <w:r w:rsidRPr="00B57DAB">
        <w:rPr>
          <w:rFonts w:ascii="GHEA Grapalat" w:hAnsi="GHEA Grapalat"/>
          <w:sz w:val="22"/>
          <w:szCs w:val="22"/>
        </w:rPr>
        <w:t xml:space="preserve"> կամ նախատեսվածի 63.</w:t>
      </w:r>
      <w:r w:rsidR="00E85415" w:rsidRPr="00B57DAB">
        <w:rPr>
          <w:rFonts w:ascii="GHEA Grapalat" w:hAnsi="GHEA Grapalat"/>
          <w:sz w:val="22"/>
          <w:szCs w:val="22"/>
        </w:rPr>
        <w:t>7</w:t>
      </w:r>
      <w:r w:rsidRPr="00B57DAB">
        <w:rPr>
          <w:rFonts w:ascii="GHEA Grapalat" w:hAnsi="GHEA Grapalat"/>
          <w:sz w:val="22"/>
          <w:szCs w:val="22"/>
        </w:rPr>
        <w:t xml:space="preserve">%-ը: </w:t>
      </w:r>
      <w:r w:rsidRPr="00B57DAB">
        <w:rPr>
          <w:rFonts w:ascii="GHEA Grapalat" w:hAnsi="GHEA Grapalat" w:cs="Sylfaen"/>
          <w:sz w:val="22"/>
          <w:szCs w:val="22"/>
        </w:rPr>
        <w:t xml:space="preserve">Շեղումը հիմնականում պայմանավորված է նրանով, որ </w:t>
      </w:r>
      <w:r w:rsidR="00E85415" w:rsidRPr="00B57DAB">
        <w:rPr>
          <w:rFonts w:ascii="GHEA Grapalat" w:hAnsi="GHEA Grapalat" w:cs="Sylfaen"/>
          <w:sz w:val="22"/>
          <w:szCs w:val="22"/>
        </w:rPr>
        <w:t>«Փրկարարական ծառայություններ» միջոցառման շրջանակներում</w:t>
      </w:r>
      <w:r w:rsidR="00B55C95" w:rsidRPr="00B57DAB">
        <w:rPr>
          <w:rFonts w:ascii="GHEA Grapalat" w:hAnsi="GHEA Grapalat" w:cs="Sylfaen"/>
          <w:sz w:val="22"/>
          <w:szCs w:val="22"/>
        </w:rPr>
        <w:t xml:space="preserve"> նախատեսված</w:t>
      </w:r>
      <w:r w:rsidR="00E85415" w:rsidRPr="00B57DAB">
        <w:rPr>
          <w:rFonts w:ascii="GHEA Grapalat" w:hAnsi="GHEA Grapalat" w:cs="Sylfaen"/>
          <w:sz w:val="22"/>
          <w:szCs w:val="22"/>
        </w:rPr>
        <w:t xml:space="preserve"> </w:t>
      </w:r>
      <w:r w:rsidRPr="00B57DAB">
        <w:rPr>
          <w:rFonts w:ascii="GHEA Grapalat" w:hAnsi="GHEA Grapalat" w:cs="Sylfaen"/>
          <w:sz w:val="22"/>
          <w:szCs w:val="22"/>
        </w:rPr>
        <w:t>մարտ ամսվա աշխատավարձի ծախսերը վճարվել են ապրիլ ամսին:</w:t>
      </w:r>
      <w:r w:rsidRPr="00B57DAB">
        <w:rPr>
          <w:rFonts w:ascii="GHEA Grapalat" w:hAnsi="GHEA Grapalat" w:cs="GHEA Grapalat"/>
          <w:sz w:val="22"/>
          <w:szCs w:val="22"/>
        </w:rPr>
        <w:t xml:space="preserve"> Նշված միջոցառման շրջանակներում մարտունակության բարձրացման նպատակով նախատեսված 28 ուսումնավարժանքները ողջ ծավալով իրականացվել են:</w:t>
      </w:r>
    </w:p>
    <w:p w:rsidR="00463F57" w:rsidRPr="00B57DAB" w:rsidRDefault="00463F57" w:rsidP="00463F57">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 xml:space="preserve">2022 թվականի առաջին եռամսյակում Արտակարգ իրավիճակներում մարդասիրական աջակցության կազմակերպման միջոցառմանը կատարված հատկացումներն ուղղվել են Ռուս-հայկական մարդասիրական արձագանքման կենտրոնի պահպանմանը: Նշված միջոցառման ծախսերը կատարվել են նախատեսված ծավալով՝ կազմելով շուրջ 9.1 մլն դրամ: </w:t>
      </w:r>
    </w:p>
    <w:p w:rsidR="00463F57" w:rsidRPr="00B57DAB" w:rsidRDefault="00463F57" w:rsidP="00463F57">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Նախորդ տարվա առաջին եռամսյակի համեմատ «Փրկարարական ծառայություններ»</w:t>
      </w:r>
      <w:r w:rsidR="006A4207" w:rsidRPr="00B57DAB">
        <w:rPr>
          <w:rFonts w:ascii="GHEA Grapalat" w:hAnsi="GHEA Grapalat" w:cs="GHEA Grapalat"/>
          <w:sz w:val="22"/>
          <w:szCs w:val="22"/>
        </w:rPr>
        <w:t xml:space="preserve"> </w:t>
      </w:r>
      <w:r w:rsidRPr="00B57DAB">
        <w:rPr>
          <w:rFonts w:ascii="GHEA Grapalat" w:hAnsi="GHEA Grapalat" w:cs="GHEA Grapalat"/>
          <w:sz w:val="22"/>
          <w:szCs w:val="22"/>
        </w:rPr>
        <w:t xml:space="preserve">ծրագրի ծախսերը նվազել են 0.8%-ով կամ 13.4 մլն դրամով: </w:t>
      </w:r>
    </w:p>
    <w:p w:rsidR="00463F57" w:rsidRPr="00B57DAB" w:rsidRDefault="00463F57" w:rsidP="00463F57">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 xml:space="preserve">Հաշվետու ժամանակահատվածում </w:t>
      </w:r>
      <w:r w:rsidRPr="00B57DAB">
        <w:rPr>
          <w:rFonts w:ascii="GHEA Grapalat" w:hAnsi="GHEA Grapalat" w:cs="GHEA Grapalat"/>
          <w:i/>
          <w:sz w:val="22"/>
          <w:szCs w:val="22"/>
        </w:rPr>
        <w:t>Արտակարգ իրավիճակների բնագավառի պետական քաղաքականության մշակման, ծրագրերի համակարգման և մոնիտորինգի</w:t>
      </w:r>
      <w:r w:rsidRPr="00B57DAB">
        <w:rPr>
          <w:rFonts w:ascii="GHEA Grapalat" w:hAnsi="GHEA Grapalat" w:cs="GHEA Grapalat"/>
          <w:sz w:val="22"/>
          <w:szCs w:val="22"/>
        </w:rPr>
        <w:t xml:space="preserve"> ծրագրի շրջանակներում </w:t>
      </w:r>
      <w:r w:rsidRPr="00B57DAB">
        <w:rPr>
          <w:rFonts w:ascii="GHEA Grapalat" w:hAnsi="GHEA Grapalat" w:cs="Sylfaen"/>
          <w:sz w:val="22"/>
          <w:szCs w:val="22"/>
        </w:rPr>
        <w:t xml:space="preserve">օգտագործվել է 234.8 մլն դրամ՝ ապահովելով 80% կատարողական: Միջոցներն ուղղվել են </w:t>
      </w:r>
      <w:r w:rsidRPr="00B57DAB">
        <w:rPr>
          <w:rFonts w:ascii="GHEA Grapalat" w:hAnsi="GHEA Grapalat" w:cs="GHEA Grapalat"/>
          <w:sz w:val="22"/>
          <w:szCs w:val="22"/>
        </w:rPr>
        <w:t>արտակարգ իրավիճակների բնագավառում քաղաքականության մշակման, խորհրդատվական ծառայությունների տրամադրման և մոնիտորինգի իրականացմանը: Շեղումը հիմնականում պայմանավորված է թափուր հաստիքների առկայության հետևանքով աշխատ</w:t>
      </w:r>
      <w:r w:rsidR="00E56CA6" w:rsidRPr="00B57DAB">
        <w:rPr>
          <w:rFonts w:ascii="GHEA Grapalat" w:hAnsi="GHEA Grapalat" w:cs="GHEA Grapalat"/>
          <w:sz w:val="22"/>
          <w:szCs w:val="22"/>
        </w:rPr>
        <w:t xml:space="preserve">անքի </w:t>
      </w:r>
      <w:r w:rsidR="00E56CA6" w:rsidRPr="00B57DAB">
        <w:rPr>
          <w:rFonts w:ascii="GHEA Grapalat" w:hAnsi="GHEA Grapalat" w:cs="GHEA Grapalat"/>
          <w:sz w:val="22"/>
          <w:szCs w:val="22"/>
        </w:rPr>
        <w:lastRenderedPageBreak/>
        <w:t>վարձատրության ծախսերի խնայողություններով</w:t>
      </w:r>
      <w:r w:rsidRPr="00B57DAB">
        <w:rPr>
          <w:rFonts w:ascii="GHEA Grapalat" w:hAnsi="GHEA Grapalat" w:cs="GHEA Grapalat"/>
          <w:sz w:val="22"/>
          <w:szCs w:val="22"/>
        </w:rPr>
        <w:t>, բացի այդ՝ կնքված որոշ պայմանագրերի կատարողական ակտերն ու արձանագրություններն ամբողջությամբ չեն ներկայացվել: Նախորդ տարվա առաջին եռամսյակի համեմատ տվյալ ծրագրի շրջանակներում կատարված ծախսերն աճել են 26.1%</w:t>
      </w:r>
      <w:r w:rsidRPr="00B57DAB">
        <w:rPr>
          <w:rFonts w:ascii="GHEA Grapalat" w:hAnsi="GHEA Grapalat" w:cs="GHEA Grapalat"/>
          <w:sz w:val="22"/>
          <w:szCs w:val="22"/>
        </w:rPr>
        <w:noBreakHyphen/>
        <w:t>ով կամ 48.6 մլն դրամով:</w:t>
      </w:r>
    </w:p>
    <w:p w:rsidR="00463F57" w:rsidRPr="00B57DAB" w:rsidRDefault="00463F57" w:rsidP="00463F57">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 xml:space="preserve">Հաշվետու ժամանակահատվածում ՀՀ ԱԻՆ պատասխանատվությամբ իրականացվող այլ ծրագրերից </w:t>
      </w:r>
      <w:r w:rsidRPr="00B57DAB">
        <w:rPr>
          <w:rFonts w:ascii="GHEA Grapalat" w:hAnsi="GHEA Grapalat" w:cs="GHEA Grapalat"/>
          <w:i/>
          <w:sz w:val="22"/>
          <w:szCs w:val="22"/>
        </w:rPr>
        <w:t>Ս</w:t>
      </w:r>
      <w:r w:rsidRPr="00B57DAB">
        <w:rPr>
          <w:rFonts w:ascii="GHEA Grapalat" w:hAnsi="GHEA Grapalat"/>
          <w:i/>
          <w:sz w:val="22"/>
          <w:szCs w:val="22"/>
        </w:rPr>
        <w:t>եյսմիկ պաշտպանության</w:t>
      </w:r>
      <w:r w:rsidRPr="00B57DAB">
        <w:rPr>
          <w:rFonts w:ascii="GHEA Grapalat" w:hAnsi="GHEA Grapalat"/>
          <w:sz w:val="22"/>
          <w:szCs w:val="22"/>
        </w:rPr>
        <w:t xml:space="preserve"> ծրագրի շրջանակներում հատկացված միջոցներն ուղղվել են սեյսմիկ պաշտպանության ոլորտում ծառայությունների տրամադրմանը: Միջոցառման շրջանակներում</w:t>
      </w:r>
      <w:r w:rsidRPr="00B57DAB">
        <w:rPr>
          <w:rFonts w:ascii="GHEA Grapalat" w:hAnsi="GHEA Grapalat" w:cs="GHEA Grapalat"/>
          <w:sz w:val="22"/>
          <w:szCs w:val="22"/>
        </w:rPr>
        <w:t xml:space="preserve"> «Սեյսմիկ պաշտպանության տարածքային ծառայություն» ՊՈԱԿ-ի կողմից իրականացվել են սեյսմիկ վտանգի մոնիտորինգի ապահովման, դրա հետ կապված այլ երկրորդային վտանգների գնահատման, ՀՀ տարածքում և տարածաշրջանում տեղի ունեցող երկրաշարժերի գրանցման, մշակման և դրանց մասին հաղորդագրությունների տրամադրման </w:t>
      </w:r>
      <w:r w:rsidR="00E56CA6" w:rsidRPr="00B57DAB">
        <w:rPr>
          <w:rFonts w:ascii="GHEA Grapalat" w:hAnsi="GHEA Grapalat" w:cs="GHEA Grapalat"/>
          <w:sz w:val="22"/>
          <w:szCs w:val="22"/>
        </w:rPr>
        <w:t>աշխատանքներ</w:t>
      </w:r>
      <w:r w:rsidRPr="00B57DAB">
        <w:rPr>
          <w:rFonts w:ascii="GHEA Grapalat" w:hAnsi="GHEA Grapalat" w:cs="GHEA Grapalat"/>
          <w:sz w:val="22"/>
          <w:szCs w:val="22"/>
        </w:rPr>
        <w:t>:</w:t>
      </w:r>
      <w:r w:rsidR="00E56CA6" w:rsidRPr="00B57DAB">
        <w:rPr>
          <w:rFonts w:ascii="GHEA Grapalat" w:hAnsi="GHEA Grapalat" w:cs="GHEA Grapalat"/>
          <w:sz w:val="22"/>
          <w:szCs w:val="22"/>
        </w:rPr>
        <w:t xml:space="preserve"> Միջոցառման շրջանակներում</w:t>
      </w:r>
      <w:r w:rsidRPr="00B57DAB">
        <w:rPr>
          <w:rFonts w:ascii="GHEA Grapalat" w:hAnsi="GHEA Grapalat" w:cs="GHEA Grapalat"/>
          <w:sz w:val="22"/>
          <w:szCs w:val="22"/>
        </w:rPr>
        <w:t xml:space="preserve"> </w:t>
      </w:r>
      <w:r w:rsidR="00E56CA6" w:rsidRPr="00B57DAB">
        <w:rPr>
          <w:rFonts w:ascii="GHEA Grapalat" w:hAnsi="GHEA Grapalat" w:cs="GHEA Grapalat"/>
          <w:sz w:val="22"/>
          <w:szCs w:val="22"/>
        </w:rPr>
        <w:t xml:space="preserve">առաջին եռամսյակում երկրաֆիզիկական, երկրադինամիկական և այլ դաշտերի մոնիտորինգի, սեյսմիկ վտանգի, այդ թվում՝ ընթացիկ սեյսմիկ վտանգի գնահատման նպատակով իրականացվել են 121282 դիտարկումներ՝ կանխատեսված 120000-ի փոխարեն, սեյսմիկ պաշտպանության տարրերի և վարքականնոնների ուսուցանման, ՏԻՄ-երի աշխատողների նախապատրաստման նպատակով կազմակերպվել է 125 միջոցառում՝ նախատեսված 100-ի փոխարեն: </w:t>
      </w:r>
      <w:r w:rsidRPr="00B57DAB">
        <w:rPr>
          <w:rFonts w:ascii="GHEA Grapalat" w:hAnsi="GHEA Grapalat" w:cs="GHEA Grapalat"/>
          <w:sz w:val="22"/>
          <w:szCs w:val="22"/>
        </w:rPr>
        <w:t>Հատկացված միջոցներն օգտագործվել են ամբողջությամբ՝ կազմելով շուրջ 128 մլն դրամ: Նախորդ տարվա առաջին եռամսյակի համեմատ Սեյսմիկ պաշտպանության ծրագրի շրջանակներում կատարված ծախսերը նվազել են 6.3%-ով կամ 8.6 մլն դրամով:</w:t>
      </w:r>
    </w:p>
    <w:p w:rsidR="003F2149" w:rsidRPr="00B57DAB" w:rsidRDefault="003F2149" w:rsidP="003F2149">
      <w:pPr>
        <w:autoSpaceDE w:val="0"/>
        <w:autoSpaceDN w:val="0"/>
        <w:adjustRightInd w:val="0"/>
        <w:spacing w:line="360" w:lineRule="auto"/>
        <w:ind w:firstLine="567"/>
        <w:jc w:val="both"/>
        <w:rPr>
          <w:rFonts w:ascii="GHEA Grapalat" w:hAnsi="GHEA Grapalat" w:cs="GHEA Grapalat"/>
          <w:sz w:val="22"/>
          <w:szCs w:val="22"/>
          <w:lang w:val="hy-AM"/>
        </w:rPr>
      </w:pPr>
    </w:p>
    <w:p w:rsidR="00454E98" w:rsidRPr="00B57DAB" w:rsidRDefault="003F2149" w:rsidP="00454E98">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GHEA Grapalat"/>
          <w:i/>
          <w:sz w:val="22"/>
          <w:szCs w:val="22"/>
          <w:u w:val="single"/>
          <w:lang w:val="hy-AM"/>
        </w:rPr>
        <w:t>ՀՀ վիճակագրական կոմիտեի</w:t>
      </w:r>
      <w:r w:rsidRPr="00B57DAB">
        <w:rPr>
          <w:rFonts w:ascii="GHEA Grapalat" w:hAnsi="GHEA Grapalat" w:cs="GHEA Grapalat"/>
          <w:sz w:val="22"/>
          <w:szCs w:val="22"/>
          <w:lang w:val="hy-AM"/>
        </w:rPr>
        <w:t xml:space="preserve"> </w:t>
      </w:r>
      <w:r w:rsidR="00454E98" w:rsidRPr="00B57DAB">
        <w:rPr>
          <w:rFonts w:ascii="GHEA Grapalat" w:hAnsi="GHEA Grapalat" w:cs="Sylfaen"/>
          <w:sz w:val="22"/>
          <w:szCs w:val="22"/>
        </w:rPr>
        <w:t xml:space="preserve">պատասխանատվությամբ 2022 թվականի առաջին եռամսյակի ընթացքում կատարվել է </w:t>
      </w:r>
      <w:bookmarkStart w:id="67" w:name="_Hlk95470837"/>
      <w:r w:rsidR="00454E98" w:rsidRPr="00B57DAB">
        <w:rPr>
          <w:rFonts w:ascii="GHEA Grapalat" w:hAnsi="GHEA Grapalat" w:cs="Sylfaen"/>
          <w:sz w:val="22"/>
          <w:szCs w:val="22"/>
        </w:rPr>
        <w:t>պետական բյուջեի 2 ծրագիր, որոնց գծով ծախսերը կազմել են 362.5 մլն դրամ կամ ծրագրված ցուցանիշի 46.4%</w:t>
      </w:r>
      <w:r w:rsidR="00454E98" w:rsidRPr="00B57DAB">
        <w:rPr>
          <w:rFonts w:ascii="GHEA Grapalat" w:hAnsi="GHEA Grapalat" w:cs="Sylfaen"/>
          <w:sz w:val="22"/>
          <w:szCs w:val="22"/>
        </w:rPr>
        <w:noBreakHyphen/>
        <w:t xml:space="preserve">ը, </w:t>
      </w:r>
      <w:r w:rsidR="001103D9" w:rsidRPr="00B57DAB">
        <w:rPr>
          <w:rFonts w:ascii="GHEA Grapalat" w:hAnsi="GHEA Grapalat" w:cs="Sylfaen"/>
          <w:sz w:val="22"/>
          <w:szCs w:val="22"/>
        </w:rPr>
        <w:t>որոնք</w:t>
      </w:r>
      <w:r w:rsidR="00454E98" w:rsidRPr="00B57DAB">
        <w:rPr>
          <w:rFonts w:ascii="GHEA Grapalat" w:hAnsi="GHEA Grapalat" w:cs="Sylfaen"/>
          <w:sz w:val="22"/>
          <w:szCs w:val="22"/>
        </w:rPr>
        <w:t xml:space="preserve"> նախորդ տարվա</w:t>
      </w:r>
      <w:r w:rsidR="001103D9" w:rsidRPr="00B57DAB">
        <w:rPr>
          <w:rFonts w:ascii="GHEA Grapalat" w:hAnsi="GHEA Grapalat" w:cs="Sylfaen"/>
          <w:sz w:val="22"/>
          <w:szCs w:val="22"/>
        </w:rPr>
        <w:t xml:space="preserve"> նույն ժամանակահատվածի</w:t>
      </w:r>
      <w:r w:rsidR="00454E98" w:rsidRPr="00B57DAB">
        <w:rPr>
          <w:rFonts w:ascii="GHEA Grapalat" w:hAnsi="GHEA Grapalat" w:cs="Sylfaen"/>
          <w:sz w:val="22"/>
          <w:szCs w:val="22"/>
        </w:rPr>
        <w:t xml:space="preserve"> համեմատ նվազել են 10.5%</w:t>
      </w:r>
      <w:r w:rsidR="00454E98" w:rsidRPr="00B57DAB">
        <w:rPr>
          <w:rFonts w:ascii="GHEA Grapalat" w:hAnsi="GHEA Grapalat" w:cs="Sylfaen"/>
          <w:sz w:val="22"/>
          <w:szCs w:val="22"/>
        </w:rPr>
        <w:noBreakHyphen/>
        <w:t>ով (42.6 մլն դրամով): Ինչպես ծրագրված ցուցանիշից շեղումը, այնպես էլ նախորդ տարվա համեմատ ծախսերի նվազումը հիմնականում պայմանավորված են Վիճակագրական համակարգի ամրապնդման ազգային ռազմավարական ծրագրի ծախսերով:</w:t>
      </w:r>
      <w:bookmarkEnd w:id="67"/>
      <w:r w:rsidR="00454E98" w:rsidRPr="00B57DAB">
        <w:rPr>
          <w:rFonts w:ascii="GHEA Grapalat" w:hAnsi="GHEA Grapalat" w:cs="Sylfaen"/>
          <w:sz w:val="22"/>
          <w:szCs w:val="22"/>
        </w:rPr>
        <w:t xml:space="preserve"> Ծրագիր</w:t>
      </w:r>
      <w:r w:rsidR="001103D9" w:rsidRPr="00B57DAB">
        <w:rPr>
          <w:rFonts w:ascii="GHEA Grapalat" w:hAnsi="GHEA Grapalat" w:cs="Sylfaen"/>
          <w:sz w:val="22"/>
          <w:szCs w:val="22"/>
        </w:rPr>
        <w:t>ն</w:t>
      </w:r>
      <w:r w:rsidR="00454E98" w:rsidRPr="00B57DAB">
        <w:rPr>
          <w:rFonts w:ascii="GHEA Grapalat" w:hAnsi="GHEA Grapalat" w:cs="Sylfaen"/>
          <w:sz w:val="22"/>
          <w:szCs w:val="22"/>
        </w:rPr>
        <w:t xml:space="preserve"> իրականացվում է Համաշխարհային բանկի աջակցությամբ, որի շրջանակներում օգտագործվել է առաջին եռամսյակի համար նախատեսված միջոցների 8.4%-ը՝ 33 մլն դրամ:</w:t>
      </w:r>
      <w:r w:rsidR="006928E4" w:rsidRPr="00B57DAB">
        <w:rPr>
          <w:rFonts w:ascii="GHEA Grapalat" w:hAnsi="GHEA Grapalat" w:cs="Sylfaen"/>
          <w:sz w:val="22"/>
          <w:szCs w:val="22"/>
        </w:rPr>
        <w:t xml:space="preserve"> </w:t>
      </w:r>
      <w:r w:rsidR="00CB30B5" w:rsidRPr="00B57DAB">
        <w:rPr>
          <w:rFonts w:ascii="GHEA Grapalat" w:hAnsi="GHEA Grapalat" w:cs="Sylfaen"/>
          <w:sz w:val="22"/>
          <w:szCs w:val="22"/>
        </w:rPr>
        <w:t>Գումարն օգտագործվել է ծ</w:t>
      </w:r>
      <w:r w:rsidR="006928E4" w:rsidRPr="00B57DAB">
        <w:rPr>
          <w:rFonts w:ascii="GHEA Grapalat" w:hAnsi="GHEA Grapalat" w:cs="Sylfaen"/>
          <w:sz w:val="22"/>
          <w:szCs w:val="22"/>
        </w:rPr>
        <w:t xml:space="preserve">առայությունների մատուցման բաղադրիչի </w:t>
      </w:r>
      <w:bookmarkStart w:id="68" w:name="_Hlk101281107"/>
      <w:r w:rsidR="006928E4" w:rsidRPr="00B57DAB">
        <w:rPr>
          <w:rFonts w:ascii="GHEA Grapalat" w:hAnsi="GHEA Grapalat" w:cs="Sylfaen"/>
          <w:sz w:val="22"/>
          <w:szCs w:val="22"/>
        </w:rPr>
        <w:t>շրջանակներում</w:t>
      </w:r>
      <w:bookmarkEnd w:id="68"/>
      <w:r w:rsidR="006928E4" w:rsidRPr="00B57DAB">
        <w:rPr>
          <w:rFonts w:ascii="GHEA Grapalat" w:hAnsi="GHEA Grapalat" w:cs="Sylfaen"/>
          <w:sz w:val="22"/>
          <w:szCs w:val="22"/>
        </w:rPr>
        <w:t>՝ կազմելով ծրագրված ցուցանիշների 25%-ը՝ պայմանավորված նրանով, որ ԱՐՄՍՏԱՏ-ի էլեկտրոնային տվյալների հավաքման, մշակման և</w:t>
      </w:r>
      <w:r w:rsidR="00CB30B5" w:rsidRPr="00B57DAB">
        <w:rPr>
          <w:rFonts w:ascii="GHEA Grapalat" w:hAnsi="GHEA Grapalat" w:cs="Sylfaen"/>
          <w:sz w:val="22"/>
          <w:szCs w:val="22"/>
        </w:rPr>
        <w:t xml:space="preserve"> պահպանման վեբ-հարթակի ներդրման</w:t>
      </w:r>
      <w:r w:rsidR="006928E4" w:rsidRPr="00B57DAB">
        <w:rPr>
          <w:rFonts w:ascii="GHEA Grapalat" w:hAnsi="GHEA Grapalat" w:cs="Sylfaen"/>
          <w:sz w:val="22"/>
          <w:szCs w:val="22"/>
        </w:rPr>
        <w:t xml:space="preserve"> համար կնքված պայմանագրի շրջանակում կնքվել է լրացուցիչ համաձայնագիր, որի</w:t>
      </w:r>
      <w:r w:rsidR="00CB30B5" w:rsidRPr="00B57DAB">
        <w:rPr>
          <w:rFonts w:ascii="GHEA Grapalat" w:hAnsi="GHEA Grapalat" w:cs="Sylfaen"/>
          <w:sz w:val="22"/>
          <w:szCs w:val="22"/>
        </w:rPr>
        <w:t xml:space="preserve"> համաձայն</w:t>
      </w:r>
      <w:r w:rsidR="006928E4" w:rsidRPr="00B57DAB">
        <w:rPr>
          <w:rFonts w:ascii="GHEA Grapalat" w:hAnsi="GHEA Grapalat" w:cs="Sylfaen"/>
          <w:sz w:val="22"/>
          <w:szCs w:val="22"/>
        </w:rPr>
        <w:t xml:space="preserve"> </w:t>
      </w:r>
      <w:r w:rsidR="00CB30B5" w:rsidRPr="00B57DAB">
        <w:rPr>
          <w:rFonts w:ascii="GHEA Grapalat" w:hAnsi="GHEA Grapalat" w:cs="Sylfaen"/>
          <w:sz w:val="22"/>
          <w:szCs w:val="22"/>
        </w:rPr>
        <w:t>հ</w:t>
      </w:r>
      <w:r w:rsidR="006928E4" w:rsidRPr="00B57DAB">
        <w:rPr>
          <w:rFonts w:ascii="GHEA Grapalat" w:hAnsi="GHEA Grapalat" w:cs="Sylfaen"/>
          <w:sz w:val="22"/>
          <w:szCs w:val="22"/>
        </w:rPr>
        <w:t>աշվետվությ</w:t>
      </w:r>
      <w:r w:rsidR="00CB30B5" w:rsidRPr="00B57DAB">
        <w:rPr>
          <w:rFonts w:ascii="GHEA Grapalat" w:hAnsi="GHEA Grapalat" w:cs="Sylfaen"/>
          <w:sz w:val="22"/>
          <w:szCs w:val="22"/>
        </w:rPr>
        <w:t xml:space="preserve">ան </w:t>
      </w:r>
      <w:r w:rsidR="006928E4" w:rsidRPr="00B57DAB">
        <w:rPr>
          <w:rFonts w:ascii="GHEA Grapalat" w:hAnsi="GHEA Grapalat" w:cs="Sylfaen"/>
          <w:sz w:val="22"/>
          <w:szCs w:val="22"/>
        </w:rPr>
        <w:lastRenderedPageBreak/>
        <w:t>ներկայաց</w:t>
      </w:r>
      <w:r w:rsidR="00CB30B5" w:rsidRPr="00B57DAB">
        <w:rPr>
          <w:rFonts w:ascii="GHEA Grapalat" w:hAnsi="GHEA Grapalat" w:cs="Sylfaen"/>
          <w:sz w:val="22"/>
          <w:szCs w:val="22"/>
        </w:rPr>
        <w:t xml:space="preserve">ումը </w:t>
      </w:r>
      <w:r w:rsidR="006928E4" w:rsidRPr="00B57DAB">
        <w:rPr>
          <w:rFonts w:ascii="GHEA Grapalat" w:hAnsi="GHEA Grapalat" w:cs="Sylfaen"/>
          <w:sz w:val="22"/>
          <w:szCs w:val="22"/>
        </w:rPr>
        <w:t>և վճար</w:t>
      </w:r>
      <w:r w:rsidR="00CB30B5" w:rsidRPr="00B57DAB">
        <w:rPr>
          <w:rFonts w:ascii="GHEA Grapalat" w:hAnsi="GHEA Grapalat" w:cs="Sylfaen"/>
          <w:sz w:val="22"/>
          <w:szCs w:val="22"/>
        </w:rPr>
        <w:t>ումը նախատեսված են երկրորդ</w:t>
      </w:r>
      <w:r w:rsidR="006928E4" w:rsidRPr="00B57DAB">
        <w:rPr>
          <w:rFonts w:ascii="GHEA Grapalat" w:hAnsi="GHEA Grapalat" w:cs="Sylfaen"/>
          <w:sz w:val="22"/>
          <w:szCs w:val="22"/>
        </w:rPr>
        <w:t xml:space="preserve"> եռամսյակում: </w:t>
      </w:r>
      <w:r w:rsidR="00CB30B5" w:rsidRPr="00B57DAB">
        <w:rPr>
          <w:rFonts w:ascii="GHEA Grapalat" w:hAnsi="GHEA Grapalat" w:cs="Sylfaen"/>
          <w:sz w:val="22"/>
          <w:szCs w:val="22"/>
        </w:rPr>
        <w:t>Չի օգտագործվել ծրագրի</w:t>
      </w:r>
      <w:r w:rsidR="00454E98" w:rsidRPr="00B57DAB">
        <w:rPr>
          <w:rFonts w:ascii="GHEA Grapalat" w:hAnsi="GHEA Grapalat" w:cs="Sylfaen"/>
          <w:sz w:val="22"/>
          <w:szCs w:val="22"/>
        </w:rPr>
        <w:t xml:space="preserve"> </w:t>
      </w:r>
      <w:r w:rsidR="00D87037" w:rsidRPr="00B57DAB">
        <w:rPr>
          <w:rFonts w:ascii="GHEA Grapalat" w:hAnsi="GHEA Grapalat" w:cs="Sylfaen"/>
          <w:sz w:val="22"/>
          <w:szCs w:val="22"/>
        </w:rPr>
        <w:t>շրջանակներում Վիճակագրական կոմիտեի տեխնիկական հագեցվածության բարելավման բաղադրիչ</w:t>
      </w:r>
      <w:r w:rsidR="00454E98" w:rsidRPr="00B57DAB">
        <w:rPr>
          <w:rFonts w:ascii="GHEA Grapalat" w:hAnsi="GHEA Grapalat" w:cs="Sylfaen"/>
          <w:sz w:val="22"/>
          <w:szCs w:val="22"/>
        </w:rPr>
        <w:t>ի շրջանակներում նախատեսված 261.2 մլն դրամ</w:t>
      </w:r>
      <w:r w:rsidR="00D87037" w:rsidRPr="00B57DAB">
        <w:rPr>
          <w:rFonts w:ascii="GHEA Grapalat" w:hAnsi="GHEA Grapalat" w:cs="Sylfaen"/>
          <w:sz w:val="22"/>
          <w:szCs w:val="22"/>
        </w:rPr>
        <w:t>ը, քանի որ պայմանագրով</w:t>
      </w:r>
      <w:r w:rsidR="00454E98" w:rsidRPr="00B57DAB">
        <w:rPr>
          <w:rFonts w:ascii="GHEA Grapalat" w:hAnsi="GHEA Grapalat" w:cs="Sylfaen"/>
          <w:sz w:val="22"/>
          <w:szCs w:val="22"/>
        </w:rPr>
        <w:t xml:space="preserve"> </w:t>
      </w:r>
      <w:r w:rsidR="00D87037" w:rsidRPr="00B57DAB">
        <w:rPr>
          <w:rFonts w:ascii="GHEA Grapalat" w:hAnsi="GHEA Grapalat" w:cs="Sylfaen"/>
          <w:sz w:val="22"/>
          <w:szCs w:val="22"/>
        </w:rPr>
        <w:t>սերվերային հանգույցների</w:t>
      </w:r>
      <w:r w:rsidR="00454E98" w:rsidRPr="00B57DAB">
        <w:rPr>
          <w:rFonts w:ascii="GHEA Grapalat" w:hAnsi="GHEA Grapalat" w:cs="Sylfaen"/>
          <w:sz w:val="22"/>
          <w:szCs w:val="22"/>
        </w:rPr>
        <w:t xml:space="preserve"> մատակարար</w:t>
      </w:r>
      <w:r w:rsidR="00D87037" w:rsidRPr="00B57DAB">
        <w:rPr>
          <w:rFonts w:ascii="GHEA Grapalat" w:hAnsi="GHEA Grapalat" w:cs="Sylfaen"/>
          <w:sz w:val="22"/>
          <w:szCs w:val="22"/>
        </w:rPr>
        <w:t>ումը նախատեսված է</w:t>
      </w:r>
      <w:r w:rsidR="00454E98" w:rsidRPr="00B57DAB">
        <w:rPr>
          <w:rFonts w:ascii="GHEA Grapalat" w:hAnsi="GHEA Grapalat" w:cs="Sylfaen"/>
          <w:sz w:val="22"/>
          <w:szCs w:val="22"/>
        </w:rPr>
        <w:t xml:space="preserve"> </w:t>
      </w:r>
      <w:r w:rsidR="00D87037" w:rsidRPr="00B57DAB">
        <w:rPr>
          <w:rFonts w:ascii="GHEA Grapalat" w:hAnsi="GHEA Grapalat" w:cs="Sylfaen"/>
          <w:sz w:val="22"/>
          <w:szCs w:val="22"/>
        </w:rPr>
        <w:t>երկրո</w:t>
      </w:r>
      <w:r w:rsidR="00454E98" w:rsidRPr="00B57DAB">
        <w:rPr>
          <w:rFonts w:ascii="GHEA Grapalat" w:hAnsi="GHEA Grapalat" w:cs="Sylfaen"/>
          <w:sz w:val="22"/>
          <w:szCs w:val="22"/>
        </w:rPr>
        <w:t>րդ եռամսյակում: Նախորդ տարվա նույն ժամանակահատվածի համեմատ Վիճակագրական համակարգի ամրապնդման ազգային ռազմավարական ծրագրի ծախսերը նվազել են 58.5%-ով (46.5 մլն դրամով):</w:t>
      </w:r>
    </w:p>
    <w:p w:rsidR="00454E98" w:rsidRPr="00B57DAB" w:rsidRDefault="00454E98" w:rsidP="00454E98">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i/>
          <w:sz w:val="22"/>
          <w:szCs w:val="22"/>
        </w:rPr>
        <w:t>Ազգային պաշտոնական վիճակագրության արտադրության և տարածման</w:t>
      </w:r>
      <w:r w:rsidRPr="00B57DAB">
        <w:rPr>
          <w:rFonts w:ascii="GHEA Grapalat" w:hAnsi="GHEA Grapalat" w:cs="Sylfaen"/>
          <w:sz w:val="22"/>
          <w:szCs w:val="22"/>
        </w:rPr>
        <w:t xml:space="preserve"> ծրագրի շրջանակներում օգտագործվել է հատկացված միջոցների 84.9%-ը՝ շուրջ 329.6 մլն դրամ: Մասնավորապես՝ 221.9 մլն դրամ է տրամադրվել «Վիճակագրության քաղաքականության մշակում և իրականացում, պաշտոնական վիճակագրական տեղեկատվության մշակում, արտադրում և տարածում» միջոցառմանը, 96.3 մլն դրամ՝ «Վիճակագրական տեղեկատվության հավաքում» միջոցառմանը, որոնք կատարվել են համապատասխանաբար 86.5%-ով և 96.7%-ով: Ծրագրված ցուցանիշներից շեղումները պայմանավորված են այն հանգամանքով, որ հաշվետու ժամանակահատվածում մատուցված որոշ ծառայությունների դիմաց ֆինանսավորումն իրականացվել է ապրիլ ամսին: Միջոցառումների շրջանակներում հիմնականում ապահովվել են նախատեսված արդյունքային ցուցանիշները: Նախորդ տարվա նույն ժամանակահատվածի համեմատ Ազգային պաշտոնական վիճակագրության արտադրության և տարածման ծրագրի գծով ծախսերն աճել են 1.2%</w:t>
      </w:r>
      <w:r w:rsidRPr="00B57DAB">
        <w:rPr>
          <w:rFonts w:ascii="GHEA Grapalat" w:hAnsi="GHEA Grapalat" w:cs="Sylfaen"/>
          <w:sz w:val="22"/>
          <w:szCs w:val="22"/>
        </w:rPr>
        <w:noBreakHyphen/>
        <w:t>ով (3.8 մլն դրամով</w:t>
      </w:r>
      <w:bookmarkStart w:id="69" w:name="_Hlk95468744"/>
      <w:r w:rsidRPr="00B57DAB">
        <w:rPr>
          <w:rFonts w:ascii="GHEA Grapalat" w:hAnsi="GHEA Grapalat" w:cs="Sylfaen"/>
          <w:sz w:val="22"/>
          <w:szCs w:val="22"/>
        </w:rPr>
        <w:t>)՝ հիմնականում պայմանավորված աշխատանքի վարձատրության ծախսերի աճով:</w:t>
      </w:r>
      <w:bookmarkEnd w:id="69"/>
    </w:p>
    <w:p w:rsidR="003F2149" w:rsidRPr="00B57DAB" w:rsidRDefault="003F2149" w:rsidP="003F2149">
      <w:pPr>
        <w:autoSpaceDE w:val="0"/>
        <w:autoSpaceDN w:val="0"/>
        <w:adjustRightInd w:val="0"/>
        <w:spacing w:line="360" w:lineRule="auto"/>
        <w:ind w:firstLine="567"/>
        <w:jc w:val="both"/>
        <w:rPr>
          <w:rFonts w:ascii="GHEA Grapalat" w:hAnsi="GHEA Grapalat" w:cs="GHEA Grapalat"/>
          <w:sz w:val="22"/>
          <w:szCs w:val="22"/>
        </w:rPr>
      </w:pPr>
    </w:p>
    <w:p w:rsidR="003F2149" w:rsidRPr="00B57DAB" w:rsidRDefault="003F2149" w:rsidP="003F2149">
      <w:pPr>
        <w:autoSpaceDE w:val="0"/>
        <w:autoSpaceDN w:val="0"/>
        <w:adjustRightInd w:val="0"/>
        <w:spacing w:line="360" w:lineRule="auto"/>
        <w:ind w:firstLine="567"/>
        <w:jc w:val="both"/>
        <w:rPr>
          <w:rFonts w:ascii="GHEA Grapalat" w:hAnsi="GHEA Grapalat" w:cs="Sylfaen"/>
          <w:sz w:val="22"/>
          <w:szCs w:val="22"/>
          <w:lang w:val="hy-AM"/>
        </w:rPr>
      </w:pPr>
      <w:r w:rsidRPr="00B57DAB">
        <w:rPr>
          <w:rFonts w:ascii="GHEA Grapalat" w:hAnsi="GHEA Grapalat" w:cs="Sylfaen"/>
          <w:i/>
          <w:sz w:val="22"/>
          <w:szCs w:val="22"/>
          <w:u w:val="single"/>
          <w:lang w:val="hy-AM"/>
        </w:rPr>
        <w:t>ՀՀ հանրային ծառայությունները կարգավորող հանձնաժողով</w:t>
      </w:r>
      <w:r w:rsidRPr="00B57DAB">
        <w:rPr>
          <w:rFonts w:ascii="GHEA Grapalat" w:hAnsi="GHEA Grapalat" w:cs="Sylfaen"/>
          <w:i/>
          <w:sz w:val="22"/>
          <w:szCs w:val="22"/>
          <w:u w:val="single"/>
        </w:rPr>
        <w:t>ին</w:t>
      </w:r>
      <w:r w:rsidRPr="00B57DAB">
        <w:rPr>
          <w:rFonts w:ascii="GHEA Grapalat" w:hAnsi="GHEA Grapalat" w:cs="Sylfaen"/>
          <w:sz w:val="22"/>
          <w:szCs w:val="22"/>
          <w:lang w:val="hy-AM"/>
        </w:rPr>
        <w:t xml:space="preserve"> </w:t>
      </w:r>
      <w:r w:rsidR="007173F4" w:rsidRPr="00B57DAB">
        <w:rPr>
          <w:rFonts w:ascii="GHEA Grapalat" w:hAnsi="GHEA Grapalat" w:cs="Sylfaen"/>
          <w:i/>
          <w:sz w:val="22"/>
          <w:szCs w:val="22"/>
        </w:rPr>
        <w:t>Հանրային ծառայությունների ոլորտի կարգավորման</w:t>
      </w:r>
      <w:r w:rsidR="007173F4" w:rsidRPr="00B57DAB">
        <w:rPr>
          <w:rFonts w:ascii="GHEA Grapalat" w:hAnsi="GHEA Grapalat" w:cs="Sylfaen"/>
          <w:sz w:val="22"/>
          <w:szCs w:val="22"/>
        </w:rPr>
        <w:t xml:space="preserve"> ծրագրի շրջանակներում առաջին եռամսյակում տրամադրվել է 129.3 մլն դրամ, որը կազմել է ծրագրված ցուցանիշի 81.2%</w:t>
      </w:r>
      <w:r w:rsidR="007173F4" w:rsidRPr="00B57DAB">
        <w:rPr>
          <w:rFonts w:ascii="GHEA Grapalat" w:hAnsi="GHEA Grapalat" w:cs="Sylfaen"/>
          <w:sz w:val="22"/>
          <w:szCs w:val="22"/>
        </w:rPr>
        <w:noBreakHyphen/>
        <w:t xml:space="preserve">ը՝ </w:t>
      </w:r>
      <w:r w:rsidR="00921414" w:rsidRPr="00B57DAB">
        <w:rPr>
          <w:rFonts w:ascii="GHEA Grapalat" w:hAnsi="GHEA Grapalat" w:cs="Sylfaen"/>
          <w:sz w:val="22"/>
          <w:szCs w:val="22"/>
        </w:rPr>
        <w:t xml:space="preserve">հիմնականում </w:t>
      </w:r>
      <w:r w:rsidR="007173F4" w:rsidRPr="00B57DAB">
        <w:rPr>
          <w:rFonts w:ascii="GHEA Grapalat" w:hAnsi="GHEA Grapalat" w:cs="Sylfaen"/>
          <w:sz w:val="22"/>
          <w:szCs w:val="22"/>
        </w:rPr>
        <w:t>պայմանավորված տնտեսումներով</w:t>
      </w:r>
      <w:r w:rsidR="00921414" w:rsidRPr="00B57DAB">
        <w:rPr>
          <w:rFonts w:ascii="GHEA Grapalat" w:hAnsi="GHEA Grapalat" w:cs="Sylfaen"/>
          <w:sz w:val="22"/>
          <w:szCs w:val="22"/>
        </w:rPr>
        <w:t>, ինչպես նաև հանձնաժողովի աշխատակիցների առաջին եռամսյակի պարգևատրումը ապրիլ ամսին վճարելու հանգամանքով</w:t>
      </w:r>
      <w:r w:rsidR="007173F4" w:rsidRPr="00B57DAB">
        <w:rPr>
          <w:rFonts w:ascii="GHEA Grapalat" w:hAnsi="GHEA Grapalat" w:cs="Sylfaen"/>
          <w:sz w:val="22"/>
          <w:szCs w:val="22"/>
        </w:rPr>
        <w:t xml:space="preserve">: Նախորդ տարվա առաջին եռամսյակի համեմատ </w:t>
      </w:r>
      <w:r w:rsidR="00921414" w:rsidRPr="00B57DAB">
        <w:rPr>
          <w:rFonts w:ascii="GHEA Grapalat" w:hAnsi="GHEA Grapalat" w:cs="Sylfaen"/>
          <w:sz w:val="22"/>
          <w:szCs w:val="22"/>
        </w:rPr>
        <w:t>ՀՀ հանրային ծառայությունները կարգավորող հանձնաժողովի</w:t>
      </w:r>
      <w:r w:rsidR="007173F4" w:rsidRPr="00B57DAB">
        <w:rPr>
          <w:rFonts w:ascii="GHEA Grapalat" w:hAnsi="GHEA Grapalat" w:cs="Sylfaen"/>
          <w:sz w:val="22"/>
          <w:szCs w:val="22"/>
        </w:rPr>
        <w:t xml:space="preserve"> ծախսերն աճել են 11.4%</w:t>
      </w:r>
      <w:r w:rsidR="007173F4" w:rsidRPr="00B57DAB">
        <w:rPr>
          <w:rFonts w:ascii="GHEA Grapalat" w:hAnsi="GHEA Grapalat" w:cs="Sylfaen"/>
          <w:sz w:val="22"/>
          <w:szCs w:val="22"/>
        </w:rPr>
        <w:noBreakHyphen/>
        <w:t>ով կամ 13.2 մլն դրամով: Ծրագրի՝ Հանրային ծառայությունների ոլորտում կարգավորման միջոցառման շրջանակներում 2021 թվականի առաջին եռամսյակի ընթացքում տրամադրվել է թվով 14 լիցենզիա՝ կանխատեսված 5-ի փոխարեն, իրականացվել է հանրային ծառայությունների կարգավորվող ոլորտում թվով 10 սակագների սահմանում և վերանայում՝ կանխատեսված 16-ի փոխարեն:</w:t>
      </w:r>
    </w:p>
    <w:p w:rsidR="003F2149" w:rsidRPr="00B57DAB" w:rsidRDefault="003F2149" w:rsidP="003F2149">
      <w:pPr>
        <w:spacing w:line="360" w:lineRule="auto"/>
        <w:ind w:firstLine="561"/>
        <w:jc w:val="both"/>
        <w:rPr>
          <w:rFonts w:ascii="GHEA Grapalat" w:hAnsi="GHEA Grapalat" w:cs="Times Armenian"/>
          <w:sz w:val="22"/>
          <w:szCs w:val="22"/>
        </w:rPr>
      </w:pPr>
    </w:p>
    <w:p w:rsidR="003F2149" w:rsidRPr="00B57DAB" w:rsidRDefault="003F2149" w:rsidP="003F2149">
      <w:pPr>
        <w:autoSpaceDE w:val="0"/>
        <w:autoSpaceDN w:val="0"/>
        <w:adjustRightInd w:val="0"/>
        <w:spacing w:line="360" w:lineRule="auto"/>
        <w:ind w:firstLine="567"/>
        <w:jc w:val="both"/>
        <w:rPr>
          <w:rFonts w:ascii="GHEA Grapalat" w:hAnsi="GHEA Grapalat" w:cs="Times Armenian"/>
          <w:sz w:val="22"/>
          <w:szCs w:val="22"/>
        </w:rPr>
      </w:pPr>
      <w:r w:rsidRPr="00B57DAB">
        <w:rPr>
          <w:rFonts w:ascii="GHEA Grapalat" w:hAnsi="GHEA Grapalat" w:cs="Sylfaen"/>
          <w:i/>
          <w:sz w:val="22"/>
          <w:szCs w:val="22"/>
          <w:u w:val="single"/>
          <w:lang w:val="hy-AM"/>
        </w:rPr>
        <w:lastRenderedPageBreak/>
        <w:t>ՀՀ կենտրոնական ընտրական հանձնաժողով</w:t>
      </w:r>
      <w:r w:rsidR="00921414" w:rsidRPr="00B57DAB">
        <w:rPr>
          <w:rFonts w:ascii="GHEA Grapalat" w:hAnsi="GHEA Grapalat" w:cs="Sylfaen"/>
          <w:i/>
          <w:sz w:val="22"/>
          <w:szCs w:val="22"/>
          <w:u w:val="single"/>
        </w:rPr>
        <w:t>ի</w:t>
      </w:r>
      <w:r w:rsidR="007173F4" w:rsidRPr="00B57DAB">
        <w:rPr>
          <w:rFonts w:ascii="GHEA Grapalat" w:hAnsi="GHEA Grapalat" w:cs="Sylfaen"/>
          <w:sz w:val="22"/>
          <w:szCs w:val="22"/>
        </w:rPr>
        <w:t xml:space="preserve"> կողմից 2022 թվականի առաջին եռամսյակում </w:t>
      </w:r>
      <w:r w:rsidR="007173F4" w:rsidRPr="00B57DAB">
        <w:rPr>
          <w:rFonts w:ascii="GHEA Grapalat" w:hAnsi="GHEA Grapalat" w:cs="Sylfaen"/>
          <w:i/>
          <w:sz w:val="22"/>
          <w:szCs w:val="22"/>
        </w:rPr>
        <w:t>Ընտրական գործընթացների համակարգման, կանոնակարգման և տեղեկատվության տրամադրման</w:t>
      </w:r>
      <w:r w:rsidR="007173F4" w:rsidRPr="00B57DAB">
        <w:rPr>
          <w:rFonts w:ascii="GHEA Grapalat" w:hAnsi="GHEA Grapalat" w:cs="Sylfaen"/>
          <w:sz w:val="22"/>
          <w:szCs w:val="22"/>
        </w:rPr>
        <w:t xml:space="preserve"> ծրագրի շրջանակներում օգտագործվել է նախատեսված միջոցների 19.6%-ը՝ շուրջ 77</w:t>
      </w:r>
      <w:r w:rsidR="007173F4" w:rsidRPr="00B57DAB">
        <w:rPr>
          <w:rFonts w:ascii="Courier New" w:hAnsi="Courier New" w:cs="Courier New"/>
          <w:sz w:val="22"/>
          <w:szCs w:val="22"/>
        </w:rPr>
        <w:t> </w:t>
      </w:r>
      <w:r w:rsidR="007173F4" w:rsidRPr="00B57DAB">
        <w:rPr>
          <w:rFonts w:ascii="GHEA Grapalat" w:hAnsi="GHEA Grapalat" w:cs="Sylfaen"/>
          <w:sz w:val="22"/>
          <w:szCs w:val="22"/>
        </w:rPr>
        <w:t>մլն դրամ</w:t>
      </w:r>
      <w:r w:rsidR="007173F4" w:rsidRPr="00B57DAB">
        <w:rPr>
          <w:rFonts w:ascii="GHEA Grapalat" w:hAnsi="GHEA Grapalat" w:cs="Times Armenian"/>
          <w:sz w:val="22"/>
          <w:szCs w:val="22"/>
        </w:rPr>
        <w:t>:</w:t>
      </w:r>
      <w:r w:rsidR="00921414" w:rsidRPr="00B57DAB">
        <w:rPr>
          <w:rFonts w:ascii="GHEA Grapalat" w:hAnsi="GHEA Grapalat" w:cs="Times Armenian"/>
          <w:sz w:val="22"/>
          <w:szCs w:val="22"/>
        </w:rPr>
        <w:t xml:space="preserve"> Շեղումը հիմնականում պայմանավորված է Տեղական ինքնակառավարման մարմինների ընտրությունների կազմակերպման</w:t>
      </w:r>
      <w:r w:rsidR="00F47257" w:rsidRPr="00B57DAB">
        <w:rPr>
          <w:rFonts w:ascii="GHEA Grapalat" w:hAnsi="GHEA Grapalat" w:cs="Times Armenian"/>
          <w:sz w:val="22"/>
          <w:szCs w:val="22"/>
        </w:rPr>
        <w:t xml:space="preserve"> միջոցառման</w:t>
      </w:r>
      <w:r w:rsidR="00921414" w:rsidRPr="00B57DAB">
        <w:rPr>
          <w:rFonts w:ascii="GHEA Grapalat" w:hAnsi="GHEA Grapalat" w:cs="Times Armenian"/>
          <w:sz w:val="22"/>
          <w:szCs w:val="22"/>
        </w:rPr>
        <w:t xml:space="preserve"> ծախսերի կատարողականով, որը կազմել է 4.5%՝ 13.2 մլն դրամ: Միջոցները նախատեսված էին</w:t>
      </w:r>
      <w:r w:rsidR="00F47257" w:rsidRPr="00B57DAB">
        <w:rPr>
          <w:rFonts w:ascii="GHEA Grapalat" w:hAnsi="GHEA Grapalat" w:cs="Times Armenian"/>
          <w:sz w:val="22"/>
          <w:szCs w:val="22"/>
        </w:rPr>
        <w:t xml:space="preserve"> 2022 թվականի</w:t>
      </w:r>
      <w:r w:rsidR="00921414" w:rsidRPr="00B57DAB">
        <w:rPr>
          <w:rFonts w:ascii="GHEA Grapalat" w:hAnsi="GHEA Grapalat" w:cs="Times Armenian"/>
          <w:sz w:val="22"/>
          <w:szCs w:val="22"/>
        </w:rPr>
        <w:t xml:space="preserve"> մարտի 23-ին կայացած ՏԻՄ ընտրությունների</w:t>
      </w:r>
      <w:r w:rsidR="007173F4" w:rsidRPr="00B57DAB">
        <w:rPr>
          <w:rFonts w:ascii="GHEA Grapalat" w:hAnsi="GHEA Grapalat" w:cs="Times Armenian"/>
          <w:sz w:val="22"/>
          <w:szCs w:val="22"/>
        </w:rPr>
        <w:t xml:space="preserve"> </w:t>
      </w:r>
      <w:r w:rsidR="00921414" w:rsidRPr="00B57DAB">
        <w:rPr>
          <w:rFonts w:ascii="GHEA Grapalat" w:hAnsi="GHEA Grapalat" w:cs="Times Armenian"/>
          <w:sz w:val="22"/>
          <w:szCs w:val="22"/>
        </w:rPr>
        <w:t>ծախսերի ֆինանսավորման համար, որ</w:t>
      </w:r>
      <w:r w:rsidR="0093157E" w:rsidRPr="00B57DAB">
        <w:rPr>
          <w:rFonts w:ascii="GHEA Grapalat" w:hAnsi="GHEA Grapalat" w:cs="Times Armenian"/>
          <w:sz w:val="22"/>
          <w:szCs w:val="22"/>
        </w:rPr>
        <w:t>ը</w:t>
      </w:r>
      <w:r w:rsidR="00921414" w:rsidRPr="00B57DAB">
        <w:rPr>
          <w:rFonts w:ascii="GHEA Grapalat" w:hAnsi="GHEA Grapalat" w:cs="Times Armenian"/>
          <w:sz w:val="22"/>
          <w:szCs w:val="22"/>
        </w:rPr>
        <w:t xml:space="preserve"> հիմնական</w:t>
      </w:r>
      <w:r w:rsidR="0093157E" w:rsidRPr="00B57DAB">
        <w:rPr>
          <w:rFonts w:ascii="GHEA Grapalat" w:hAnsi="GHEA Grapalat" w:cs="Times Armenian"/>
          <w:sz w:val="22"/>
          <w:szCs w:val="22"/>
        </w:rPr>
        <w:t>ում</w:t>
      </w:r>
      <w:r w:rsidR="00921414" w:rsidRPr="00B57DAB">
        <w:rPr>
          <w:rFonts w:ascii="GHEA Grapalat" w:hAnsi="GHEA Grapalat" w:cs="Times Armenian"/>
          <w:sz w:val="22"/>
          <w:szCs w:val="22"/>
        </w:rPr>
        <w:t xml:space="preserve"> իրականացվել է ապրիլ ամսին: </w:t>
      </w:r>
      <w:r w:rsidR="007173F4" w:rsidRPr="00B57DAB">
        <w:rPr>
          <w:rFonts w:ascii="GHEA Grapalat" w:hAnsi="GHEA Grapalat" w:cs="Times Armenian"/>
          <w:sz w:val="22"/>
          <w:szCs w:val="22"/>
        </w:rPr>
        <w:t xml:space="preserve">Նախորդ տարվա </w:t>
      </w:r>
      <w:r w:rsidR="0093157E" w:rsidRPr="00B57DAB">
        <w:rPr>
          <w:rFonts w:ascii="GHEA Grapalat" w:hAnsi="GHEA Grapalat" w:cs="Times Armenian"/>
          <w:sz w:val="22"/>
          <w:szCs w:val="22"/>
        </w:rPr>
        <w:t xml:space="preserve">առաջին եռամսյակի </w:t>
      </w:r>
      <w:r w:rsidR="007173F4" w:rsidRPr="00B57DAB">
        <w:rPr>
          <w:rFonts w:ascii="GHEA Grapalat" w:hAnsi="GHEA Grapalat" w:cs="Times Armenian"/>
          <w:sz w:val="22"/>
          <w:szCs w:val="22"/>
        </w:rPr>
        <w:t>համեմատ ՀՀ կենտրոնական ընտրական հանձնաժողովի ծախսերն աճել են 54.1</w:t>
      </w:r>
      <w:r w:rsidR="007173F4" w:rsidRPr="00B57DAB">
        <w:rPr>
          <w:rFonts w:ascii="GHEA Grapalat" w:hAnsi="GHEA Grapalat" w:cs="Sylfaen"/>
          <w:sz w:val="22"/>
          <w:szCs w:val="22"/>
        </w:rPr>
        <w:t>%-ով</w:t>
      </w:r>
      <w:r w:rsidR="007173F4" w:rsidRPr="00B57DAB">
        <w:rPr>
          <w:rFonts w:ascii="GHEA Grapalat" w:hAnsi="GHEA Grapalat" w:cs="Times Armenian"/>
          <w:sz w:val="22"/>
          <w:szCs w:val="22"/>
        </w:rPr>
        <w:t xml:space="preserve"> </w:t>
      </w:r>
      <w:r w:rsidR="0093157E" w:rsidRPr="00B57DAB">
        <w:rPr>
          <w:rFonts w:ascii="GHEA Grapalat" w:hAnsi="GHEA Grapalat" w:cs="Times Armenian"/>
          <w:sz w:val="22"/>
          <w:szCs w:val="22"/>
        </w:rPr>
        <w:t>(</w:t>
      </w:r>
      <w:r w:rsidR="007173F4" w:rsidRPr="00B57DAB">
        <w:rPr>
          <w:rFonts w:ascii="GHEA Grapalat" w:hAnsi="GHEA Grapalat" w:cs="Times Armenian"/>
          <w:sz w:val="22"/>
          <w:szCs w:val="22"/>
        </w:rPr>
        <w:t>27</w:t>
      </w:r>
      <w:r w:rsidR="007173F4" w:rsidRPr="00B57DAB">
        <w:rPr>
          <w:rFonts w:ascii="Courier New" w:hAnsi="Courier New" w:cs="Courier New"/>
          <w:sz w:val="22"/>
          <w:szCs w:val="22"/>
        </w:rPr>
        <w:t> </w:t>
      </w:r>
      <w:r w:rsidR="007173F4" w:rsidRPr="00B57DAB">
        <w:rPr>
          <w:rFonts w:ascii="GHEA Grapalat" w:hAnsi="GHEA Grapalat" w:cs="Times Armenian"/>
          <w:sz w:val="22"/>
          <w:szCs w:val="22"/>
        </w:rPr>
        <w:t>մլն դրամով</w:t>
      </w:r>
      <w:r w:rsidR="0093157E" w:rsidRPr="00B57DAB">
        <w:rPr>
          <w:rFonts w:ascii="GHEA Grapalat" w:hAnsi="GHEA Grapalat" w:cs="Times Armenian"/>
          <w:sz w:val="22"/>
          <w:szCs w:val="22"/>
        </w:rPr>
        <w:t>)</w:t>
      </w:r>
      <w:r w:rsidR="007173F4" w:rsidRPr="00B57DAB">
        <w:rPr>
          <w:rFonts w:ascii="GHEA Grapalat" w:hAnsi="GHEA Grapalat" w:cs="Times Armenian"/>
          <w:sz w:val="22"/>
          <w:szCs w:val="22"/>
        </w:rPr>
        <w:t>՝ հիմնականում պայմանավորված Կենտրոնական ընտրական հանձնաժողովի գործունեության ապահովման և ընտրական ծրագրերի համակարգման, կազմակերպման, անցկացման, մոնիտորինգի ծառայությունների</w:t>
      </w:r>
      <w:r w:rsidR="009662C3" w:rsidRPr="00B57DAB">
        <w:rPr>
          <w:rFonts w:ascii="GHEA Grapalat" w:hAnsi="GHEA Grapalat" w:cs="Times Armenian"/>
          <w:sz w:val="22"/>
          <w:szCs w:val="22"/>
        </w:rPr>
        <w:t xml:space="preserve"> գծով ծախսերի 27.8%</w:t>
      </w:r>
      <w:r w:rsidR="007173F4" w:rsidRPr="00B57DAB">
        <w:rPr>
          <w:rFonts w:ascii="GHEA Grapalat" w:hAnsi="GHEA Grapalat" w:cs="Times Armenian"/>
          <w:sz w:val="22"/>
          <w:szCs w:val="22"/>
        </w:rPr>
        <w:t xml:space="preserve"> աճով</w:t>
      </w:r>
      <w:r w:rsidR="009662C3" w:rsidRPr="00B57DAB">
        <w:rPr>
          <w:rFonts w:ascii="GHEA Grapalat" w:hAnsi="GHEA Grapalat" w:cs="Times Armenian"/>
          <w:sz w:val="22"/>
          <w:szCs w:val="22"/>
        </w:rPr>
        <w:t>,</w:t>
      </w:r>
      <w:r w:rsidR="007173F4" w:rsidRPr="00B57DAB">
        <w:rPr>
          <w:rFonts w:ascii="GHEA Grapalat" w:hAnsi="GHEA Grapalat" w:cs="Times Armenian"/>
          <w:sz w:val="22"/>
          <w:szCs w:val="22"/>
        </w:rPr>
        <w:t xml:space="preserve"> ինչպես նաև </w:t>
      </w:r>
      <w:r w:rsidR="009662C3" w:rsidRPr="00B57DAB">
        <w:rPr>
          <w:rFonts w:ascii="GHEA Grapalat" w:hAnsi="GHEA Grapalat" w:cs="Times Armenian"/>
          <w:sz w:val="22"/>
          <w:szCs w:val="22"/>
        </w:rPr>
        <w:t>ՏԻՄ</w:t>
      </w:r>
      <w:r w:rsidR="007173F4" w:rsidRPr="00B57DAB">
        <w:rPr>
          <w:rFonts w:ascii="GHEA Grapalat" w:hAnsi="GHEA Grapalat" w:cs="Times Armenian"/>
          <w:sz w:val="22"/>
          <w:szCs w:val="22"/>
        </w:rPr>
        <w:t xml:space="preserve"> ընտրությունների </w:t>
      </w:r>
      <w:r w:rsidR="009662C3" w:rsidRPr="00B57DAB">
        <w:rPr>
          <w:rFonts w:ascii="GHEA Grapalat" w:hAnsi="GHEA Grapalat" w:cs="Times Armenian"/>
          <w:sz w:val="22"/>
          <w:szCs w:val="22"/>
        </w:rPr>
        <w:t>ծախսերով</w:t>
      </w:r>
      <w:r w:rsidR="007173F4" w:rsidRPr="00B57DAB">
        <w:rPr>
          <w:rFonts w:ascii="GHEA Grapalat" w:hAnsi="GHEA Grapalat" w:cs="Times Armenian"/>
          <w:sz w:val="22"/>
          <w:szCs w:val="22"/>
        </w:rPr>
        <w:t>:</w:t>
      </w:r>
    </w:p>
    <w:p w:rsidR="003F2149" w:rsidRPr="00B57DAB" w:rsidRDefault="003F2149" w:rsidP="003F2149">
      <w:pPr>
        <w:spacing w:line="360" w:lineRule="auto"/>
        <w:ind w:firstLine="561"/>
        <w:jc w:val="both"/>
        <w:rPr>
          <w:rFonts w:ascii="GHEA Grapalat" w:hAnsi="GHEA Grapalat" w:cs="Sylfaen"/>
          <w:sz w:val="22"/>
          <w:szCs w:val="22"/>
        </w:rPr>
      </w:pPr>
    </w:p>
    <w:p w:rsidR="00E2062F" w:rsidRPr="00B57DAB" w:rsidRDefault="00E2062F" w:rsidP="00E2062F">
      <w:pPr>
        <w:spacing w:line="360" w:lineRule="auto"/>
        <w:ind w:firstLine="561"/>
        <w:jc w:val="both"/>
        <w:rPr>
          <w:rFonts w:ascii="GHEA Grapalat" w:hAnsi="GHEA Grapalat" w:cs="GHEA Grapalat"/>
          <w:sz w:val="22"/>
          <w:szCs w:val="22"/>
        </w:rPr>
      </w:pPr>
      <w:r w:rsidRPr="00B57DAB">
        <w:rPr>
          <w:rFonts w:ascii="GHEA Grapalat" w:hAnsi="GHEA Grapalat" w:cs="GHEA Grapalat"/>
          <w:i/>
          <w:sz w:val="22"/>
          <w:szCs w:val="22"/>
          <w:u w:val="single"/>
        </w:rPr>
        <w:t>Մ</w:t>
      </w:r>
      <w:r w:rsidR="003F2149" w:rsidRPr="00B57DAB">
        <w:rPr>
          <w:rFonts w:ascii="GHEA Grapalat" w:hAnsi="GHEA Grapalat" w:cs="GHEA Grapalat"/>
          <w:i/>
          <w:sz w:val="22"/>
          <w:szCs w:val="22"/>
          <w:u w:val="single"/>
        </w:rPr>
        <w:t>րցակցության պաշտպանության հանձնաժողովին</w:t>
      </w:r>
      <w:r w:rsidR="003F2149" w:rsidRPr="00B57DAB">
        <w:rPr>
          <w:rFonts w:ascii="GHEA Grapalat" w:hAnsi="GHEA Grapalat" w:cs="GHEA Grapalat"/>
          <w:sz w:val="22"/>
          <w:szCs w:val="22"/>
        </w:rPr>
        <w:t xml:space="preserve"> </w:t>
      </w:r>
      <w:r w:rsidRPr="00B57DAB">
        <w:rPr>
          <w:rFonts w:ascii="GHEA Grapalat" w:hAnsi="GHEA Grapalat" w:cs="GHEA Grapalat"/>
          <w:sz w:val="22"/>
          <w:szCs w:val="22"/>
        </w:rPr>
        <w:t xml:space="preserve">2022 թվականի առաջին եռամսյակում </w:t>
      </w:r>
      <w:r w:rsidRPr="00B57DAB">
        <w:rPr>
          <w:rFonts w:ascii="GHEA Grapalat" w:hAnsi="GHEA Grapalat" w:cs="GHEA Grapalat"/>
          <w:i/>
          <w:sz w:val="22"/>
          <w:szCs w:val="22"/>
        </w:rPr>
        <w:t xml:space="preserve">«Տնտեսական մրցակցության պաշտպանություն» </w:t>
      </w:r>
      <w:r w:rsidRPr="00B57DAB">
        <w:rPr>
          <w:rFonts w:ascii="GHEA Grapalat" w:hAnsi="GHEA Grapalat" w:cs="GHEA Grapalat"/>
          <w:sz w:val="22"/>
          <w:szCs w:val="22"/>
        </w:rPr>
        <w:t>ծրագրի իրականացման համար տրամադրվել է 92.7 մլն դրամ, որը կազմել է ծրագրված ցուցանիշի 94.8%</w:t>
      </w:r>
      <w:r w:rsidRPr="00B57DAB">
        <w:rPr>
          <w:rFonts w:ascii="GHEA Grapalat" w:hAnsi="GHEA Grapalat" w:cs="GHEA Grapalat"/>
          <w:sz w:val="22"/>
          <w:szCs w:val="22"/>
        </w:rPr>
        <w:noBreakHyphen/>
        <w:t xml:space="preserve">ը: </w:t>
      </w:r>
      <w:r w:rsidRPr="00B57DAB">
        <w:rPr>
          <w:rFonts w:ascii="GHEA Grapalat" w:hAnsi="GHEA Grapalat"/>
          <w:sz w:val="22"/>
          <w:szCs w:val="22"/>
        </w:rPr>
        <w:t xml:space="preserve">Շեղումը </w:t>
      </w:r>
      <w:r w:rsidRPr="00B57DAB">
        <w:rPr>
          <w:rFonts w:ascii="GHEA Grapalat" w:hAnsi="GHEA Grapalat" w:cs="GHEA Grapalat"/>
          <w:sz w:val="22"/>
          <w:szCs w:val="22"/>
        </w:rPr>
        <w:t>հիմնականում պայմանավորված է նրանով, ո</w:t>
      </w:r>
      <w:r w:rsidR="00F059C3" w:rsidRPr="00B57DAB">
        <w:rPr>
          <w:rFonts w:ascii="GHEA Grapalat" w:hAnsi="GHEA Grapalat" w:cs="GHEA Grapalat"/>
          <w:sz w:val="22"/>
          <w:szCs w:val="22"/>
        </w:rPr>
        <w:t>ր կախված քաղաքացիների դիմում-բողոքներից՝ ծառայողական</w:t>
      </w:r>
      <w:r w:rsidRPr="00B57DAB">
        <w:rPr>
          <w:rFonts w:ascii="GHEA Grapalat" w:hAnsi="GHEA Grapalat" w:cs="GHEA Grapalat"/>
          <w:sz w:val="22"/>
          <w:szCs w:val="22"/>
        </w:rPr>
        <w:t xml:space="preserve"> գործուղումների </w:t>
      </w:r>
      <w:r w:rsidR="00F059C3" w:rsidRPr="00B57DAB">
        <w:rPr>
          <w:rFonts w:ascii="GHEA Grapalat" w:hAnsi="GHEA Grapalat" w:cs="GHEA Grapalat"/>
          <w:sz w:val="22"/>
          <w:szCs w:val="22"/>
        </w:rPr>
        <w:t>անհրաժեշտություն չի առաջացել</w:t>
      </w:r>
      <w:r w:rsidRPr="00B57DAB">
        <w:rPr>
          <w:rFonts w:ascii="GHEA Grapalat" w:hAnsi="GHEA Grapalat" w:cs="GHEA Grapalat"/>
          <w:sz w:val="22"/>
          <w:szCs w:val="22"/>
        </w:rPr>
        <w:t>, բացի այդ՝ գնման գործընթացը տեխնիկական պատճառներով հետաձգվել է և տեղափոխվել հաջորդ եռամսյակ: Հաշվետու ժամանակահատվածում տնտեսական մրցակցության իրավիճակի գնահատման նպատակով կատարվել են 29 ուսումնասիրություններ՝ նախատեսված 15-ի փոխարեն, որը պայմանավորված է անբարեխիղճ մրցակցության դեպքերի բացահայտման աճով և պարենային ապրանքային շուկաներում առկա իրավիճակով: Նախորդ տարվա առաջին եռամսյակի համեմատ Մրցակցության պաշտպանության հանձնաժողովի ծախսերը նվազել են 5.1%</w:t>
      </w:r>
      <w:r w:rsidRPr="00B57DAB">
        <w:rPr>
          <w:rFonts w:ascii="GHEA Grapalat" w:hAnsi="GHEA Grapalat" w:cs="GHEA Grapalat"/>
          <w:sz w:val="22"/>
          <w:szCs w:val="22"/>
        </w:rPr>
        <w:noBreakHyphen/>
        <w:t>ով կամ 5 մլն դրամով:</w:t>
      </w:r>
    </w:p>
    <w:p w:rsidR="003F2149" w:rsidRPr="00B57DAB" w:rsidRDefault="003F2149" w:rsidP="003F2149">
      <w:pPr>
        <w:autoSpaceDE w:val="0"/>
        <w:autoSpaceDN w:val="0"/>
        <w:adjustRightInd w:val="0"/>
        <w:spacing w:line="360" w:lineRule="auto"/>
        <w:ind w:firstLine="567"/>
        <w:jc w:val="both"/>
        <w:rPr>
          <w:rFonts w:ascii="GHEA Grapalat" w:hAnsi="GHEA Grapalat" w:cs="GHEA Grapalat"/>
          <w:sz w:val="22"/>
          <w:szCs w:val="22"/>
          <w:lang w:val="hy-AM"/>
        </w:rPr>
      </w:pPr>
    </w:p>
    <w:p w:rsidR="00192AA1" w:rsidRPr="00B57DAB" w:rsidRDefault="003F2149" w:rsidP="00E2062F">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i/>
          <w:sz w:val="22"/>
          <w:szCs w:val="22"/>
          <w:u w:val="single"/>
          <w:lang w:val="hy-AM"/>
        </w:rPr>
        <w:t>ՀՀ կադաստրի կոմիտեի</w:t>
      </w:r>
      <w:r w:rsidRPr="00B57DAB">
        <w:rPr>
          <w:rFonts w:ascii="GHEA Grapalat" w:hAnsi="GHEA Grapalat" w:cs="GHEA Grapalat"/>
          <w:sz w:val="22"/>
          <w:szCs w:val="22"/>
          <w:lang w:val="hy-AM"/>
        </w:rPr>
        <w:t xml:space="preserve"> </w:t>
      </w:r>
      <w:r w:rsidR="00E2062F" w:rsidRPr="00B57DAB">
        <w:rPr>
          <w:rFonts w:ascii="GHEA Grapalat" w:hAnsi="GHEA Grapalat" w:cs="GHEA Grapalat"/>
          <w:sz w:val="22"/>
          <w:szCs w:val="22"/>
        </w:rPr>
        <w:t xml:space="preserve">պատասխանատվությամբ 2022 թվականի առաջին եռամսյակում կատարվել է </w:t>
      </w:r>
      <w:r w:rsidR="00E2062F" w:rsidRPr="00B57DAB">
        <w:rPr>
          <w:rFonts w:ascii="GHEA Grapalat" w:hAnsi="GHEA Grapalat" w:cs="GHEA Grapalat"/>
          <w:i/>
          <w:sz w:val="22"/>
          <w:szCs w:val="22"/>
        </w:rPr>
        <w:t>Անշարժ գույքի կադաստրի վարման բնագավառում պետական քաղաքականության իրականացման</w:t>
      </w:r>
      <w:r w:rsidR="00E2062F" w:rsidRPr="00B57DAB">
        <w:rPr>
          <w:rFonts w:ascii="GHEA Grapalat" w:hAnsi="GHEA Grapalat" w:cs="GHEA Grapalat"/>
          <w:sz w:val="22"/>
          <w:szCs w:val="22"/>
        </w:rPr>
        <w:t xml:space="preserve"> ծրագիրը, որի գծով ծախսերը կազմել են շուրջ 630.4 մլն դրամ կամ նախատեսվածի 53.2%</w:t>
      </w:r>
      <w:r w:rsidR="00E2062F" w:rsidRPr="00B57DAB">
        <w:rPr>
          <w:rFonts w:ascii="GHEA Grapalat" w:hAnsi="GHEA Grapalat" w:cs="GHEA Grapalat"/>
          <w:sz w:val="22"/>
          <w:szCs w:val="22"/>
        </w:rPr>
        <w:noBreakHyphen/>
        <w:t>ը: Շեղումը հիմնականում պայմանավորված է Գույքի նկատմամբ իրավունքների պետական գրանցման, գույքի և դրա նկատմամբ գրանցված իրավունքների և սահմանափակումների վերաբերյալ տեղեկատվության տրամադրման ծախսերի կատարողականով</w:t>
      </w:r>
      <w:r w:rsidR="00192AA1" w:rsidRPr="00B57DAB">
        <w:rPr>
          <w:rFonts w:ascii="GHEA Grapalat" w:hAnsi="GHEA Grapalat" w:cs="GHEA Grapalat"/>
          <w:sz w:val="22"/>
          <w:szCs w:val="22"/>
        </w:rPr>
        <w:t>, ինչպես նաև ՀՀ տարածքի օդալուսանկարահանման, օրթոֆոտոհատակագծերի և թվային բարձունքային մոդելի ստեղծման աշխատանքների համար նախատեսված</w:t>
      </w:r>
      <w:r w:rsidR="00192AA1" w:rsidRPr="00B57DAB">
        <w:rPr>
          <w:rFonts w:ascii="GHEA Grapalat" w:hAnsi="GHEA Grapalat" w:cs="Sylfaen"/>
          <w:sz w:val="22"/>
          <w:szCs w:val="22"/>
        </w:rPr>
        <w:t xml:space="preserve"> </w:t>
      </w:r>
      <w:r w:rsidR="00192AA1" w:rsidRPr="00B57DAB">
        <w:rPr>
          <w:rFonts w:ascii="GHEA Grapalat" w:hAnsi="GHEA Grapalat" w:cs="GHEA Grapalat"/>
          <w:sz w:val="22"/>
          <w:szCs w:val="22"/>
        </w:rPr>
        <w:t>միջոցները չօգտագործելու հանգամանքով</w:t>
      </w:r>
      <w:r w:rsidR="00E2062F" w:rsidRPr="00B57DAB">
        <w:rPr>
          <w:rFonts w:ascii="GHEA Grapalat" w:hAnsi="GHEA Grapalat" w:cs="GHEA Grapalat"/>
          <w:sz w:val="22"/>
          <w:szCs w:val="22"/>
        </w:rPr>
        <w:t xml:space="preserve">: </w:t>
      </w:r>
      <w:r w:rsidR="00192AA1" w:rsidRPr="00B57DAB">
        <w:rPr>
          <w:rFonts w:ascii="GHEA Grapalat" w:hAnsi="GHEA Grapalat" w:cs="GHEA Grapalat"/>
          <w:sz w:val="22"/>
          <w:szCs w:val="22"/>
        </w:rPr>
        <w:lastRenderedPageBreak/>
        <w:t>Նշված առաջին մ</w:t>
      </w:r>
      <w:r w:rsidR="00E2062F" w:rsidRPr="00B57DAB">
        <w:rPr>
          <w:rFonts w:ascii="GHEA Grapalat" w:hAnsi="GHEA Grapalat" w:cs="GHEA Grapalat"/>
          <w:sz w:val="22"/>
          <w:szCs w:val="22"/>
        </w:rPr>
        <w:t xml:space="preserve">իջոցառման շրջանակներում սահմանված արդյունքային չափորոշիչների գծով հիմնականում արձանագրվել են գերակատարումներ՝ պայմանավորված ինչպես քաղաքացիների դիմելիությամբ, այնպես էլ գույքի նկատմամբ իրավունքների պետական գրանցման գործարքների թվի աճով: Միջոցառման շրջանակներում օգտագործվել է շուրջ 627.7 մլն դրամ կամ նախատեսված միջոցների 69%-ը: Վերջինս պայմանավորված է թափուր հաստիքների առկայության արդյունքում աշխատավարձի գծով նախատեսված միջոցների տնտեսմամբ, ինչպես նաև մասնագիտական ծառայությունների գծով ծախսերի հետաձգմամբ: </w:t>
      </w:r>
    </w:p>
    <w:p w:rsidR="00D30406" w:rsidRPr="00B57DAB" w:rsidRDefault="00E2062F" w:rsidP="00E2062F">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ՀՀ տարածքի օդալուսանկարահանման, օրթոֆոտոհատակագծերի և թվային բարձունքային մոդելի ստեղծման աշխատանքների համար</w:t>
      </w:r>
      <w:r w:rsidR="00192AA1" w:rsidRPr="00B57DAB">
        <w:rPr>
          <w:rFonts w:ascii="GHEA Grapalat" w:hAnsi="GHEA Grapalat" w:cs="GHEA Grapalat"/>
          <w:sz w:val="22"/>
          <w:szCs w:val="22"/>
        </w:rPr>
        <w:t xml:space="preserve"> նախատեսված</w:t>
      </w:r>
      <w:r w:rsidRPr="00B57DAB">
        <w:rPr>
          <w:rFonts w:ascii="GHEA Grapalat" w:hAnsi="GHEA Grapalat" w:cs="GHEA Grapalat"/>
          <w:sz w:val="22"/>
          <w:szCs w:val="22"/>
        </w:rPr>
        <w:t xml:space="preserve"> 215.2 մլն դրամ միջոցները չ</w:t>
      </w:r>
      <w:r w:rsidR="00192AA1" w:rsidRPr="00B57DAB">
        <w:rPr>
          <w:rFonts w:ascii="GHEA Grapalat" w:hAnsi="GHEA Grapalat" w:cs="GHEA Grapalat"/>
          <w:sz w:val="22"/>
          <w:szCs w:val="22"/>
        </w:rPr>
        <w:t xml:space="preserve">են </w:t>
      </w:r>
      <w:r w:rsidRPr="00B57DAB">
        <w:rPr>
          <w:rFonts w:ascii="GHEA Grapalat" w:hAnsi="GHEA Grapalat" w:cs="GHEA Grapalat"/>
          <w:sz w:val="22"/>
          <w:szCs w:val="22"/>
        </w:rPr>
        <w:t>օգտագործ</w:t>
      </w:r>
      <w:r w:rsidR="00192AA1" w:rsidRPr="00B57DAB">
        <w:rPr>
          <w:rFonts w:ascii="GHEA Grapalat" w:hAnsi="GHEA Grapalat" w:cs="GHEA Grapalat"/>
          <w:sz w:val="22"/>
          <w:szCs w:val="22"/>
        </w:rPr>
        <w:t>վ</w:t>
      </w:r>
      <w:r w:rsidRPr="00B57DAB">
        <w:rPr>
          <w:rFonts w:ascii="GHEA Grapalat" w:hAnsi="GHEA Grapalat" w:cs="GHEA Grapalat"/>
          <w:sz w:val="22"/>
          <w:szCs w:val="22"/>
        </w:rPr>
        <w:t>ել</w:t>
      </w:r>
      <w:r w:rsidR="00192AA1" w:rsidRPr="00B57DAB">
        <w:rPr>
          <w:rFonts w:ascii="GHEA Grapalat" w:hAnsi="GHEA Grapalat" w:cs="GHEA Grapalat"/>
          <w:sz w:val="22"/>
          <w:szCs w:val="22"/>
        </w:rPr>
        <w:t>՝</w:t>
      </w:r>
      <w:r w:rsidRPr="00B57DAB">
        <w:rPr>
          <w:rFonts w:ascii="GHEA Grapalat" w:hAnsi="GHEA Grapalat" w:cs="GHEA Grapalat"/>
          <w:sz w:val="22"/>
          <w:szCs w:val="22"/>
        </w:rPr>
        <w:t xml:space="preserve"> պայմանավորված </w:t>
      </w:r>
      <w:r w:rsidRPr="00B57DAB">
        <w:rPr>
          <w:rFonts w:ascii="GHEA Grapalat" w:hAnsi="GHEA Grapalat" w:cs="Sylfaen"/>
          <w:sz w:val="22"/>
          <w:szCs w:val="22"/>
        </w:rPr>
        <w:t xml:space="preserve">նրանով, որ </w:t>
      </w:r>
      <w:r w:rsidR="00192AA1" w:rsidRPr="00B57DAB">
        <w:rPr>
          <w:rFonts w:ascii="GHEA Grapalat" w:hAnsi="GHEA Grapalat" w:cs="Sylfaen"/>
          <w:sz w:val="22"/>
          <w:szCs w:val="22"/>
        </w:rPr>
        <w:t xml:space="preserve">միջոցները հատկացվել են </w:t>
      </w:r>
      <w:r w:rsidRPr="00B57DAB">
        <w:rPr>
          <w:rFonts w:ascii="GHEA Grapalat" w:hAnsi="GHEA Grapalat" w:cs="Sylfaen"/>
          <w:sz w:val="22"/>
          <w:szCs w:val="22"/>
        </w:rPr>
        <w:t xml:space="preserve">ՀՀ կառավարության թիվ 273-Ն որոշմամբ (ուժի մեջ է մտել 2022 թվականի մարտի 4-ին), </w:t>
      </w:r>
      <w:r w:rsidR="00192AA1" w:rsidRPr="00B57DAB">
        <w:rPr>
          <w:rFonts w:ascii="GHEA Grapalat" w:hAnsi="GHEA Grapalat" w:cs="Sylfaen"/>
          <w:sz w:val="22"/>
          <w:szCs w:val="22"/>
        </w:rPr>
        <w:t>և</w:t>
      </w:r>
      <w:r w:rsidRPr="00B57DAB">
        <w:rPr>
          <w:rFonts w:ascii="GHEA Grapalat" w:hAnsi="GHEA Grapalat" w:cs="Sylfaen"/>
          <w:sz w:val="22"/>
          <w:szCs w:val="22"/>
        </w:rPr>
        <w:t xml:space="preserve"> ժամանակի </w:t>
      </w:r>
      <w:r w:rsidRPr="00B57DAB">
        <w:rPr>
          <w:rFonts w:ascii="GHEA Grapalat" w:hAnsi="GHEA Grapalat" w:cs="GHEA Grapalat"/>
          <w:sz w:val="22"/>
          <w:szCs w:val="22"/>
        </w:rPr>
        <w:t>սղության հետևանքով վճարումները տեղափոխվել են հաջորդ եռամսյակ: Միջոցառման</w:t>
      </w:r>
      <w:r w:rsidR="008A3978" w:rsidRPr="00B57DAB">
        <w:rPr>
          <w:rFonts w:ascii="GHEA Grapalat" w:hAnsi="GHEA Grapalat" w:cs="GHEA Grapalat"/>
          <w:sz w:val="22"/>
          <w:szCs w:val="22"/>
        </w:rPr>
        <w:t xml:space="preserve"> շրջանակներում նախատեսված </w:t>
      </w:r>
      <w:r w:rsidR="00D30406" w:rsidRPr="00B57DAB">
        <w:rPr>
          <w:rFonts w:ascii="GHEA Grapalat" w:hAnsi="GHEA Grapalat" w:cs="GHEA Grapalat"/>
          <w:sz w:val="22"/>
          <w:szCs w:val="22"/>
        </w:rPr>
        <w:t>աշխատանքներն ամբողջությամբ կատարվել են և ապահովվել են</w:t>
      </w:r>
      <w:r w:rsidRPr="00B57DAB">
        <w:rPr>
          <w:rFonts w:ascii="GHEA Grapalat" w:hAnsi="GHEA Grapalat" w:cs="GHEA Grapalat"/>
          <w:sz w:val="22"/>
          <w:szCs w:val="22"/>
        </w:rPr>
        <w:t xml:space="preserve"> սահմանված բոլոր արդյունքային չափորոշիչներ</w:t>
      </w:r>
      <w:r w:rsidR="00D30406" w:rsidRPr="00B57DAB">
        <w:rPr>
          <w:rFonts w:ascii="GHEA Grapalat" w:hAnsi="GHEA Grapalat" w:cs="GHEA Grapalat"/>
          <w:sz w:val="22"/>
          <w:szCs w:val="22"/>
        </w:rPr>
        <w:t>ը:</w:t>
      </w:r>
    </w:p>
    <w:p w:rsidR="00E2062F" w:rsidRPr="00B57DAB" w:rsidRDefault="00E2062F" w:rsidP="00E2062F">
      <w:pPr>
        <w:autoSpaceDE w:val="0"/>
        <w:autoSpaceDN w:val="0"/>
        <w:adjustRightInd w:val="0"/>
        <w:spacing w:line="360" w:lineRule="auto"/>
        <w:ind w:firstLine="567"/>
        <w:jc w:val="both"/>
        <w:rPr>
          <w:rFonts w:ascii="GHEA Grapalat" w:hAnsi="GHEA Grapalat" w:cs="GHEA Grapalat"/>
          <w:sz w:val="22"/>
          <w:szCs w:val="22"/>
        </w:rPr>
      </w:pPr>
      <w:proofErr w:type="gramStart"/>
      <w:r w:rsidRPr="00B57DAB">
        <w:rPr>
          <w:rFonts w:ascii="GHEA Grapalat" w:hAnsi="GHEA Grapalat" w:cs="GHEA Grapalat"/>
          <w:sz w:val="22"/>
          <w:szCs w:val="22"/>
        </w:rPr>
        <w:t>Նախորդ տարվա առաջին եռամսյակի համեմատ ՀՀ կադաստրի կոմիտեի պատասխանատվությամբ իրականացվող ծախսերն աճել են 11%</w:t>
      </w:r>
      <w:r w:rsidRPr="00B57DAB">
        <w:rPr>
          <w:rFonts w:ascii="GHEA Grapalat" w:hAnsi="GHEA Grapalat" w:cs="GHEA Grapalat"/>
          <w:sz w:val="22"/>
          <w:szCs w:val="22"/>
        </w:rPr>
        <w:noBreakHyphen/>
        <w:t>ով կամ 62.4 մլն դրամով` հիմնականում պայմանավորված Գույքի նկատմամբ իրավունքների պետական գրանցման, գույքի և դրա նկատմամբ գրանցված իրավունքների և սահմանափակումների վերաբերյալ տեղեկատվությ</w:t>
      </w:r>
      <w:r w:rsidR="00D30406" w:rsidRPr="00B57DAB">
        <w:rPr>
          <w:rFonts w:ascii="GHEA Grapalat" w:hAnsi="GHEA Grapalat" w:cs="GHEA Grapalat"/>
          <w:sz w:val="22"/>
          <w:szCs w:val="22"/>
        </w:rPr>
        <w:t>ան տրամադրման ծախսերի 10.5% (</w:t>
      </w:r>
      <w:r w:rsidRPr="00B57DAB">
        <w:rPr>
          <w:rFonts w:ascii="GHEA Grapalat" w:hAnsi="GHEA Grapalat" w:cs="GHEA Grapalat"/>
          <w:sz w:val="22"/>
          <w:szCs w:val="22"/>
        </w:rPr>
        <w:t>59.8 մլն դրամ) աճով:</w:t>
      </w:r>
      <w:proofErr w:type="gramEnd"/>
    </w:p>
    <w:p w:rsidR="003F2149" w:rsidRPr="00B57DAB" w:rsidRDefault="003F2149" w:rsidP="003F2149">
      <w:pPr>
        <w:autoSpaceDE w:val="0"/>
        <w:autoSpaceDN w:val="0"/>
        <w:adjustRightInd w:val="0"/>
        <w:spacing w:line="360" w:lineRule="auto"/>
        <w:ind w:firstLine="567"/>
        <w:jc w:val="both"/>
        <w:rPr>
          <w:rFonts w:ascii="GHEA Grapalat" w:hAnsi="GHEA Grapalat" w:cs="Sylfaen"/>
          <w:sz w:val="22"/>
          <w:szCs w:val="22"/>
        </w:rPr>
      </w:pPr>
    </w:p>
    <w:p w:rsidR="007173F4" w:rsidRPr="00B57DAB" w:rsidRDefault="003F2149" w:rsidP="007173F4">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Sylfaen"/>
          <w:i/>
          <w:sz w:val="22"/>
          <w:szCs w:val="22"/>
          <w:u w:val="single"/>
          <w:lang w:val="hy-AM"/>
        </w:rPr>
        <w:t>Հեռուստատեսության և ռադիոյի հանձնաժողովի</w:t>
      </w:r>
      <w:r w:rsidR="007173F4" w:rsidRPr="00B57DAB">
        <w:rPr>
          <w:rFonts w:ascii="GHEA Grapalat" w:hAnsi="GHEA Grapalat" w:cs="GHEA Grapalat"/>
          <w:sz w:val="22"/>
          <w:szCs w:val="22"/>
        </w:rPr>
        <w:t xml:space="preserve"> պատասխանատվությամբ 2022 թվականի</w:t>
      </w:r>
      <w:r w:rsidR="007173F4" w:rsidRPr="00B57DAB">
        <w:rPr>
          <w:rFonts w:ascii="GHEA Grapalat" w:hAnsi="GHEA Grapalat" w:cs="Sylfaen"/>
          <w:sz w:val="22"/>
          <w:szCs w:val="22"/>
        </w:rPr>
        <w:t xml:space="preserve"> առաջին եռամսյակի</w:t>
      </w:r>
      <w:r w:rsidR="007173F4" w:rsidRPr="00B57DAB">
        <w:rPr>
          <w:rFonts w:ascii="GHEA Grapalat" w:hAnsi="GHEA Grapalat" w:cs="GHEA Grapalat"/>
          <w:sz w:val="22"/>
          <w:szCs w:val="22"/>
        </w:rPr>
        <w:t xml:space="preserve"> ընթացքում </w:t>
      </w:r>
      <w:r w:rsidR="007173F4" w:rsidRPr="00B57DAB">
        <w:rPr>
          <w:rFonts w:ascii="GHEA Grapalat" w:hAnsi="GHEA Grapalat" w:cs="GHEA Grapalat"/>
          <w:i/>
          <w:sz w:val="22"/>
          <w:szCs w:val="22"/>
        </w:rPr>
        <w:t>Տեսալսողական մեդիայի ոլորտի կանոնակարգման</w:t>
      </w:r>
      <w:r w:rsidR="007173F4" w:rsidRPr="00B57DAB">
        <w:rPr>
          <w:rFonts w:ascii="GHEA Grapalat" w:hAnsi="GHEA Grapalat" w:cs="GHEA Grapalat"/>
          <w:sz w:val="22"/>
          <w:szCs w:val="22"/>
        </w:rPr>
        <w:t xml:space="preserve"> ծրագրի շրջանակներում տրամադրվել է 53.2 մլն դրամ՝ ապահովելով ծրագրված ցուցանիշի 91.1% կատարողական: Շեղումը պայմանավորված է </w:t>
      </w:r>
      <w:r w:rsidR="00354BA2" w:rsidRPr="00B57DAB">
        <w:rPr>
          <w:rFonts w:ascii="GHEA Grapalat" w:hAnsi="GHEA Grapalat" w:cs="GHEA Grapalat"/>
          <w:sz w:val="22"/>
          <w:szCs w:val="22"/>
        </w:rPr>
        <w:t xml:space="preserve">հիմնականում աշխատողների արձակուրդների տեղափոխմամբ, գործուղումների հետաձգմամբ, մրցույթների արդյունքում ցածր գներով ապրանքների և ծառայությունների ձեռքբերմամբ: </w:t>
      </w:r>
      <w:r w:rsidR="001828E9" w:rsidRPr="00B57DAB">
        <w:rPr>
          <w:rFonts w:ascii="GHEA Grapalat" w:hAnsi="GHEA Grapalat" w:cs="GHEA Grapalat"/>
          <w:sz w:val="22"/>
          <w:szCs w:val="22"/>
        </w:rPr>
        <w:t>Ն</w:t>
      </w:r>
      <w:r w:rsidR="007173F4" w:rsidRPr="00B57DAB">
        <w:rPr>
          <w:rFonts w:ascii="GHEA Grapalat" w:hAnsi="GHEA Grapalat" w:cs="GHEA Grapalat"/>
          <w:sz w:val="22"/>
          <w:szCs w:val="22"/>
        </w:rPr>
        <w:t>ախորդ տարվա</w:t>
      </w:r>
      <w:r w:rsidR="001828E9" w:rsidRPr="00B57DAB">
        <w:rPr>
          <w:rFonts w:ascii="GHEA Grapalat" w:hAnsi="GHEA Grapalat" w:cs="GHEA Grapalat"/>
          <w:sz w:val="22"/>
          <w:szCs w:val="22"/>
        </w:rPr>
        <w:t xml:space="preserve"> առաջին եռամսյակի</w:t>
      </w:r>
      <w:r w:rsidR="007173F4" w:rsidRPr="00B57DAB">
        <w:rPr>
          <w:rFonts w:ascii="GHEA Grapalat" w:hAnsi="GHEA Grapalat" w:cs="GHEA Grapalat"/>
          <w:sz w:val="22"/>
          <w:szCs w:val="22"/>
        </w:rPr>
        <w:t xml:space="preserve"> համեմատ </w:t>
      </w:r>
      <w:r w:rsidR="001828E9" w:rsidRPr="00B57DAB">
        <w:rPr>
          <w:rFonts w:ascii="GHEA Grapalat" w:hAnsi="GHEA Grapalat" w:cs="GHEA Grapalat"/>
          <w:sz w:val="22"/>
          <w:szCs w:val="22"/>
        </w:rPr>
        <w:t>հանձնաժողովի</w:t>
      </w:r>
      <w:r w:rsidR="007173F4" w:rsidRPr="00B57DAB">
        <w:rPr>
          <w:rFonts w:ascii="GHEA Grapalat" w:hAnsi="GHEA Grapalat" w:cs="GHEA Grapalat"/>
          <w:sz w:val="22"/>
          <w:szCs w:val="22"/>
        </w:rPr>
        <w:t xml:space="preserve"> ծախսերը նվազել են 8.9%-ով կամ 5.2 մլն դրամով: </w:t>
      </w:r>
    </w:p>
    <w:p w:rsidR="007173F4" w:rsidRPr="00B57DAB" w:rsidRDefault="007173F4" w:rsidP="007173F4">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Տեսալսողական մեդիայի ոլորտի կանոնակարգման ծառայությունների միջոցառման շրջանակներում իրականացվել է տեսալսողական հաղորդումների պատրաստման և հեռարձակման՝ օրենսդրության պահանջների և լիցենզիայի պայմանների պահպանման նկատմամբ մշտադիտարկում և վերահսկողություն (990 եթերային օրերի դիտարկումներ), անցկացվել է սլոթի օգտագործման, լսողական ծրագրի հաճախականության օգտագործման և մասնավոր մուլտիպլեքս օպերատորի գործունեության լիցենզավորման 6 մրցույթ</w:t>
      </w:r>
      <w:r w:rsidR="001828E9" w:rsidRPr="00B57DAB">
        <w:rPr>
          <w:rFonts w:ascii="GHEA Grapalat" w:hAnsi="GHEA Grapalat" w:cs="GHEA Grapalat"/>
          <w:sz w:val="22"/>
          <w:szCs w:val="22"/>
        </w:rPr>
        <w:t>,</w:t>
      </w:r>
      <w:r w:rsidRPr="00B57DAB">
        <w:rPr>
          <w:rFonts w:ascii="GHEA Grapalat" w:hAnsi="GHEA Grapalat" w:cs="GHEA Grapalat"/>
          <w:sz w:val="22"/>
          <w:szCs w:val="22"/>
        </w:rPr>
        <w:t xml:space="preserve"> որը նախատեսված չէր: Տրամադրվել </w:t>
      </w:r>
      <w:r w:rsidR="001828E9" w:rsidRPr="00B57DAB">
        <w:rPr>
          <w:rFonts w:ascii="GHEA Grapalat" w:hAnsi="GHEA Grapalat" w:cs="GHEA Grapalat"/>
          <w:sz w:val="22"/>
          <w:szCs w:val="22"/>
        </w:rPr>
        <w:t>են</w:t>
      </w:r>
      <w:r w:rsidRPr="00B57DAB">
        <w:rPr>
          <w:rFonts w:ascii="GHEA Grapalat" w:hAnsi="GHEA Grapalat" w:cs="GHEA Grapalat"/>
          <w:sz w:val="22"/>
          <w:szCs w:val="22"/>
        </w:rPr>
        <w:t xml:space="preserve"> </w:t>
      </w:r>
      <w:r w:rsidRPr="00B57DAB">
        <w:rPr>
          <w:rFonts w:ascii="GHEA Grapalat" w:hAnsi="GHEA Grapalat" w:cs="GHEA Grapalat"/>
          <w:sz w:val="22"/>
          <w:szCs w:val="22"/>
        </w:rPr>
        <w:lastRenderedPageBreak/>
        <w:t>ցանցային օպերատորի գործունեության 2 լիցենզիա</w:t>
      </w:r>
      <w:r w:rsidR="001828E9" w:rsidRPr="00B57DAB">
        <w:rPr>
          <w:rFonts w:ascii="GHEA Grapalat" w:hAnsi="GHEA Grapalat" w:cs="GHEA Grapalat"/>
          <w:sz w:val="22"/>
          <w:szCs w:val="22"/>
        </w:rPr>
        <w:t>,</w:t>
      </w:r>
      <w:r w:rsidRPr="00B57DAB">
        <w:rPr>
          <w:rFonts w:ascii="GHEA Grapalat" w:hAnsi="GHEA Grapalat" w:cs="GHEA Grapalat"/>
          <w:sz w:val="22"/>
          <w:szCs w:val="22"/>
        </w:rPr>
        <w:t xml:space="preserve"> տեսալսողական մեդիածառայություն մատուցողի կարգավիճակի 2 հեղինակազորման վկայագրեր, իրականացվել է տեսալսողական 38 ծրագրերի դիստրիբյուտորների ծանուցումների հաստատում: Իրականացվել է նաև տեսալսողական մեդիայի ոլորտը կանոնակարգող 1 իրավական ակտի մշակում և տեսալսողական մեդիածառայություն մատուցողների, ցանցային ու մասնավոր մուլտիպլեքս օպերատորների, տեսալսողական ծրագրերի դիստրիբյուտորների գործունեության հետ կապված 41 դիմումների քննարկում՝ կանխատեսված 32</w:t>
      </w:r>
      <w:r w:rsidRPr="00B57DAB">
        <w:rPr>
          <w:rFonts w:ascii="GHEA Grapalat" w:hAnsi="GHEA Grapalat" w:cs="GHEA Grapalat"/>
          <w:sz w:val="22"/>
          <w:szCs w:val="22"/>
        </w:rPr>
        <w:noBreakHyphen/>
        <w:t>ի դիմաց:</w:t>
      </w:r>
    </w:p>
    <w:p w:rsidR="003F2149" w:rsidRPr="00B57DAB" w:rsidRDefault="003F2149" w:rsidP="003F2149">
      <w:pPr>
        <w:spacing w:line="360" w:lineRule="auto"/>
        <w:ind w:firstLine="561"/>
        <w:jc w:val="both"/>
        <w:rPr>
          <w:rFonts w:ascii="GHEA Grapalat" w:hAnsi="GHEA Grapalat"/>
          <w:sz w:val="22"/>
          <w:szCs w:val="22"/>
        </w:rPr>
      </w:pPr>
    </w:p>
    <w:p w:rsidR="00E2062F" w:rsidRPr="00B57DAB" w:rsidRDefault="003F2149" w:rsidP="00E2062F">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i/>
          <w:sz w:val="22"/>
          <w:szCs w:val="22"/>
          <w:u w:val="single"/>
          <w:lang w:val="hy-AM"/>
        </w:rPr>
        <w:t>ՀՀ պետական եկամուտների կոմիտեի</w:t>
      </w:r>
      <w:r w:rsidR="00E2062F" w:rsidRPr="00B57DAB">
        <w:rPr>
          <w:rFonts w:ascii="GHEA Grapalat" w:hAnsi="GHEA Grapalat" w:cs="GHEA Grapalat"/>
          <w:sz w:val="22"/>
          <w:szCs w:val="22"/>
        </w:rPr>
        <w:t xml:space="preserve"> պատասխանատվությամբ 2022 թվականի առաջին եռամսյակում իրականացվել է «Հարկային և մաքսային ծառայություններ» ծրագիրը, որի շրջանակներում օգտագործվել է 3.7 մլրդ դրամ կամ նախատեսված միջոցների 65.7%</w:t>
      </w:r>
      <w:r w:rsidR="00E2062F" w:rsidRPr="00B57DAB">
        <w:rPr>
          <w:rFonts w:ascii="GHEA Grapalat" w:hAnsi="GHEA Grapalat" w:cs="GHEA Grapalat"/>
          <w:sz w:val="22"/>
          <w:szCs w:val="22"/>
        </w:rPr>
        <w:noBreakHyphen/>
        <w:t>ը: Ծրագրված ցուցանիշից շեղումը հիմնականո</w:t>
      </w:r>
      <w:r w:rsidR="00F059C3" w:rsidRPr="00B57DAB">
        <w:rPr>
          <w:rFonts w:ascii="GHEA Grapalat" w:hAnsi="GHEA Grapalat" w:cs="GHEA Grapalat"/>
          <w:sz w:val="22"/>
          <w:szCs w:val="22"/>
        </w:rPr>
        <w:t>ւմ պայմանավորված է դրոշմապիտակների նախորդ տարվա մնացորդի օգտագործմամբ (163181.3 հազար հատ), որի արդյունքում չի</w:t>
      </w:r>
      <w:r w:rsidR="00E2062F" w:rsidRPr="00B57DAB">
        <w:rPr>
          <w:rFonts w:ascii="GHEA Grapalat" w:hAnsi="GHEA Grapalat" w:cs="GHEA Grapalat"/>
          <w:sz w:val="22"/>
          <w:szCs w:val="22"/>
        </w:rPr>
        <w:t xml:space="preserve"> օգտագործվել դրոշմապիտակների ձեռքբերման համար նախատեսված շուրջ 1.5 մլրդ դրամը: Տվյալ ծրագրի շրջանակներում իրականացվել են հինգ միջոցառումներ, որոնցից երկուսի համար նախատեսված 92.9 մլն դրամ միջոցներն օգտագործվել են ամբողջությամբ: Ավելի քան 3.6 մլրդ դրամ օգտագործվել է «Հարկային և մաքսային ծառայություններ» միջոցառման </w:t>
      </w:r>
      <w:r w:rsidR="00F059C3" w:rsidRPr="00B57DAB">
        <w:rPr>
          <w:rFonts w:ascii="GHEA Grapalat" w:hAnsi="GHEA Grapalat" w:cs="GHEA Grapalat"/>
          <w:sz w:val="22"/>
          <w:szCs w:val="22"/>
        </w:rPr>
        <w:t>շրջանակներում</w:t>
      </w:r>
      <w:r w:rsidR="00E2062F" w:rsidRPr="00B57DAB">
        <w:rPr>
          <w:rFonts w:ascii="GHEA Grapalat" w:hAnsi="GHEA Grapalat" w:cs="GHEA Grapalat"/>
          <w:sz w:val="22"/>
          <w:szCs w:val="22"/>
        </w:rPr>
        <w:t>՝ կազմելով նախատեսվածի 89.2%</w:t>
      </w:r>
      <w:r w:rsidR="00E2062F" w:rsidRPr="00B57DAB">
        <w:rPr>
          <w:rFonts w:ascii="GHEA Grapalat" w:hAnsi="GHEA Grapalat" w:cs="GHEA Grapalat"/>
          <w:sz w:val="22"/>
          <w:szCs w:val="22"/>
        </w:rPr>
        <w:noBreakHyphen/>
        <w:t>ը, ինչը հիմնականում պայմանավորված է նրանով, որ մարտ ամսվա համար նախատեսված ապրանքների և ծառայությունների ձեռքբերման, ինչպես նաև աշխատավարձի գծով պարտավորությունների որոշ մասի դիմաց վճարումները կատարվել են ապրիլ ամսին: Նախորդ տարվա առաջին եռամսյակի համեմատ ՀՀ պետական եկամուտների կոմիտեի պատասխանատվությամբ իրականացվող ծախսերն աճել են 9.5%</w:t>
      </w:r>
      <w:r w:rsidR="00E2062F" w:rsidRPr="00B57DAB">
        <w:rPr>
          <w:rFonts w:ascii="GHEA Grapalat" w:hAnsi="GHEA Grapalat" w:cs="GHEA Grapalat"/>
          <w:sz w:val="22"/>
          <w:szCs w:val="22"/>
        </w:rPr>
        <w:noBreakHyphen/>
        <w:t>ով կամ 324.6 մլն դրամով, որը հիմնականում պայմանավորված է հարկային ու մաքսային ծառայություննե</w:t>
      </w:r>
      <w:r w:rsidR="00F059C3" w:rsidRPr="00B57DAB">
        <w:rPr>
          <w:rFonts w:ascii="GHEA Grapalat" w:hAnsi="GHEA Grapalat" w:cs="GHEA Grapalat"/>
          <w:sz w:val="22"/>
          <w:szCs w:val="22"/>
        </w:rPr>
        <w:t>րի միջոցառման ծախսերի 8.7% (</w:t>
      </w:r>
      <w:r w:rsidR="00E2062F" w:rsidRPr="00B57DAB">
        <w:rPr>
          <w:rFonts w:ascii="GHEA Grapalat" w:hAnsi="GHEA Grapalat" w:cs="GHEA Grapalat"/>
          <w:sz w:val="22"/>
          <w:szCs w:val="22"/>
        </w:rPr>
        <w:t xml:space="preserve">289.2 մլն դրամ) աճով: </w:t>
      </w:r>
    </w:p>
    <w:p w:rsidR="003F2149" w:rsidRPr="00B57DAB" w:rsidRDefault="003F2149" w:rsidP="003F2149">
      <w:pPr>
        <w:spacing w:line="360" w:lineRule="auto"/>
        <w:ind w:firstLine="561"/>
        <w:jc w:val="both"/>
        <w:rPr>
          <w:rFonts w:ascii="GHEA Grapalat" w:hAnsi="GHEA Grapalat" w:cs="GHEA Grapalat"/>
          <w:sz w:val="22"/>
          <w:szCs w:val="22"/>
          <w:lang w:val="hy-AM"/>
        </w:rPr>
      </w:pPr>
    </w:p>
    <w:p w:rsidR="002D4BD7" w:rsidRPr="00B57DAB" w:rsidRDefault="003F2149" w:rsidP="002D4BD7">
      <w:pPr>
        <w:autoSpaceDE w:val="0"/>
        <w:autoSpaceDN w:val="0"/>
        <w:adjustRightInd w:val="0"/>
        <w:spacing w:line="360" w:lineRule="auto"/>
        <w:ind w:firstLine="567"/>
        <w:jc w:val="both"/>
        <w:rPr>
          <w:rFonts w:ascii="GHEA Grapalat" w:hAnsi="GHEA Grapalat" w:cs="Calibri"/>
          <w:sz w:val="22"/>
          <w:szCs w:val="22"/>
        </w:rPr>
      </w:pPr>
      <w:r w:rsidRPr="00B57DAB">
        <w:rPr>
          <w:rFonts w:ascii="GHEA Grapalat" w:hAnsi="GHEA Grapalat"/>
          <w:i/>
          <w:sz w:val="22"/>
          <w:szCs w:val="22"/>
          <w:u w:val="single"/>
          <w:lang w:val="hy-AM"/>
        </w:rPr>
        <w:t>ՀՀ ազգային անվտանգության ծառայության</w:t>
      </w:r>
      <w:r w:rsidRPr="00B57DAB">
        <w:rPr>
          <w:rFonts w:ascii="GHEA Grapalat" w:hAnsi="GHEA Grapalat"/>
          <w:sz w:val="22"/>
          <w:szCs w:val="22"/>
          <w:lang w:val="hy-AM"/>
        </w:rPr>
        <w:t xml:space="preserve"> </w:t>
      </w:r>
      <w:r w:rsidR="002D4BD7" w:rsidRPr="00B57DAB">
        <w:rPr>
          <w:rFonts w:ascii="GHEA Grapalat" w:hAnsi="GHEA Grapalat"/>
          <w:sz w:val="22"/>
          <w:szCs w:val="22"/>
        </w:rPr>
        <w:t>պատասխանատվությամբ 2022 թվականի առաջին եռամսյակում կատարվել են շուրջ 8.9</w:t>
      </w:r>
      <w:r w:rsidR="002D4BD7" w:rsidRPr="00B57DAB">
        <w:rPr>
          <w:rFonts w:ascii="Courier New" w:hAnsi="Courier New" w:cs="Courier New"/>
          <w:sz w:val="22"/>
          <w:szCs w:val="22"/>
        </w:rPr>
        <w:t> </w:t>
      </w:r>
      <w:r w:rsidR="002D4BD7" w:rsidRPr="00B57DAB">
        <w:rPr>
          <w:rFonts w:ascii="GHEA Grapalat" w:hAnsi="GHEA Grapalat" w:cs="GHEA Grapalat"/>
          <w:sz w:val="22"/>
          <w:szCs w:val="22"/>
        </w:rPr>
        <w:t>մլրդ</w:t>
      </w:r>
      <w:r w:rsidR="002D4BD7" w:rsidRPr="00B57DAB">
        <w:rPr>
          <w:rFonts w:ascii="GHEA Grapalat" w:hAnsi="GHEA Grapalat"/>
          <w:sz w:val="22"/>
          <w:szCs w:val="22"/>
        </w:rPr>
        <w:t xml:space="preserve"> </w:t>
      </w:r>
      <w:r w:rsidR="002D4BD7" w:rsidRPr="00B57DAB">
        <w:rPr>
          <w:rFonts w:ascii="GHEA Grapalat" w:hAnsi="GHEA Grapalat" w:cs="GHEA Grapalat"/>
          <w:sz w:val="22"/>
          <w:szCs w:val="22"/>
        </w:rPr>
        <w:t>դրամի</w:t>
      </w:r>
      <w:r w:rsidR="002D4BD7" w:rsidRPr="00B57DAB">
        <w:rPr>
          <w:rFonts w:ascii="GHEA Grapalat" w:hAnsi="GHEA Grapalat"/>
          <w:sz w:val="22"/>
          <w:szCs w:val="22"/>
        </w:rPr>
        <w:t xml:space="preserve"> </w:t>
      </w:r>
      <w:r w:rsidR="002D4BD7" w:rsidRPr="00B57DAB">
        <w:rPr>
          <w:rFonts w:ascii="GHEA Grapalat" w:hAnsi="GHEA Grapalat" w:cs="GHEA Grapalat"/>
          <w:sz w:val="22"/>
          <w:szCs w:val="22"/>
        </w:rPr>
        <w:t>ծախսեր՝</w:t>
      </w:r>
      <w:r w:rsidR="002D4BD7" w:rsidRPr="00B57DAB">
        <w:rPr>
          <w:rFonts w:ascii="GHEA Grapalat" w:hAnsi="GHEA Grapalat"/>
          <w:sz w:val="22"/>
          <w:szCs w:val="22"/>
        </w:rPr>
        <w:t xml:space="preserve"> </w:t>
      </w:r>
      <w:r w:rsidR="002D4BD7" w:rsidRPr="00B57DAB">
        <w:rPr>
          <w:rFonts w:ascii="GHEA Grapalat" w:hAnsi="GHEA Grapalat" w:cs="GHEA Grapalat"/>
          <w:sz w:val="22"/>
          <w:szCs w:val="22"/>
        </w:rPr>
        <w:t>ապահովելով</w:t>
      </w:r>
      <w:r w:rsidR="002D4BD7" w:rsidRPr="00B57DAB">
        <w:rPr>
          <w:rFonts w:ascii="GHEA Grapalat" w:hAnsi="GHEA Grapalat"/>
          <w:sz w:val="22"/>
          <w:szCs w:val="22"/>
        </w:rPr>
        <w:t xml:space="preserve"> </w:t>
      </w:r>
      <w:r w:rsidR="002D4BD7" w:rsidRPr="00B57DAB">
        <w:rPr>
          <w:rFonts w:ascii="GHEA Grapalat" w:hAnsi="GHEA Grapalat" w:cs="GHEA Grapalat"/>
          <w:sz w:val="22"/>
          <w:szCs w:val="22"/>
        </w:rPr>
        <w:t>ծրագրված</w:t>
      </w:r>
      <w:r w:rsidR="002D4BD7" w:rsidRPr="00B57DAB">
        <w:rPr>
          <w:rFonts w:ascii="GHEA Grapalat" w:hAnsi="GHEA Grapalat"/>
          <w:sz w:val="22"/>
          <w:szCs w:val="22"/>
        </w:rPr>
        <w:t xml:space="preserve"> </w:t>
      </w:r>
      <w:r w:rsidR="002D4BD7" w:rsidRPr="00B57DAB">
        <w:rPr>
          <w:rFonts w:ascii="GHEA Grapalat" w:hAnsi="GHEA Grapalat" w:cs="GHEA Grapalat"/>
          <w:sz w:val="22"/>
          <w:szCs w:val="22"/>
        </w:rPr>
        <w:t>ցուցանիշի</w:t>
      </w:r>
      <w:r w:rsidR="002D4BD7" w:rsidRPr="00B57DAB">
        <w:rPr>
          <w:rFonts w:ascii="GHEA Grapalat" w:hAnsi="GHEA Grapalat"/>
          <w:sz w:val="22"/>
          <w:szCs w:val="22"/>
        </w:rPr>
        <w:t xml:space="preserve"> 85.4%-ը: Հատկացված միջոցներով իրականացվել են երկու ծրագրեր։ Շեղումը հիմնականում պայմանավորված է Ա</w:t>
      </w:r>
      <w:r w:rsidR="002D4BD7" w:rsidRPr="00B57DAB">
        <w:rPr>
          <w:rFonts w:ascii="GHEA Grapalat" w:hAnsi="GHEA Grapalat" w:cs="Sylfaen"/>
          <w:sz w:val="22"/>
          <w:szCs w:val="22"/>
        </w:rPr>
        <w:t>զգային անվտանգության ծրագրի ծախսերի 84.7</w:t>
      </w:r>
      <w:r w:rsidR="002D4BD7" w:rsidRPr="00B57DAB">
        <w:rPr>
          <w:rFonts w:ascii="GHEA Grapalat" w:hAnsi="GHEA Grapalat"/>
          <w:sz w:val="22"/>
          <w:szCs w:val="22"/>
        </w:rPr>
        <w:t>%</w:t>
      </w:r>
      <w:r w:rsidR="002D4BD7" w:rsidRPr="00B57DAB">
        <w:rPr>
          <w:rFonts w:ascii="GHEA Grapalat" w:hAnsi="GHEA Grapalat" w:cs="Arial"/>
          <w:sz w:val="22"/>
          <w:szCs w:val="22"/>
        </w:rPr>
        <w:t xml:space="preserve"> կատարողականով։</w:t>
      </w:r>
      <w:r w:rsidR="002D4BD7" w:rsidRPr="00B57DAB">
        <w:rPr>
          <w:rFonts w:ascii="GHEA Grapalat" w:hAnsi="GHEA Grapalat" w:cs="Calibri"/>
          <w:sz w:val="22"/>
          <w:szCs w:val="22"/>
        </w:rPr>
        <w:t xml:space="preserve"> Նախորդ </w:t>
      </w:r>
      <w:r w:rsidR="002D4BD7" w:rsidRPr="00B57DAB">
        <w:rPr>
          <w:rFonts w:ascii="GHEA Grapalat" w:hAnsi="GHEA Grapalat" w:cs="Sylfaen"/>
          <w:sz w:val="22"/>
          <w:szCs w:val="22"/>
        </w:rPr>
        <w:t>տարվա նույն ժամանակահատվածի համեմատ ՀՀ ազգային անվտանգության ծառայության</w:t>
      </w:r>
      <w:r w:rsidR="002D4BD7" w:rsidRPr="00B57DAB">
        <w:rPr>
          <w:rFonts w:ascii="GHEA Grapalat" w:hAnsi="GHEA Grapalat" w:cs="Arial"/>
          <w:sz w:val="22"/>
          <w:szCs w:val="22"/>
        </w:rPr>
        <w:t xml:space="preserve"> </w:t>
      </w:r>
      <w:r w:rsidR="002D4BD7" w:rsidRPr="00B57DAB">
        <w:rPr>
          <w:rFonts w:ascii="GHEA Grapalat" w:hAnsi="GHEA Grapalat" w:cs="Calibri"/>
          <w:sz w:val="22"/>
          <w:szCs w:val="22"/>
        </w:rPr>
        <w:t xml:space="preserve">ծախսերն աճել են 28.9%-ով կամ շուրջ 2 մլրդ դրամով` </w:t>
      </w:r>
      <w:r w:rsidR="002D4BD7" w:rsidRPr="00B57DAB">
        <w:rPr>
          <w:rFonts w:ascii="GHEA Grapalat" w:hAnsi="GHEA Grapalat" w:cs="Arial"/>
          <w:sz w:val="22"/>
          <w:szCs w:val="22"/>
        </w:rPr>
        <w:t>հիմնականում պայմանավորված</w:t>
      </w:r>
      <w:r w:rsidR="002D4BD7" w:rsidRPr="00B57DAB">
        <w:rPr>
          <w:rFonts w:ascii="GHEA Grapalat" w:hAnsi="GHEA Grapalat" w:cs="GHEA Grapalat"/>
          <w:sz w:val="22"/>
          <w:szCs w:val="22"/>
          <w:lang w:val="pt-BR"/>
        </w:rPr>
        <w:t xml:space="preserve"> </w:t>
      </w:r>
      <w:r w:rsidR="002D4BD7" w:rsidRPr="00B57DAB">
        <w:rPr>
          <w:rFonts w:ascii="GHEA Grapalat" w:hAnsi="GHEA Grapalat" w:cs="Sylfaen"/>
          <w:sz w:val="22"/>
          <w:szCs w:val="22"/>
        </w:rPr>
        <w:t>Ազգային անվտանգության ծրագրի շրջանակներում կատարված ծախսերի աճով</w:t>
      </w:r>
      <w:r w:rsidR="002D4BD7" w:rsidRPr="00B57DAB">
        <w:rPr>
          <w:rFonts w:ascii="GHEA Grapalat" w:hAnsi="GHEA Grapalat" w:cs="Calibri"/>
          <w:sz w:val="22"/>
          <w:szCs w:val="22"/>
        </w:rPr>
        <w:t>:</w:t>
      </w:r>
    </w:p>
    <w:p w:rsidR="002D4BD7" w:rsidRPr="00B57DAB" w:rsidRDefault="002D4BD7" w:rsidP="002D4BD7">
      <w:pPr>
        <w:autoSpaceDE w:val="0"/>
        <w:autoSpaceDN w:val="0"/>
        <w:adjustRightInd w:val="0"/>
        <w:spacing w:line="360" w:lineRule="auto"/>
        <w:ind w:firstLine="567"/>
        <w:jc w:val="both"/>
        <w:rPr>
          <w:rFonts w:ascii="GHEA Grapalat" w:hAnsi="GHEA Grapalat"/>
          <w:sz w:val="22"/>
          <w:szCs w:val="22"/>
          <w:lang w:val="zu-ZA"/>
        </w:rPr>
      </w:pPr>
      <w:r w:rsidRPr="00B57DAB">
        <w:rPr>
          <w:rFonts w:ascii="GHEA Grapalat" w:hAnsi="GHEA Grapalat"/>
          <w:sz w:val="22"/>
          <w:szCs w:val="22"/>
        </w:rPr>
        <w:lastRenderedPageBreak/>
        <w:t xml:space="preserve">Հաշվետու ժամանակահատվածում ավելի քան 869.9 մլն դրամ է տրամադրվել </w:t>
      </w:r>
      <w:r w:rsidRPr="00B57DAB">
        <w:rPr>
          <w:rFonts w:ascii="GHEA Grapalat" w:hAnsi="GHEA Grapalat"/>
          <w:i/>
          <w:sz w:val="22"/>
          <w:szCs w:val="22"/>
        </w:rPr>
        <w:t xml:space="preserve">Պետական պահպանության ապահովման </w:t>
      </w:r>
      <w:r w:rsidRPr="00B57DAB">
        <w:rPr>
          <w:rFonts w:ascii="GHEA Grapalat" w:hAnsi="GHEA Grapalat"/>
          <w:sz w:val="22"/>
          <w:szCs w:val="22"/>
        </w:rPr>
        <w:t xml:space="preserve">ծրագրին՝ </w:t>
      </w:r>
      <w:r w:rsidRPr="00B57DAB">
        <w:rPr>
          <w:rFonts w:ascii="GHEA Grapalat" w:hAnsi="GHEA Grapalat" w:cs="Sylfaen"/>
          <w:sz w:val="22"/>
          <w:szCs w:val="22"/>
        </w:rPr>
        <w:t>կազմելով ծրագրված ցուցանիշի 92.3%-ը: Ծրագրում</w:t>
      </w:r>
      <w:r w:rsidRPr="00B57DAB">
        <w:rPr>
          <w:rFonts w:ascii="GHEA Grapalat" w:hAnsi="GHEA Grapalat"/>
          <w:sz w:val="22"/>
          <w:szCs w:val="22"/>
          <w:lang w:val="zu-ZA"/>
        </w:rPr>
        <w:t xml:space="preserve"> ընդգրկված են </w:t>
      </w:r>
      <w:r w:rsidRPr="00B57DAB">
        <w:rPr>
          <w:rFonts w:ascii="GHEA Grapalat" w:hAnsi="GHEA Grapalat" w:cs="Arial"/>
          <w:sz w:val="22"/>
          <w:szCs w:val="22"/>
          <w:lang w:val="zu-ZA"/>
        </w:rPr>
        <w:t>երկու</w:t>
      </w:r>
      <w:r w:rsidRPr="00B57DAB">
        <w:rPr>
          <w:rFonts w:ascii="GHEA Grapalat" w:hAnsi="GHEA Grapalat"/>
          <w:sz w:val="22"/>
          <w:szCs w:val="22"/>
          <w:lang w:val="zu-ZA"/>
        </w:rPr>
        <w:t xml:space="preserve"> միջոցառումներ:</w:t>
      </w:r>
      <w:r w:rsidRPr="00B57DAB">
        <w:rPr>
          <w:rFonts w:ascii="GHEA Grapalat" w:hAnsi="GHEA Grapalat"/>
          <w:sz w:val="22"/>
          <w:szCs w:val="22"/>
        </w:rPr>
        <w:t xml:space="preserve"> </w:t>
      </w:r>
      <w:r w:rsidRPr="00B57DAB">
        <w:rPr>
          <w:rFonts w:ascii="GHEA Grapalat" w:hAnsi="GHEA Grapalat" w:cs="Sylfaen"/>
          <w:sz w:val="22"/>
          <w:szCs w:val="22"/>
        </w:rPr>
        <w:t>Շեղումը</w:t>
      </w:r>
      <w:r w:rsidRPr="00B57DAB">
        <w:rPr>
          <w:rFonts w:ascii="GHEA Grapalat" w:hAnsi="GHEA Grapalat"/>
          <w:sz w:val="22"/>
          <w:szCs w:val="22"/>
        </w:rPr>
        <w:t xml:space="preserve"> պայմանավորված է</w:t>
      </w:r>
      <w:r w:rsidRPr="00B57DAB">
        <w:rPr>
          <w:rFonts w:ascii="GHEA Grapalat" w:hAnsi="GHEA Grapalat"/>
          <w:sz w:val="22"/>
          <w:szCs w:val="22"/>
          <w:lang w:val="zu-ZA"/>
        </w:rPr>
        <w:t xml:space="preserve"> ծրագրի ծախսերում մեծ տեսակարար կշիռ ունեցող «Պետական պահպանության ծառայություններ» միջոցառման ծախսերի կատարողականով: Միջոցառման շրջանակներում </w:t>
      </w:r>
      <w:r w:rsidR="00B67D4B" w:rsidRPr="00B57DAB">
        <w:rPr>
          <w:rFonts w:ascii="GHEA Grapalat" w:hAnsi="GHEA Grapalat"/>
          <w:sz w:val="22"/>
          <w:szCs w:val="22"/>
          <w:lang w:val="zu-ZA"/>
        </w:rPr>
        <w:t>ապահովվել է մշտապես պահպանվող 10 օբյեկտների 24-ժամյա անվտանգությունը</w:t>
      </w:r>
      <w:r w:rsidRPr="00B57DAB">
        <w:rPr>
          <w:rFonts w:ascii="GHEA Grapalat" w:hAnsi="GHEA Grapalat"/>
          <w:sz w:val="22"/>
          <w:szCs w:val="22"/>
          <w:lang w:val="zu-ZA"/>
        </w:rPr>
        <w:t>: Միջոցառման ծախսերը կազմել են ավելի քան 840.4 մլն դրամ կամ ծրագրված ցուցանիշի 92.1%-ը: Շեղումը հիմնականում պայմանավորված է նախատեսված որոշ գործուղումների հետաձգմամբ, ապրանքների մատակարարման ժամանակացույցերի փոփոխությամբ, ինչպես նաև թափուր հաստիքների առկայության հետևանքով աշխատանքի վարձատրության ծախսերի տնտեսմամբ: Նախորդ տարվա նույն ժամանակահատվածի համեմատ Պետական պահպանության ապահովման ծրագրի ծախսերն աճել են 5%-ով կամ 41.5 մլն դրամով՝ հիմնականում պայմանավորված նրանով, որ</w:t>
      </w:r>
      <w:r w:rsidRPr="00B57DAB">
        <w:rPr>
          <w:rFonts w:ascii="GHEA Grapalat" w:hAnsi="GHEA Grapalat" w:cs="GHEA Grapalat"/>
          <w:sz w:val="22"/>
          <w:szCs w:val="22"/>
        </w:rPr>
        <w:t xml:space="preserve"> հաշվետու ժամանակահատվածում</w:t>
      </w:r>
      <w:r w:rsidRPr="00B57DAB">
        <w:rPr>
          <w:rFonts w:ascii="GHEA Grapalat" w:hAnsi="GHEA Grapalat"/>
          <w:sz w:val="22"/>
          <w:szCs w:val="22"/>
          <w:lang w:val="zu-ZA"/>
        </w:rPr>
        <w:t xml:space="preserve"> 29.5 մլն դրամի միջոցներ են հատկացվել ՊՊԾ տրանսպորտային միջոցներով ապահովվածության բարելավման </w:t>
      </w:r>
      <w:r w:rsidR="005A1884" w:rsidRPr="00B57DAB">
        <w:rPr>
          <w:rFonts w:ascii="GHEA Grapalat" w:hAnsi="GHEA Grapalat"/>
          <w:sz w:val="22"/>
          <w:szCs w:val="22"/>
          <w:lang w:val="zu-ZA"/>
        </w:rPr>
        <w:t>նպատակով</w:t>
      </w:r>
      <w:r w:rsidRPr="00B57DAB">
        <w:rPr>
          <w:rFonts w:ascii="GHEA Grapalat" w:hAnsi="GHEA Grapalat"/>
          <w:sz w:val="22"/>
          <w:szCs w:val="22"/>
          <w:lang w:val="zu-ZA"/>
        </w:rPr>
        <w:t>, որոնք նախորդ տարվա առաջի</w:t>
      </w:r>
      <w:r w:rsidR="005A1884" w:rsidRPr="00B57DAB">
        <w:rPr>
          <w:rFonts w:ascii="GHEA Grapalat" w:hAnsi="GHEA Grapalat"/>
          <w:sz w:val="22"/>
          <w:szCs w:val="22"/>
          <w:lang w:val="zu-ZA"/>
        </w:rPr>
        <w:t>ն եռամսյակում չէին նախատեսվել</w:t>
      </w:r>
      <w:r w:rsidRPr="00B57DAB">
        <w:rPr>
          <w:rFonts w:ascii="GHEA Grapalat" w:hAnsi="GHEA Grapalat"/>
          <w:sz w:val="22"/>
          <w:szCs w:val="22"/>
          <w:lang w:val="zu-ZA"/>
        </w:rPr>
        <w:t>:</w:t>
      </w:r>
    </w:p>
    <w:p w:rsidR="002D4BD7" w:rsidRPr="00B57DAB" w:rsidRDefault="002D4BD7" w:rsidP="002D4BD7">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sz w:val="22"/>
          <w:szCs w:val="22"/>
          <w:lang w:val="zu-ZA"/>
        </w:rPr>
        <w:t xml:space="preserve">2022 թվականի առաջին եռամսյակում </w:t>
      </w:r>
      <w:r w:rsidRPr="00B57DAB">
        <w:rPr>
          <w:rFonts w:ascii="GHEA Grapalat" w:hAnsi="GHEA Grapalat" w:cs="Sylfaen"/>
          <w:i/>
          <w:sz w:val="22"/>
          <w:szCs w:val="22"/>
        </w:rPr>
        <w:t>Ազգային անվտանգության</w:t>
      </w:r>
      <w:r w:rsidRPr="00B57DAB">
        <w:rPr>
          <w:rFonts w:ascii="GHEA Grapalat" w:hAnsi="GHEA Grapalat" w:cs="Sylfaen"/>
          <w:sz w:val="22"/>
          <w:szCs w:val="22"/>
        </w:rPr>
        <w:t xml:space="preserve"> </w:t>
      </w:r>
      <w:r w:rsidRPr="00B57DAB">
        <w:rPr>
          <w:rFonts w:ascii="GHEA Grapalat" w:hAnsi="GHEA Grapalat" w:cs="GHEA Grapalat"/>
          <w:sz w:val="22"/>
          <w:szCs w:val="22"/>
        </w:rPr>
        <w:t>ծրագրի</w:t>
      </w:r>
      <w:r w:rsidR="005A1884" w:rsidRPr="00B57DAB">
        <w:rPr>
          <w:rFonts w:ascii="GHEA Grapalat" w:hAnsi="GHEA Grapalat" w:cs="GHEA Grapalat"/>
          <w:sz w:val="22"/>
          <w:szCs w:val="22"/>
        </w:rPr>
        <w:t>ն պետական բյուջեից տրամադր</w:t>
      </w:r>
      <w:r w:rsidRPr="00B57DAB">
        <w:rPr>
          <w:rFonts w:ascii="GHEA Grapalat" w:hAnsi="GHEA Grapalat" w:cs="GHEA Grapalat"/>
          <w:sz w:val="22"/>
          <w:szCs w:val="22"/>
        </w:rPr>
        <w:t>վել է 8 մլրդ դրամ` կազմելով ծրագրված ցուցանիշի 84.7%</w:t>
      </w:r>
      <w:r w:rsidRPr="00B57DAB">
        <w:rPr>
          <w:rFonts w:ascii="GHEA Grapalat" w:hAnsi="GHEA Grapalat" w:cs="GHEA Grapalat"/>
          <w:sz w:val="22"/>
          <w:szCs w:val="22"/>
        </w:rPr>
        <w:noBreakHyphen/>
        <w:t xml:space="preserve">ը: </w:t>
      </w:r>
      <w:r w:rsidRPr="00B57DAB">
        <w:rPr>
          <w:rFonts w:ascii="GHEA Grapalat" w:hAnsi="GHEA Grapalat" w:cs="Sylfaen"/>
          <w:sz w:val="22"/>
          <w:szCs w:val="22"/>
        </w:rPr>
        <w:t>Ծրագրված ցուցանիշից ծախսերի շեղումը հիմնականում</w:t>
      </w:r>
      <w:r w:rsidR="005A1884" w:rsidRPr="00B57DAB">
        <w:rPr>
          <w:rFonts w:ascii="GHEA Grapalat" w:hAnsi="GHEA Grapalat" w:cs="Sylfaen"/>
          <w:sz w:val="22"/>
          <w:szCs w:val="22"/>
        </w:rPr>
        <w:t xml:space="preserve"> պայմանավորված է</w:t>
      </w:r>
      <w:r w:rsidRPr="00B57DAB">
        <w:rPr>
          <w:rFonts w:ascii="GHEA Grapalat" w:hAnsi="GHEA Grapalat" w:cs="Sylfaen"/>
          <w:sz w:val="22"/>
          <w:szCs w:val="22"/>
        </w:rPr>
        <w:t xml:space="preserve"> հ</w:t>
      </w:r>
      <w:r w:rsidRPr="00B57DAB">
        <w:rPr>
          <w:rFonts w:ascii="GHEA Grapalat" w:hAnsi="GHEA Grapalat"/>
          <w:sz w:val="22"/>
          <w:szCs w:val="22"/>
          <w:lang w:val="zu-ZA"/>
        </w:rPr>
        <w:t xml:space="preserve">ետախուզական, հակահետախուզական, ռազմական հակահետախուզության, հանցագործությունների դեմ պայքարի և պետական սահմանի պահպանության գործունեության կազմակերպման միջոցառման ծախսերի 81.7% կատարողականով, որի շրջանակներում օգտագործվել է 5.3 մլրդ դրամ: Վերջինս պայմանավորված է գնման գործընթացներով` մրցույթների վերահայտարարման պատճառով պայմանագրերը կանախատեսված ժամկետից ուշ կնքելու, արտերկրից ներկրվող ապրանքատեսակների հետ կապված որոշ մրցույթների չկայանալու հանգամանքով, գնումների արդյունքում առաջացած տնտեսումներով, ինչպես նաև թափուր հաստիքների առկայության արդյունքում աշխատանքի վարձատրության համար նախատեսված միջոցների տնտեսմամբ։ Բացի այդ, Ազգային անվտանգության </w:t>
      </w:r>
      <w:r w:rsidRPr="00B57DAB">
        <w:rPr>
          <w:rFonts w:ascii="GHEA Grapalat" w:hAnsi="GHEA Grapalat" w:cs="Sylfaen"/>
          <w:sz w:val="22"/>
          <w:szCs w:val="22"/>
        </w:rPr>
        <w:t xml:space="preserve">ծրագրի կատարողականը մասամբ էլ պայմանավորված է Ազգային անվտանգության համակարգի շենքային ապահովվածության բարելավման ծախսերի 42.1% կատարողականով, որի շրջանակներում օգտագործվել է 182.7 մլն դրամ: Ծրագրված ցուցանիշի նկատմամբ շեղումը պայմանավորված է բանկերի կողմից </w:t>
      </w:r>
      <w:r w:rsidR="00FF150A" w:rsidRPr="00B57DAB">
        <w:rPr>
          <w:rFonts w:ascii="GHEA Grapalat" w:hAnsi="GHEA Grapalat" w:cs="Sylfaen"/>
          <w:sz w:val="22"/>
          <w:szCs w:val="22"/>
        </w:rPr>
        <w:t xml:space="preserve">ապրանքների որոշ </w:t>
      </w:r>
      <w:r w:rsidRPr="00B57DAB">
        <w:rPr>
          <w:rFonts w:ascii="GHEA Grapalat" w:hAnsi="GHEA Grapalat" w:cs="Sylfaen"/>
          <w:sz w:val="22"/>
          <w:szCs w:val="22"/>
        </w:rPr>
        <w:t>մատակարարների տրվող որակավորման և պայմանագրային երաշխիքների ուշացման պատճառով պայմանագրերը նախատեսված ժամկետից ուշ կնք</w:t>
      </w:r>
      <w:r w:rsidR="00962B7C" w:rsidRPr="00B57DAB">
        <w:rPr>
          <w:rFonts w:ascii="GHEA Grapalat" w:hAnsi="GHEA Grapalat" w:cs="Sylfaen"/>
          <w:sz w:val="22"/>
          <w:szCs w:val="22"/>
        </w:rPr>
        <w:t>վ</w:t>
      </w:r>
      <w:r w:rsidRPr="00B57DAB">
        <w:rPr>
          <w:rFonts w:ascii="GHEA Grapalat" w:hAnsi="GHEA Grapalat" w:cs="Sylfaen"/>
          <w:sz w:val="22"/>
          <w:szCs w:val="22"/>
        </w:rPr>
        <w:t xml:space="preserve">ելու հանգամանքով, ինչպես նաև եղանակային պայմաններով, </w:t>
      </w:r>
      <w:r w:rsidRPr="00B57DAB">
        <w:rPr>
          <w:rFonts w:ascii="GHEA Grapalat" w:hAnsi="GHEA Grapalat" w:cs="Sylfaen"/>
          <w:sz w:val="22"/>
          <w:szCs w:val="22"/>
        </w:rPr>
        <w:lastRenderedPageBreak/>
        <w:t xml:space="preserve">որոնց հետևանքով հնարավոր չի եղել ամբողջ ծավալով իրականացնել նախատեսված աշխատանքները: </w:t>
      </w:r>
    </w:p>
    <w:p w:rsidR="002D4BD7" w:rsidRPr="00B57DAB" w:rsidRDefault="002D4BD7" w:rsidP="002D4BD7">
      <w:pPr>
        <w:autoSpaceDE w:val="0"/>
        <w:autoSpaceDN w:val="0"/>
        <w:adjustRightInd w:val="0"/>
        <w:spacing w:line="360" w:lineRule="auto"/>
        <w:ind w:firstLine="567"/>
        <w:jc w:val="both"/>
        <w:rPr>
          <w:rFonts w:ascii="GHEA Grapalat" w:hAnsi="GHEA Grapalat"/>
          <w:sz w:val="22"/>
          <w:szCs w:val="22"/>
          <w:lang w:val="zu-ZA"/>
        </w:rPr>
      </w:pPr>
      <w:r w:rsidRPr="00B57DAB">
        <w:rPr>
          <w:rFonts w:ascii="GHEA Grapalat" w:hAnsi="GHEA Grapalat" w:cs="Arial"/>
          <w:sz w:val="22"/>
          <w:szCs w:val="22"/>
        </w:rPr>
        <w:t xml:space="preserve">Հաշվետու ժամանակահատվածում 2.5 </w:t>
      </w:r>
      <w:r w:rsidRPr="00B57DAB">
        <w:rPr>
          <w:rFonts w:ascii="GHEA Grapalat" w:hAnsi="GHEA Grapalat" w:cs="Sylfaen"/>
          <w:sz w:val="22"/>
          <w:szCs w:val="22"/>
        </w:rPr>
        <w:t>մլրդ</w:t>
      </w:r>
      <w:r w:rsidRPr="00B57DAB">
        <w:rPr>
          <w:rFonts w:ascii="GHEA Grapalat" w:hAnsi="GHEA Grapalat" w:cs="Arial"/>
          <w:sz w:val="22"/>
          <w:szCs w:val="22"/>
        </w:rPr>
        <w:t xml:space="preserve"> </w:t>
      </w:r>
      <w:r w:rsidRPr="00B57DAB">
        <w:rPr>
          <w:rFonts w:ascii="GHEA Grapalat" w:hAnsi="GHEA Grapalat"/>
          <w:sz w:val="22"/>
          <w:szCs w:val="22"/>
          <w:lang w:val="zu-ZA"/>
        </w:rPr>
        <w:t>դրամ է տրամադրվել պաշտպանության բնագավառի այլ ծախսերին՝ ապահովելով 100% կատարողական:</w:t>
      </w:r>
    </w:p>
    <w:p w:rsidR="003F2149" w:rsidRPr="00B57DAB" w:rsidRDefault="002D4BD7" w:rsidP="002D4BD7">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sz w:val="22"/>
          <w:szCs w:val="22"/>
          <w:lang w:val="zu-ZA"/>
        </w:rPr>
        <w:t xml:space="preserve">Նախորդ տարվա առաջին եռամսյակի համեմատ նշված ծրագրի ծախսերն աճել են 32.2%-ով կամ շուրջ 2 մլրդ դրամով՝ հիմնականում պայմանավորված հետախուզական, հակահետախուզական, ռազմական </w:t>
      </w:r>
      <w:r w:rsidRPr="00B57DAB">
        <w:rPr>
          <w:rFonts w:ascii="GHEA Grapalat" w:hAnsi="GHEA Grapalat" w:cs="Sylfaen"/>
          <w:sz w:val="22"/>
          <w:szCs w:val="22"/>
        </w:rPr>
        <w:t>հակահետախուզության</w:t>
      </w:r>
      <w:r w:rsidRPr="00B57DAB">
        <w:rPr>
          <w:rFonts w:ascii="GHEA Grapalat" w:hAnsi="GHEA Grapalat"/>
          <w:sz w:val="22"/>
          <w:szCs w:val="22"/>
          <w:lang w:val="zu-ZA"/>
        </w:rPr>
        <w:t>, հանցագործությունների դեմ պայքարի և պետական սահմանի պահպանության գործունեության կազմակերպման միջոցառման ծախսերի</w:t>
      </w:r>
      <w:r w:rsidRPr="00B57DAB">
        <w:rPr>
          <w:rFonts w:ascii="GHEA Grapalat" w:hAnsi="GHEA Grapalat" w:cs="GHEA Grapalat"/>
          <w:sz w:val="22"/>
          <w:szCs w:val="22"/>
        </w:rPr>
        <w:t xml:space="preserve"> 28% (1.2 մլրդ դրամ), ինչպես նաև </w:t>
      </w:r>
      <w:r w:rsidRPr="00B57DAB">
        <w:rPr>
          <w:rFonts w:ascii="GHEA Grapalat" w:hAnsi="GHEA Grapalat"/>
          <w:sz w:val="22"/>
          <w:szCs w:val="22"/>
          <w:lang w:val="zu-ZA"/>
        </w:rPr>
        <w:t>պաշտպանության բնագավառի այլ ծախսերի 31.5</w:t>
      </w:r>
      <w:r w:rsidR="00962B7C" w:rsidRPr="00B57DAB">
        <w:rPr>
          <w:rFonts w:ascii="GHEA Grapalat" w:hAnsi="GHEA Grapalat" w:cs="GHEA Grapalat"/>
          <w:sz w:val="22"/>
          <w:szCs w:val="22"/>
        </w:rPr>
        <w:t>% (</w:t>
      </w:r>
      <w:r w:rsidRPr="00B57DAB">
        <w:rPr>
          <w:rFonts w:ascii="GHEA Grapalat" w:hAnsi="GHEA Grapalat" w:cs="GHEA Grapalat"/>
          <w:sz w:val="22"/>
          <w:szCs w:val="22"/>
        </w:rPr>
        <w:t>600 մլն դրամ) աճով:</w:t>
      </w:r>
    </w:p>
    <w:p w:rsidR="003F2149" w:rsidRPr="00B57DAB" w:rsidRDefault="003F2149" w:rsidP="003F2149">
      <w:pPr>
        <w:spacing w:line="360" w:lineRule="auto"/>
        <w:ind w:firstLine="561"/>
        <w:jc w:val="both"/>
        <w:rPr>
          <w:rFonts w:ascii="GHEA Grapalat" w:hAnsi="GHEA Grapalat" w:cs="GHEA Grapalat"/>
          <w:sz w:val="22"/>
          <w:szCs w:val="22"/>
          <w:lang w:val="hy-AM"/>
        </w:rPr>
      </w:pPr>
    </w:p>
    <w:p w:rsidR="00D73760" w:rsidRPr="00B57DAB" w:rsidRDefault="003F2149" w:rsidP="00D73760">
      <w:pPr>
        <w:autoSpaceDE w:val="0"/>
        <w:autoSpaceDN w:val="0"/>
        <w:adjustRightInd w:val="0"/>
        <w:spacing w:line="360" w:lineRule="auto"/>
        <w:ind w:firstLine="567"/>
        <w:jc w:val="both"/>
        <w:rPr>
          <w:rFonts w:ascii="GHEA Grapalat" w:hAnsi="GHEA Grapalat"/>
          <w:sz w:val="22"/>
          <w:szCs w:val="22"/>
          <w:lang w:val="zu-ZA"/>
        </w:rPr>
      </w:pPr>
      <w:r w:rsidRPr="00B57DAB">
        <w:rPr>
          <w:rFonts w:ascii="GHEA Grapalat" w:hAnsi="GHEA Grapalat" w:cs="Sylfaen"/>
          <w:i/>
          <w:sz w:val="22"/>
          <w:szCs w:val="22"/>
          <w:u w:val="single"/>
          <w:lang w:val="hy-AM"/>
        </w:rPr>
        <w:t>ՀՀ ոստիկանությ</w:t>
      </w:r>
      <w:r w:rsidRPr="00B57DAB">
        <w:rPr>
          <w:rFonts w:ascii="GHEA Grapalat" w:hAnsi="GHEA Grapalat" w:cs="Sylfaen"/>
          <w:i/>
          <w:sz w:val="22"/>
          <w:szCs w:val="22"/>
          <w:u w:val="single"/>
        </w:rPr>
        <w:t>ա</w:t>
      </w:r>
      <w:r w:rsidRPr="00B57DAB">
        <w:rPr>
          <w:rFonts w:ascii="GHEA Grapalat" w:hAnsi="GHEA Grapalat" w:cs="Sylfaen"/>
          <w:i/>
          <w:sz w:val="22"/>
          <w:szCs w:val="22"/>
          <w:u w:val="single"/>
          <w:lang w:val="hy-AM"/>
        </w:rPr>
        <w:t>ն</w:t>
      </w:r>
      <w:r w:rsidRPr="00B57DAB">
        <w:rPr>
          <w:rFonts w:ascii="GHEA Grapalat" w:hAnsi="GHEA Grapalat" w:cs="Sylfaen"/>
          <w:sz w:val="22"/>
          <w:szCs w:val="22"/>
          <w:lang w:val="hy-AM"/>
        </w:rPr>
        <w:t xml:space="preserve"> </w:t>
      </w:r>
      <w:r w:rsidR="00D73760" w:rsidRPr="00B57DAB">
        <w:rPr>
          <w:rFonts w:ascii="GHEA Grapalat" w:hAnsi="GHEA Grapalat" w:cs="Sylfaen"/>
          <w:sz w:val="22"/>
          <w:szCs w:val="22"/>
        </w:rPr>
        <w:t>պատասխանատվությամբ հաշվետու</w:t>
      </w:r>
      <w:r w:rsidR="00D73760" w:rsidRPr="00B57DAB">
        <w:rPr>
          <w:rFonts w:ascii="GHEA Grapalat" w:hAnsi="GHEA Grapalat" w:cs="Times Armenian"/>
          <w:sz w:val="22"/>
          <w:szCs w:val="22"/>
        </w:rPr>
        <w:t xml:space="preserve"> ժամանակահատված</w:t>
      </w:r>
      <w:r w:rsidR="00D73760" w:rsidRPr="00B57DAB">
        <w:rPr>
          <w:rFonts w:ascii="GHEA Grapalat" w:hAnsi="GHEA Grapalat" w:cs="Sylfaen"/>
          <w:sz w:val="22"/>
          <w:szCs w:val="22"/>
        </w:rPr>
        <w:t xml:space="preserve">ում իրականացվել են 2 ծրագրեր, որոնց տրամադրվել է ավելի քան 15.2 մլրդ դրամ՝ կազմելով ծրագրված ցուցանիշի 76.6%-ը: Շեղումը հիմնականում պայմանավորված է Ոստիկանության ոլորտի քաղաքականության մշակման, կառավարման, կենտրոնացված միջոցառումների, մոնիտորինգի ու վերահսկողության ծրագրի կատարողականով: </w:t>
      </w:r>
      <w:r w:rsidR="00D73760" w:rsidRPr="00B57DAB">
        <w:rPr>
          <w:rFonts w:ascii="GHEA Grapalat" w:hAnsi="GHEA Grapalat" w:cs="GHEA Grapalat"/>
          <w:sz w:val="22"/>
          <w:szCs w:val="22"/>
        </w:rPr>
        <w:t xml:space="preserve">Նշված </w:t>
      </w:r>
      <w:r w:rsidR="00D73760" w:rsidRPr="00B57DAB">
        <w:rPr>
          <w:rFonts w:ascii="GHEA Grapalat" w:hAnsi="GHEA Grapalat" w:cs="GHEA Grapalat"/>
          <w:sz w:val="22"/>
          <w:szCs w:val="22"/>
          <w:lang w:val="ru-RU"/>
        </w:rPr>
        <w:t xml:space="preserve">ծրագրի շրջանակներում կատարված ծախսերի </w:t>
      </w:r>
      <w:r w:rsidR="00542013" w:rsidRPr="00B57DAB">
        <w:rPr>
          <w:rFonts w:ascii="GHEA Grapalat" w:hAnsi="GHEA Grapalat" w:cs="GHEA Grapalat"/>
          <w:sz w:val="22"/>
          <w:szCs w:val="22"/>
        </w:rPr>
        <w:t>աճով է</w:t>
      </w:r>
      <w:r w:rsidR="00D73760" w:rsidRPr="00B57DAB">
        <w:rPr>
          <w:rFonts w:ascii="GHEA Grapalat" w:hAnsi="GHEA Grapalat" w:cs="GHEA Grapalat"/>
          <w:sz w:val="22"/>
          <w:szCs w:val="22"/>
        </w:rPr>
        <w:t xml:space="preserve"> պայմանավորված ն</w:t>
      </w:r>
      <w:r w:rsidR="00D73760" w:rsidRPr="00B57DAB">
        <w:rPr>
          <w:rFonts w:ascii="GHEA Grapalat" w:hAnsi="GHEA Grapalat" w:cs="GHEA Grapalat"/>
          <w:sz w:val="22"/>
          <w:szCs w:val="22"/>
          <w:lang w:val="ru-RU"/>
        </w:rPr>
        <w:t xml:space="preserve">ախորդ տարվա </w:t>
      </w:r>
      <w:r w:rsidR="00D73760" w:rsidRPr="00B57DAB">
        <w:rPr>
          <w:rFonts w:ascii="GHEA Grapalat" w:hAnsi="GHEA Grapalat" w:cs="GHEA Grapalat"/>
          <w:sz w:val="22"/>
          <w:szCs w:val="22"/>
        </w:rPr>
        <w:t xml:space="preserve">առաջին եռամսյակի </w:t>
      </w:r>
      <w:r w:rsidR="00D73760" w:rsidRPr="00B57DAB">
        <w:rPr>
          <w:rFonts w:ascii="GHEA Grapalat" w:hAnsi="GHEA Grapalat" w:cs="GHEA Grapalat"/>
          <w:sz w:val="22"/>
          <w:szCs w:val="22"/>
          <w:lang w:val="ru-RU"/>
        </w:rPr>
        <w:t xml:space="preserve">համեմատ </w:t>
      </w:r>
      <w:r w:rsidR="00D73760" w:rsidRPr="00B57DAB">
        <w:rPr>
          <w:rFonts w:ascii="GHEA Grapalat" w:hAnsi="GHEA Grapalat" w:cs="Times Armenian"/>
          <w:sz w:val="22"/>
          <w:szCs w:val="22"/>
        </w:rPr>
        <w:t xml:space="preserve">ՀՀ ոստիկանության </w:t>
      </w:r>
      <w:r w:rsidR="00D73760" w:rsidRPr="00B57DAB">
        <w:rPr>
          <w:rFonts w:ascii="GHEA Grapalat" w:hAnsi="GHEA Grapalat" w:cs="GHEA Grapalat"/>
          <w:sz w:val="22"/>
          <w:szCs w:val="22"/>
          <w:lang w:val="ru-RU"/>
        </w:rPr>
        <w:t>պատասխանատվությամբ իրականացվող ծրագրերի գծով ծախսեր</w:t>
      </w:r>
      <w:r w:rsidR="00D73760" w:rsidRPr="00B57DAB">
        <w:rPr>
          <w:rFonts w:ascii="GHEA Grapalat" w:hAnsi="GHEA Grapalat" w:cs="GHEA Grapalat"/>
          <w:sz w:val="22"/>
          <w:szCs w:val="22"/>
        </w:rPr>
        <w:t>ի 15.7</w:t>
      </w:r>
      <w:r w:rsidR="00D73760" w:rsidRPr="00B57DAB">
        <w:rPr>
          <w:rFonts w:ascii="GHEA Grapalat" w:hAnsi="GHEA Grapalat" w:cs="GHEA Grapalat"/>
          <w:sz w:val="22"/>
          <w:szCs w:val="22"/>
          <w:lang w:val="ru-RU"/>
        </w:rPr>
        <w:t>%</w:t>
      </w:r>
      <w:r w:rsidR="00D73760" w:rsidRPr="00B57DAB">
        <w:rPr>
          <w:rFonts w:ascii="GHEA Grapalat" w:hAnsi="GHEA Grapalat" w:cs="GHEA Grapalat"/>
          <w:sz w:val="22"/>
          <w:szCs w:val="22"/>
        </w:rPr>
        <w:t xml:space="preserve"> (</w:t>
      </w:r>
      <w:r w:rsidR="00D73760" w:rsidRPr="00B57DAB">
        <w:rPr>
          <w:rFonts w:ascii="GHEA Grapalat" w:hAnsi="GHEA Grapalat"/>
          <w:sz w:val="22"/>
          <w:szCs w:val="22"/>
          <w:lang w:val="zu-ZA"/>
        </w:rPr>
        <w:t>2.1 մլրդ դրամ) աճը:</w:t>
      </w:r>
    </w:p>
    <w:p w:rsidR="00D73760" w:rsidRPr="00B57DAB" w:rsidRDefault="00D73760" w:rsidP="00D73760">
      <w:pPr>
        <w:autoSpaceDE w:val="0"/>
        <w:autoSpaceDN w:val="0"/>
        <w:adjustRightInd w:val="0"/>
        <w:spacing w:line="360" w:lineRule="auto"/>
        <w:ind w:firstLine="567"/>
        <w:jc w:val="both"/>
        <w:rPr>
          <w:rFonts w:ascii="GHEA Grapalat" w:hAnsi="GHEA Grapalat" w:cs="Times Armenian"/>
          <w:sz w:val="22"/>
          <w:szCs w:val="22"/>
        </w:rPr>
      </w:pPr>
      <w:r w:rsidRPr="00B57DAB">
        <w:rPr>
          <w:rFonts w:ascii="GHEA Grapalat" w:hAnsi="GHEA Grapalat"/>
          <w:sz w:val="22"/>
          <w:szCs w:val="22"/>
          <w:lang w:val="zu-ZA"/>
        </w:rPr>
        <w:t xml:space="preserve">2022 թվականի առաջին եռամսյակում </w:t>
      </w:r>
      <w:r w:rsidRPr="00B57DAB">
        <w:rPr>
          <w:rFonts w:ascii="GHEA Grapalat" w:hAnsi="GHEA Grapalat" w:cs="Times Armenian"/>
          <w:i/>
          <w:sz w:val="22"/>
          <w:szCs w:val="22"/>
        </w:rPr>
        <w:t>Ոստիկանության ոլորտի քաղաքականության մշակման, կառավարման, կենտրոնացված միջոցառումների, մոնիտորինգի ու վերահսկողության</w:t>
      </w:r>
      <w:r w:rsidRPr="00B57DAB">
        <w:rPr>
          <w:rFonts w:ascii="GHEA Grapalat" w:hAnsi="GHEA Grapalat" w:cs="Times Armenian"/>
          <w:sz w:val="22"/>
          <w:szCs w:val="22"/>
        </w:rPr>
        <w:t xml:space="preserve"> ծրագրի շրջանակներում օգտագործվել է շուրջ 15</w:t>
      </w:r>
      <w:r w:rsidRPr="00B57DAB">
        <w:rPr>
          <w:rFonts w:ascii="Courier New" w:hAnsi="Courier New" w:cs="Courier New"/>
          <w:sz w:val="22"/>
          <w:szCs w:val="22"/>
        </w:rPr>
        <w:t> </w:t>
      </w:r>
      <w:r w:rsidRPr="00B57DAB">
        <w:rPr>
          <w:rFonts w:ascii="GHEA Grapalat" w:hAnsi="GHEA Grapalat" w:cs="Times Armenian"/>
          <w:sz w:val="22"/>
          <w:szCs w:val="22"/>
        </w:rPr>
        <w:t xml:space="preserve">մլրդ </w:t>
      </w:r>
      <w:r w:rsidRPr="00B57DAB">
        <w:rPr>
          <w:rFonts w:ascii="GHEA Grapalat" w:hAnsi="GHEA Grapalat" w:cs="Sylfaen"/>
          <w:sz w:val="22"/>
          <w:szCs w:val="22"/>
        </w:rPr>
        <w:t>դրամ</w:t>
      </w:r>
      <w:r w:rsidRPr="00B57DAB">
        <w:rPr>
          <w:rFonts w:ascii="GHEA Grapalat" w:hAnsi="GHEA Grapalat" w:cs="Times Armenian"/>
          <w:sz w:val="22"/>
          <w:szCs w:val="22"/>
        </w:rPr>
        <w:t xml:space="preserve"> կամ նախատեսված միջոցների 76.8%-ը: Շեղումը հիմնականում պայմանավորված է</w:t>
      </w:r>
      <w:r w:rsidRPr="00B57DAB">
        <w:t xml:space="preserve"> </w:t>
      </w:r>
      <w:r w:rsidRPr="00B57DAB">
        <w:rPr>
          <w:rFonts w:ascii="GHEA Grapalat" w:hAnsi="GHEA Grapalat" w:cs="Times Armenian"/>
          <w:sz w:val="22"/>
          <w:szCs w:val="22"/>
        </w:rPr>
        <w:t xml:space="preserve">«ՀՀ ոստիկանության կարիքի բավարարում» ու «Ոստիկանության ոլորտի քաղաքականության մշակում, կառավարում, կենտրոնացված միջոցառումների, մոնիտորինգի և </w:t>
      </w:r>
      <w:r w:rsidRPr="00B57DAB">
        <w:rPr>
          <w:rFonts w:ascii="GHEA Grapalat" w:hAnsi="GHEA Grapalat" w:cs="Sylfaen"/>
          <w:sz w:val="22"/>
          <w:szCs w:val="22"/>
        </w:rPr>
        <w:t>վերահսկողության</w:t>
      </w:r>
      <w:r w:rsidRPr="00B57DAB">
        <w:rPr>
          <w:rFonts w:ascii="GHEA Grapalat" w:hAnsi="GHEA Grapalat" w:cs="Times Armenian"/>
          <w:sz w:val="22"/>
          <w:szCs w:val="22"/>
        </w:rPr>
        <w:t xml:space="preserve"> իրականացում» միջոցառումների կատարողականով:</w:t>
      </w:r>
    </w:p>
    <w:p w:rsidR="00D73760" w:rsidRPr="00B57DAB" w:rsidRDefault="00D73760" w:rsidP="00D73760">
      <w:pPr>
        <w:autoSpaceDE w:val="0"/>
        <w:autoSpaceDN w:val="0"/>
        <w:adjustRightInd w:val="0"/>
        <w:spacing w:line="360" w:lineRule="auto"/>
        <w:ind w:firstLine="567"/>
        <w:jc w:val="both"/>
        <w:rPr>
          <w:rFonts w:ascii="GHEA Grapalat" w:hAnsi="GHEA Grapalat" w:cs="Times Armenian"/>
          <w:sz w:val="22"/>
          <w:szCs w:val="22"/>
        </w:rPr>
      </w:pPr>
      <w:r w:rsidRPr="00B57DAB">
        <w:rPr>
          <w:rFonts w:ascii="GHEA Grapalat" w:hAnsi="GHEA Grapalat" w:cs="Times Armenian"/>
          <w:sz w:val="22"/>
          <w:szCs w:val="22"/>
        </w:rPr>
        <w:t xml:space="preserve">Հաշվետու ժամանակահատվածում 3.3 մլրդ դրամ ուղղվել է Ոստիկանության ոլորտի քաղաքականության մշակման, </w:t>
      </w:r>
      <w:r w:rsidRPr="00B57DAB">
        <w:rPr>
          <w:rFonts w:ascii="GHEA Grapalat" w:hAnsi="GHEA Grapalat" w:cs="Sylfaen"/>
          <w:sz w:val="22"/>
          <w:szCs w:val="22"/>
        </w:rPr>
        <w:t>կառավարման</w:t>
      </w:r>
      <w:r w:rsidRPr="00B57DAB">
        <w:rPr>
          <w:rFonts w:ascii="GHEA Grapalat" w:hAnsi="GHEA Grapalat" w:cs="Times Armenian"/>
          <w:sz w:val="22"/>
          <w:szCs w:val="22"/>
        </w:rPr>
        <w:t>, կենտրոնացված միջոցառումների, մոնիտորինգի և վերահսկողության միջոցառմանը, որը կատարվել է 84.3%-ով՝ հիմնականում պայմանավորված առանձին վճարման փաստաթղթեր ապրիլ ամսին ներկայացնելու և գնման գործընթացները չավարտելու հանգամանք</w:t>
      </w:r>
      <w:r w:rsidR="001C165B" w:rsidRPr="00B57DAB">
        <w:rPr>
          <w:rFonts w:ascii="GHEA Grapalat" w:hAnsi="GHEA Grapalat" w:cs="Times Armenian"/>
          <w:sz w:val="22"/>
          <w:szCs w:val="22"/>
        </w:rPr>
        <w:t>ներ</w:t>
      </w:r>
      <w:r w:rsidRPr="00B57DAB">
        <w:rPr>
          <w:rFonts w:ascii="GHEA Grapalat" w:hAnsi="GHEA Grapalat" w:cs="Times Armenian"/>
          <w:sz w:val="22"/>
          <w:szCs w:val="22"/>
        </w:rPr>
        <w:t>ով:</w:t>
      </w:r>
    </w:p>
    <w:p w:rsidR="00D73760" w:rsidRPr="00B57DAB" w:rsidRDefault="00D73760" w:rsidP="00D73760">
      <w:pPr>
        <w:autoSpaceDE w:val="0"/>
        <w:autoSpaceDN w:val="0"/>
        <w:adjustRightInd w:val="0"/>
        <w:spacing w:line="360" w:lineRule="auto"/>
        <w:ind w:firstLine="567"/>
        <w:jc w:val="both"/>
        <w:rPr>
          <w:rFonts w:ascii="GHEA Grapalat" w:hAnsi="GHEA Grapalat" w:cs="Times Armenian"/>
          <w:sz w:val="22"/>
          <w:szCs w:val="22"/>
        </w:rPr>
      </w:pPr>
      <w:r w:rsidRPr="00B57DAB">
        <w:rPr>
          <w:rFonts w:ascii="GHEA Grapalat" w:hAnsi="GHEA Grapalat" w:cs="Times Armenian"/>
          <w:sz w:val="22"/>
          <w:szCs w:val="22"/>
        </w:rPr>
        <w:t>Պետական պահպանության ծառայություններ մատուցող ՀՀ ոստիկանության ստորաբաժանումնե</w:t>
      </w:r>
      <w:r w:rsidR="00C50CE4" w:rsidRPr="00B57DAB">
        <w:rPr>
          <w:rFonts w:ascii="GHEA Grapalat" w:hAnsi="GHEA Grapalat" w:cs="Times Armenian"/>
          <w:sz w:val="22"/>
          <w:szCs w:val="22"/>
        </w:rPr>
        <w:t>րի կարիքի բավարարման միջոցառման</w:t>
      </w:r>
      <w:r w:rsidRPr="00B57DAB">
        <w:rPr>
          <w:rFonts w:ascii="GHEA Grapalat" w:hAnsi="GHEA Grapalat" w:cs="Times Armenian"/>
          <w:sz w:val="22"/>
          <w:szCs w:val="22"/>
        </w:rPr>
        <w:t xml:space="preserve">ը տրամադրվել է 4.2 մլրդ դրամ, որը </w:t>
      </w:r>
      <w:r w:rsidRPr="00B57DAB">
        <w:rPr>
          <w:rFonts w:ascii="GHEA Grapalat" w:hAnsi="GHEA Grapalat" w:cs="Times Armenian"/>
          <w:sz w:val="22"/>
          <w:szCs w:val="22"/>
        </w:rPr>
        <w:lastRenderedPageBreak/>
        <w:t xml:space="preserve">կազմել է ծրագրված ցուցանիշի 94.2%-ը: Շեղումը հիմնականում պայմանավորված է նոր պարեկային ծառայության ձևավորման արդյունքում կառուցվածքային փոփոխությունների հետևանքով աշխատանքի վարձատրության ծախսերի </w:t>
      </w:r>
      <w:r w:rsidR="001C165B" w:rsidRPr="00B57DAB">
        <w:rPr>
          <w:rFonts w:ascii="GHEA Grapalat" w:hAnsi="GHEA Grapalat" w:cs="Times Armenian"/>
          <w:sz w:val="22"/>
          <w:szCs w:val="22"/>
        </w:rPr>
        <w:t>տնտեսմամբ</w:t>
      </w:r>
      <w:r w:rsidRPr="00B57DAB">
        <w:rPr>
          <w:rFonts w:ascii="GHEA Grapalat" w:hAnsi="GHEA Grapalat" w:cs="Times Armenian"/>
          <w:sz w:val="22"/>
          <w:szCs w:val="22"/>
        </w:rPr>
        <w:t xml:space="preserve">: </w:t>
      </w:r>
    </w:p>
    <w:p w:rsidR="00D73760" w:rsidRPr="00B57DAB" w:rsidRDefault="00D73760" w:rsidP="00D73760">
      <w:pPr>
        <w:autoSpaceDE w:val="0"/>
        <w:autoSpaceDN w:val="0"/>
        <w:adjustRightInd w:val="0"/>
        <w:spacing w:line="360" w:lineRule="auto"/>
        <w:ind w:firstLine="567"/>
        <w:jc w:val="both"/>
        <w:rPr>
          <w:rFonts w:ascii="GHEA Grapalat" w:hAnsi="GHEA Grapalat" w:cs="Times Armenian"/>
          <w:sz w:val="22"/>
          <w:szCs w:val="22"/>
        </w:rPr>
      </w:pPr>
      <w:r w:rsidRPr="00B57DAB">
        <w:rPr>
          <w:rFonts w:ascii="GHEA Grapalat" w:hAnsi="GHEA Grapalat" w:cs="Times Armenian"/>
          <w:sz w:val="22"/>
          <w:szCs w:val="22"/>
        </w:rPr>
        <w:t>Ճանապարհային երթևեկության անվտանգության ապահովման և ճանապարհատրանս</w:t>
      </w:r>
      <w:r w:rsidR="001C165B" w:rsidRPr="00B57DAB">
        <w:rPr>
          <w:rFonts w:ascii="GHEA Grapalat" w:hAnsi="GHEA Grapalat" w:cs="Times Armenian"/>
          <w:sz w:val="22"/>
          <w:szCs w:val="22"/>
        </w:rPr>
        <w:t>-</w:t>
      </w:r>
      <w:r w:rsidRPr="00B57DAB">
        <w:rPr>
          <w:rFonts w:ascii="GHEA Grapalat" w:hAnsi="GHEA Grapalat" w:cs="Times Armenian"/>
          <w:sz w:val="22"/>
          <w:szCs w:val="22"/>
        </w:rPr>
        <w:t>պորտային պատահարների կանխարգելման միջոցառման շրջանակներում ծախսերը կատարվել են 87%-ով՝ կազմելով շուրջ 2 մլրդ դրամ: Շեղումը հիմնականում պայմանավորված է առանձին վճարման փաստաթղթեր ապրիլ ամսին ներկայացնելու և գնման գործընթացները չավարտելու հանգամանք</w:t>
      </w:r>
      <w:r w:rsidR="001C165B" w:rsidRPr="00B57DAB">
        <w:rPr>
          <w:rFonts w:ascii="GHEA Grapalat" w:hAnsi="GHEA Grapalat" w:cs="Times Armenian"/>
          <w:sz w:val="22"/>
          <w:szCs w:val="22"/>
        </w:rPr>
        <w:t>ներ</w:t>
      </w:r>
      <w:r w:rsidRPr="00B57DAB">
        <w:rPr>
          <w:rFonts w:ascii="GHEA Grapalat" w:hAnsi="GHEA Grapalat" w:cs="Times Armenian"/>
          <w:sz w:val="22"/>
          <w:szCs w:val="22"/>
        </w:rPr>
        <w:t xml:space="preserve">ով: </w:t>
      </w:r>
    </w:p>
    <w:p w:rsidR="00D73760" w:rsidRPr="00B57DAB" w:rsidRDefault="00D73760" w:rsidP="00D73760">
      <w:pPr>
        <w:autoSpaceDE w:val="0"/>
        <w:autoSpaceDN w:val="0"/>
        <w:adjustRightInd w:val="0"/>
        <w:spacing w:line="360" w:lineRule="auto"/>
        <w:ind w:firstLine="567"/>
        <w:jc w:val="both"/>
        <w:rPr>
          <w:rFonts w:ascii="GHEA Grapalat" w:hAnsi="GHEA Grapalat" w:cs="Times Armenian"/>
          <w:sz w:val="22"/>
          <w:szCs w:val="22"/>
        </w:rPr>
      </w:pPr>
      <w:r w:rsidRPr="00B57DAB">
        <w:rPr>
          <w:rFonts w:ascii="GHEA Grapalat" w:hAnsi="GHEA Grapalat" w:cs="Times Armenian"/>
          <w:sz w:val="22"/>
          <w:szCs w:val="22"/>
        </w:rPr>
        <w:t xml:space="preserve">ՀՀ ոստիկանության կարիքի բավարարման համար միջոցներն ուղղվել են ՀՀ ոստիկանության նյութատեխնիկական բազայով ապահովմանը, ձեռք են բերվել 140 հատ ավտոմեքենաներ, 483 միավոր գրասենյակային գույք և 90 հատ համակարգչային սարքավորումներ: Միջոցառմանը տրամադրվել է ավելի քան 1.7 մլրդ դրամ, որը կազմել է ծրագրված ցուցանիշի 35.9%-ը: Վերջինս պայմանավորված է նրանով, որ ՀՀ կառավարության թիվ 337-Ն որոշմամբ (ուժի մեջ է մտել 2022 թվականի մարտի 18-ին) հատկացվել են լրացուցիչ շուրջ 2 մլրդ դրամի միջոցներ, </w:t>
      </w:r>
      <w:r w:rsidR="001C165B" w:rsidRPr="00B57DAB">
        <w:rPr>
          <w:rFonts w:ascii="GHEA Grapalat" w:hAnsi="GHEA Grapalat" w:cs="Times Armenian"/>
          <w:sz w:val="22"/>
          <w:szCs w:val="22"/>
        </w:rPr>
        <w:t>սակայն հաշվետու ժամանակահատվածում</w:t>
      </w:r>
      <w:r w:rsidRPr="00B57DAB">
        <w:rPr>
          <w:rFonts w:ascii="GHEA Grapalat" w:hAnsi="GHEA Grapalat" w:cs="Times Armenian"/>
          <w:sz w:val="22"/>
          <w:szCs w:val="22"/>
        </w:rPr>
        <w:t xml:space="preserve"> գնման գործընթացը </w:t>
      </w:r>
      <w:r w:rsidR="001C165B" w:rsidRPr="00B57DAB">
        <w:rPr>
          <w:rFonts w:ascii="GHEA Grapalat" w:hAnsi="GHEA Grapalat" w:cs="Times Armenian"/>
          <w:sz w:val="22"/>
          <w:szCs w:val="22"/>
        </w:rPr>
        <w:t>չի ավարտվել</w:t>
      </w:r>
      <w:r w:rsidRPr="00B57DAB">
        <w:rPr>
          <w:rFonts w:ascii="GHEA Grapalat" w:hAnsi="GHEA Grapalat" w:cs="Times Armenian"/>
          <w:sz w:val="22"/>
          <w:szCs w:val="22"/>
        </w:rPr>
        <w:t xml:space="preserve">: Բացի այդ, վճարումները հիմնավորող փաստաթղթերի մի մասը ներկայացվել է մարտի վերջին: </w:t>
      </w:r>
    </w:p>
    <w:p w:rsidR="00D73760" w:rsidRPr="00B57DAB" w:rsidRDefault="00D73760" w:rsidP="00D73760">
      <w:pPr>
        <w:autoSpaceDE w:val="0"/>
        <w:autoSpaceDN w:val="0"/>
        <w:adjustRightInd w:val="0"/>
        <w:spacing w:line="360" w:lineRule="auto"/>
        <w:ind w:firstLine="567"/>
        <w:jc w:val="both"/>
        <w:rPr>
          <w:rFonts w:ascii="GHEA Grapalat" w:hAnsi="GHEA Grapalat" w:cs="Times Armenian"/>
          <w:sz w:val="22"/>
          <w:szCs w:val="22"/>
        </w:rPr>
      </w:pPr>
      <w:r w:rsidRPr="00B57DAB">
        <w:rPr>
          <w:rFonts w:ascii="GHEA Grapalat" w:hAnsi="GHEA Grapalat" w:cs="Times Armenian"/>
          <w:sz w:val="22"/>
          <w:szCs w:val="22"/>
        </w:rPr>
        <w:t xml:space="preserve">Պետական պահպանության ծառայությունների կազմակերպման և իրականացման միջոցառման շրջանակներում պետական պահպանության ծառայությունների կողմից պահպանվող օբյեկտների թիվը կազմել է </w:t>
      </w:r>
      <w:r w:rsidRPr="00B57DAB">
        <w:rPr>
          <w:rFonts w:ascii="GHEA Grapalat" w:hAnsi="GHEA Grapalat" w:cs="Sylfaen"/>
          <w:sz w:val="22"/>
          <w:szCs w:val="22"/>
        </w:rPr>
        <w:t>3513</w:t>
      </w:r>
      <w:r w:rsidRPr="00B57DAB">
        <w:rPr>
          <w:rFonts w:ascii="GHEA Grapalat" w:hAnsi="GHEA Grapalat" w:cs="Times Armenian"/>
          <w:sz w:val="22"/>
          <w:szCs w:val="22"/>
        </w:rPr>
        <w:t xml:space="preserve">՝ նախատեսված 3562-ի դիմաց, որը պայմանավորված է պետական պահպանության գլխավոր վարչության բարեփոխումների հետևանքով պահպանվող մասնավոր օբյեկտների թվի նվազմամբ: Միջոցառման ծախսերը կազմել են 1.7 մլրդ դրամ կամ ծրագրված ցուցանիշի 97.2%-ը, որը հիմնականում պայմանավորված է առանձին վճարման փաստաթղթեր ապրիլ ամսին ներկայացնելու հանգամանքով: </w:t>
      </w:r>
    </w:p>
    <w:p w:rsidR="00D73760" w:rsidRPr="00B57DAB" w:rsidRDefault="00D73760" w:rsidP="00D73760">
      <w:pPr>
        <w:autoSpaceDE w:val="0"/>
        <w:autoSpaceDN w:val="0"/>
        <w:adjustRightInd w:val="0"/>
        <w:spacing w:line="360" w:lineRule="auto"/>
        <w:ind w:firstLine="567"/>
        <w:jc w:val="both"/>
        <w:rPr>
          <w:rFonts w:ascii="GHEA Grapalat" w:hAnsi="GHEA Grapalat" w:cs="Times Armenian"/>
          <w:sz w:val="22"/>
          <w:szCs w:val="22"/>
        </w:rPr>
      </w:pPr>
      <w:r w:rsidRPr="00B57DAB">
        <w:rPr>
          <w:rFonts w:ascii="GHEA Grapalat" w:hAnsi="GHEA Grapalat" w:cs="Times Armenian"/>
          <w:sz w:val="22"/>
          <w:szCs w:val="22"/>
        </w:rPr>
        <w:t>Հասարակական կարգի պահպանության, անվտանգության ապահովման և հանցագործությունների դեմ պայքարի միջոցառման ծախսերը կատարվել են 91.8%-ով՝ կազմելով ավելի քան 1.2 մլրդ դրամ: Շեղումը հիմնականում պայմանավորված է առանձին վճարման փաստաթղթեր ապրիլ ամսին ներկայացնելու և գնման գործընթացները չավարտելու հանգամանք</w:t>
      </w:r>
      <w:r w:rsidR="001C165B" w:rsidRPr="00B57DAB">
        <w:rPr>
          <w:rFonts w:ascii="GHEA Grapalat" w:hAnsi="GHEA Grapalat" w:cs="Times Armenian"/>
          <w:sz w:val="22"/>
          <w:szCs w:val="22"/>
        </w:rPr>
        <w:t>ներ</w:t>
      </w:r>
      <w:r w:rsidRPr="00B57DAB">
        <w:rPr>
          <w:rFonts w:ascii="GHEA Grapalat" w:hAnsi="GHEA Grapalat" w:cs="Times Armenian"/>
          <w:sz w:val="22"/>
          <w:szCs w:val="22"/>
        </w:rPr>
        <w:t>ով:</w:t>
      </w:r>
    </w:p>
    <w:p w:rsidR="00D73760" w:rsidRPr="00B57DAB" w:rsidRDefault="00D73760" w:rsidP="00D73760">
      <w:pPr>
        <w:autoSpaceDE w:val="0"/>
        <w:autoSpaceDN w:val="0"/>
        <w:adjustRightInd w:val="0"/>
        <w:spacing w:line="360" w:lineRule="auto"/>
        <w:ind w:firstLine="567"/>
        <w:jc w:val="both"/>
        <w:rPr>
          <w:rFonts w:ascii="GHEA Grapalat" w:hAnsi="GHEA Grapalat" w:cs="Times Armenian"/>
          <w:sz w:val="22"/>
          <w:szCs w:val="22"/>
        </w:rPr>
      </w:pPr>
      <w:r w:rsidRPr="00B57DAB">
        <w:rPr>
          <w:rFonts w:ascii="GHEA Grapalat" w:hAnsi="GHEA Grapalat" w:cs="Times Armenian"/>
          <w:sz w:val="22"/>
          <w:szCs w:val="22"/>
        </w:rPr>
        <w:t xml:space="preserve">Անձի անհատական տվյալների, քաղաքացիության և հաշվառման վերաբերյալ տեղեկությունների ստացման, տրամադրման և փոխանակման ծառայությունների մատուցման, ճամփորդական </w:t>
      </w:r>
      <w:r w:rsidRPr="00B57DAB">
        <w:rPr>
          <w:rFonts w:ascii="GHEA Grapalat" w:hAnsi="GHEA Grapalat" w:cs="Sylfaen"/>
          <w:sz w:val="22"/>
          <w:szCs w:val="22"/>
        </w:rPr>
        <w:t>փաստաթղթերում</w:t>
      </w:r>
      <w:r w:rsidRPr="00B57DAB">
        <w:rPr>
          <w:rFonts w:ascii="GHEA Grapalat" w:hAnsi="GHEA Grapalat" w:cs="Times Armenian"/>
          <w:sz w:val="22"/>
          <w:szCs w:val="22"/>
        </w:rPr>
        <w:t xml:space="preserve"> կենսաչափական տեխնոլոգիաների ներդրման միջոցառման շրջանակներում սահմանված արդյունքային չափորոշիչների գծով արձանագրվել են ինչպես գերակատարումներ, այնպես էլ թերակատարումներ՝ պայմանավորված քաղաքացիների </w:t>
      </w:r>
      <w:r w:rsidRPr="00B57DAB">
        <w:rPr>
          <w:rFonts w:ascii="GHEA Grapalat" w:hAnsi="GHEA Grapalat" w:cs="Times Armenian"/>
          <w:sz w:val="22"/>
          <w:szCs w:val="22"/>
        </w:rPr>
        <w:lastRenderedPageBreak/>
        <w:t>դիմելիությամբ: Միջոցառման շրջանակներում օգտագործվել է 644.5 մլն դրամ, որը կազմել է ծրագրված ցուցանիշի 91.7%-ը: Շեղումը հիմնականում պայմանավորված է առանձին վճարման փաստաթղթեր ապրիլ ամսին ներկայացնելու և գնման գործընթացները չավարտելու հանգամանք</w:t>
      </w:r>
      <w:r w:rsidR="001C165B" w:rsidRPr="00B57DAB">
        <w:rPr>
          <w:rFonts w:ascii="GHEA Grapalat" w:hAnsi="GHEA Grapalat" w:cs="Times Armenian"/>
          <w:sz w:val="22"/>
          <w:szCs w:val="22"/>
        </w:rPr>
        <w:t>ներ</w:t>
      </w:r>
      <w:r w:rsidRPr="00B57DAB">
        <w:rPr>
          <w:rFonts w:ascii="GHEA Grapalat" w:hAnsi="GHEA Grapalat" w:cs="Times Armenian"/>
          <w:sz w:val="22"/>
          <w:szCs w:val="22"/>
        </w:rPr>
        <w:t xml:space="preserve">ով: </w:t>
      </w:r>
    </w:p>
    <w:p w:rsidR="00D73760" w:rsidRPr="00B57DAB" w:rsidRDefault="00D73760" w:rsidP="00D73760">
      <w:pPr>
        <w:autoSpaceDE w:val="0"/>
        <w:autoSpaceDN w:val="0"/>
        <w:adjustRightInd w:val="0"/>
        <w:spacing w:line="360" w:lineRule="auto"/>
        <w:ind w:firstLine="567"/>
        <w:jc w:val="both"/>
        <w:rPr>
          <w:rFonts w:ascii="GHEA Grapalat" w:hAnsi="GHEA Grapalat" w:cs="Times Armenian"/>
          <w:sz w:val="22"/>
          <w:szCs w:val="22"/>
        </w:rPr>
      </w:pPr>
      <w:r w:rsidRPr="00B57DAB">
        <w:rPr>
          <w:rFonts w:ascii="GHEA Grapalat" w:hAnsi="GHEA Grapalat" w:cs="Times Armenian"/>
          <w:sz w:val="22"/>
          <w:szCs w:val="22"/>
        </w:rPr>
        <w:t xml:space="preserve">Նախորդ տարվա առաջին եռամսյակի համեմատ Ոստիկանության ոլորտի քաղաքականության մշակման, </w:t>
      </w:r>
      <w:r w:rsidRPr="00B57DAB">
        <w:rPr>
          <w:rFonts w:ascii="GHEA Grapalat" w:hAnsi="GHEA Grapalat" w:cs="Sylfaen"/>
          <w:sz w:val="22"/>
          <w:szCs w:val="22"/>
        </w:rPr>
        <w:t>կառավարման</w:t>
      </w:r>
      <w:r w:rsidRPr="00B57DAB">
        <w:rPr>
          <w:rFonts w:ascii="GHEA Grapalat" w:hAnsi="GHEA Grapalat" w:cs="Times Armenian"/>
          <w:sz w:val="22"/>
          <w:szCs w:val="22"/>
        </w:rPr>
        <w:t xml:space="preserve">, կենտրոնացված միջոցառումների, մոնիտորինգի ու վերահսկողության ծրագրի ծախսերն աճել են 16%-ով կամ շուրջ 2.1 մլրդ դրամով, որը հիմնականում </w:t>
      </w:r>
      <w:r w:rsidR="001C165B" w:rsidRPr="00B57DAB">
        <w:rPr>
          <w:rFonts w:ascii="GHEA Grapalat" w:hAnsi="GHEA Grapalat" w:cs="Times Armenian"/>
          <w:sz w:val="22"/>
          <w:szCs w:val="22"/>
        </w:rPr>
        <w:t>պայմանավորված</w:t>
      </w:r>
      <w:r w:rsidRPr="00B57DAB">
        <w:rPr>
          <w:rFonts w:ascii="GHEA Grapalat" w:hAnsi="GHEA Grapalat" w:cs="Times Armenian"/>
          <w:sz w:val="22"/>
          <w:szCs w:val="22"/>
        </w:rPr>
        <w:t xml:space="preserve"> է ՀՀ ոստիկանության կարիքի բավարարման համար ավելի քան 1.7 մլրդ դրամ միջոցներ</w:t>
      </w:r>
      <w:r w:rsidR="001C165B" w:rsidRPr="00B57DAB">
        <w:rPr>
          <w:rFonts w:ascii="GHEA Grapalat" w:hAnsi="GHEA Grapalat" w:cs="Times Armenian"/>
          <w:sz w:val="22"/>
          <w:szCs w:val="22"/>
        </w:rPr>
        <w:t>ի հատկացմամբ</w:t>
      </w:r>
      <w:r w:rsidRPr="00B57DAB">
        <w:rPr>
          <w:rFonts w:ascii="GHEA Grapalat" w:hAnsi="GHEA Grapalat" w:cs="Times Armenian"/>
          <w:sz w:val="22"/>
          <w:szCs w:val="22"/>
        </w:rPr>
        <w:t>:</w:t>
      </w:r>
    </w:p>
    <w:p w:rsidR="00D73760" w:rsidRPr="00B57DAB" w:rsidRDefault="00D73760" w:rsidP="00D73760">
      <w:pPr>
        <w:autoSpaceDE w:val="0"/>
        <w:autoSpaceDN w:val="0"/>
        <w:adjustRightInd w:val="0"/>
        <w:spacing w:line="360" w:lineRule="auto"/>
        <w:ind w:firstLine="567"/>
        <w:jc w:val="both"/>
        <w:rPr>
          <w:rFonts w:ascii="GHEA Grapalat" w:hAnsi="GHEA Grapalat" w:cs="Times Armenian"/>
          <w:sz w:val="22"/>
          <w:szCs w:val="22"/>
        </w:rPr>
      </w:pPr>
      <w:r w:rsidRPr="00B57DAB">
        <w:rPr>
          <w:rFonts w:ascii="GHEA Grapalat" w:hAnsi="GHEA Grapalat" w:cs="Times Armenian"/>
          <w:sz w:val="22"/>
          <w:szCs w:val="22"/>
        </w:rPr>
        <w:t xml:space="preserve">2022 թվականի առաջին եռամսյակում </w:t>
      </w:r>
      <w:r w:rsidRPr="00B57DAB">
        <w:rPr>
          <w:rFonts w:ascii="GHEA Grapalat" w:hAnsi="GHEA Grapalat" w:cs="Sylfaen"/>
          <w:i/>
          <w:sz w:val="22"/>
          <w:szCs w:val="22"/>
        </w:rPr>
        <w:t>Ոստիկանության կրթական ծառայությունների</w:t>
      </w:r>
      <w:r w:rsidRPr="00B57DAB">
        <w:rPr>
          <w:rFonts w:ascii="GHEA Grapalat" w:hAnsi="GHEA Grapalat" w:cs="Sylfaen"/>
          <w:sz w:val="22"/>
          <w:szCs w:val="22"/>
        </w:rPr>
        <w:t xml:space="preserve"> </w:t>
      </w:r>
      <w:r w:rsidRPr="00B57DAB">
        <w:rPr>
          <w:rFonts w:ascii="GHEA Grapalat" w:hAnsi="GHEA Grapalat" w:cs="Times Armenian"/>
          <w:sz w:val="22"/>
          <w:szCs w:val="22"/>
        </w:rPr>
        <w:t xml:space="preserve">ծրագրին հատկացված միջոցներն ուղղվել են Ոստիկանության ծառայողներին նախնական, միջին և բարձրագույն </w:t>
      </w:r>
      <w:r w:rsidRPr="00B57DAB">
        <w:rPr>
          <w:rFonts w:ascii="GHEA Grapalat" w:hAnsi="GHEA Grapalat" w:cs="Sylfaen"/>
          <w:sz w:val="22"/>
          <w:szCs w:val="22"/>
        </w:rPr>
        <w:t>կրթական</w:t>
      </w:r>
      <w:r w:rsidRPr="00B57DAB">
        <w:rPr>
          <w:rFonts w:ascii="GHEA Grapalat" w:hAnsi="GHEA Grapalat" w:cs="Times Armenian"/>
          <w:sz w:val="22"/>
          <w:szCs w:val="22"/>
        </w:rPr>
        <w:t xml:space="preserve"> ծառայությունների մատուցմանը: Ծրագրի շրջանակներում բակալավրիատի կրթական ծրագրով առկա ուսուցում է ստացել ՀՀ ոստիկանության 120 ծառայող՝ նախատեսված 124-ի դիմաց, մագիստրատուրայի կրթական ծրագրով առկա ուսուցում է ստացել 3 ծառայող, միջին մասնագիտական կրթական ծրագրով ուսուցում է ստացել ՀՀ ոստիկանության 56 ծառայող, նախնական մասնագիտական կրթական ծրագրով ուսուցում է ստացել ՀՀ ոստիկանության 22 ծառայող՝ նախատեսված 60-ի դիմաց: Ծրագրի շրջանակներում օգտագործվել է շուրջ 261 մլն դրամ, որը կազմել է նախատեսված միջոցների 66.7%</w:t>
      </w:r>
      <w:r w:rsidRPr="00B57DAB">
        <w:rPr>
          <w:rFonts w:ascii="GHEA Grapalat" w:hAnsi="GHEA Grapalat" w:cs="Times Armenian"/>
          <w:sz w:val="22"/>
          <w:szCs w:val="22"/>
        </w:rPr>
        <w:noBreakHyphen/>
        <w:t>ը: Նշված գումարից 153.4 մլն դրամն օգտագործվել է</w:t>
      </w:r>
      <w:r w:rsidRPr="00B57DAB">
        <w:rPr>
          <w:rFonts w:ascii="GHEA Grapalat" w:hAnsi="GHEA Grapalat"/>
        </w:rPr>
        <w:t xml:space="preserve"> </w:t>
      </w:r>
      <w:r w:rsidRPr="00B57DAB">
        <w:rPr>
          <w:rFonts w:ascii="GHEA Grapalat" w:hAnsi="GHEA Grapalat" w:cs="Times Armenian"/>
          <w:sz w:val="22"/>
          <w:szCs w:val="22"/>
        </w:rPr>
        <w:t>բարձրագույն մասնագիտական կրթության, 64.6 մլն դրամը՝ միջին մասնագիտական կրթության, 43</w:t>
      </w:r>
      <w:r w:rsidR="001C165B" w:rsidRPr="00B57DAB">
        <w:rPr>
          <w:rFonts w:ascii="Courier New" w:hAnsi="Courier New" w:cs="Courier New"/>
          <w:sz w:val="22"/>
          <w:szCs w:val="22"/>
        </w:rPr>
        <w:t> </w:t>
      </w:r>
      <w:r w:rsidRPr="00B57DAB">
        <w:rPr>
          <w:rFonts w:ascii="GHEA Grapalat" w:hAnsi="GHEA Grapalat" w:cs="Times Armenian"/>
          <w:sz w:val="22"/>
          <w:szCs w:val="22"/>
        </w:rPr>
        <w:t xml:space="preserve">մլն դրամը՝ նախնական մասնագիտական կրթության ծառայությունների ֆինանսավորման նպատակով, որոնք </w:t>
      </w:r>
      <w:r w:rsidR="001C165B" w:rsidRPr="00B57DAB">
        <w:rPr>
          <w:rFonts w:ascii="GHEA Grapalat" w:hAnsi="GHEA Grapalat" w:cs="Times Armenian"/>
          <w:sz w:val="22"/>
          <w:szCs w:val="22"/>
        </w:rPr>
        <w:t xml:space="preserve">երեքն էլ </w:t>
      </w:r>
      <w:r w:rsidRPr="00B57DAB">
        <w:rPr>
          <w:rFonts w:ascii="GHEA Grapalat" w:hAnsi="GHEA Grapalat" w:cs="Times Armenian"/>
          <w:sz w:val="22"/>
          <w:szCs w:val="22"/>
        </w:rPr>
        <w:t xml:space="preserve">կատարվել են 66.7%-ով: Շեղումը պայմանավորված է մարտ ամսվա ընթացքում մատուցված կրթական ծառայությունների դիմաց վճարումներն ապրիլ ամսին կատարելու հանգամանքով: Նախորդ տարվա նույն ժամանակահատվածի համեմատ ծրագրի ծախսերը չեն փոփոխվել: </w:t>
      </w:r>
    </w:p>
    <w:p w:rsidR="003F2149" w:rsidRPr="00B57DAB" w:rsidRDefault="003F2149" w:rsidP="003F2149">
      <w:pPr>
        <w:spacing w:line="360" w:lineRule="auto"/>
        <w:ind w:firstLine="561"/>
        <w:jc w:val="both"/>
        <w:rPr>
          <w:rFonts w:ascii="GHEA Grapalat" w:hAnsi="GHEA Grapalat" w:cs="Times Armenian"/>
          <w:sz w:val="22"/>
          <w:szCs w:val="22"/>
          <w:lang w:val="hy-AM"/>
        </w:rPr>
      </w:pPr>
    </w:p>
    <w:p w:rsidR="007173F4" w:rsidRPr="00B57DAB" w:rsidRDefault="003F2149" w:rsidP="007173F4">
      <w:pPr>
        <w:autoSpaceDE w:val="0"/>
        <w:autoSpaceDN w:val="0"/>
        <w:adjustRightInd w:val="0"/>
        <w:spacing w:line="360" w:lineRule="auto"/>
        <w:ind w:firstLine="567"/>
        <w:jc w:val="both"/>
        <w:rPr>
          <w:rFonts w:ascii="GHEA Grapalat" w:hAnsi="GHEA Grapalat" w:cs="Times Armenian"/>
          <w:sz w:val="22"/>
          <w:szCs w:val="22"/>
        </w:rPr>
      </w:pPr>
      <w:r w:rsidRPr="00B57DAB">
        <w:rPr>
          <w:rFonts w:ascii="GHEA Grapalat" w:hAnsi="GHEA Grapalat" w:cs="GHEA Grapalat"/>
          <w:i/>
          <w:sz w:val="22"/>
          <w:szCs w:val="22"/>
          <w:u w:val="single"/>
          <w:lang w:val="hy-AM"/>
        </w:rPr>
        <w:t>Հանրային հեռարձակողի խորհրդին</w:t>
      </w:r>
      <w:r w:rsidR="007173F4" w:rsidRPr="00B57DAB">
        <w:rPr>
          <w:rFonts w:ascii="GHEA Grapalat" w:hAnsi="GHEA Grapalat" w:cs="Sylfaen"/>
          <w:i/>
          <w:sz w:val="22"/>
          <w:szCs w:val="22"/>
        </w:rPr>
        <w:t xml:space="preserve"> Ռադիո և հեռուստահաղորդումների հեռարձակման </w:t>
      </w:r>
      <w:r w:rsidR="007173F4" w:rsidRPr="00B57DAB">
        <w:rPr>
          <w:rFonts w:ascii="GHEA Grapalat" w:hAnsi="GHEA Grapalat" w:cs="Sylfaen"/>
          <w:sz w:val="22"/>
          <w:szCs w:val="22"/>
        </w:rPr>
        <w:t>ծրագրի շրջանակներում 2022 թվականի առաջին եռամսյակում ՀՀ պետական բյուջեից հատկացվել է ավելի քան 1.5</w:t>
      </w:r>
      <w:r w:rsidR="007173F4" w:rsidRPr="00B57DAB">
        <w:rPr>
          <w:rFonts w:ascii="Courier New" w:hAnsi="Courier New" w:cs="Courier New"/>
          <w:sz w:val="22"/>
          <w:szCs w:val="22"/>
        </w:rPr>
        <w:t> </w:t>
      </w:r>
      <w:r w:rsidR="00653E08" w:rsidRPr="00B57DAB">
        <w:rPr>
          <w:rFonts w:ascii="GHEA Grapalat" w:hAnsi="GHEA Grapalat" w:cs="Sylfaen"/>
          <w:sz w:val="22"/>
          <w:szCs w:val="22"/>
        </w:rPr>
        <w:t>մլրդ դրամ,</w:t>
      </w:r>
      <w:r w:rsidR="007173F4" w:rsidRPr="00B57DAB">
        <w:rPr>
          <w:rFonts w:ascii="GHEA Grapalat" w:hAnsi="GHEA Grapalat" w:cs="Sylfaen"/>
          <w:sz w:val="22"/>
          <w:szCs w:val="22"/>
        </w:rPr>
        <w:t xml:space="preserve"> </w:t>
      </w:r>
      <w:r w:rsidR="00653E08" w:rsidRPr="00B57DAB">
        <w:rPr>
          <w:rFonts w:ascii="GHEA Grapalat" w:hAnsi="GHEA Grapalat" w:cs="Sylfaen"/>
          <w:sz w:val="22"/>
          <w:szCs w:val="22"/>
        </w:rPr>
        <w:t>որը կազմ</w:t>
      </w:r>
      <w:r w:rsidR="007173F4" w:rsidRPr="00B57DAB">
        <w:rPr>
          <w:rFonts w:ascii="GHEA Grapalat" w:hAnsi="GHEA Grapalat" w:cs="Sylfaen"/>
          <w:sz w:val="22"/>
          <w:szCs w:val="22"/>
        </w:rPr>
        <w:t>ել է</w:t>
      </w:r>
      <w:r w:rsidR="00653E08" w:rsidRPr="00B57DAB">
        <w:rPr>
          <w:rFonts w:ascii="GHEA Grapalat" w:hAnsi="GHEA Grapalat" w:cs="Sylfaen"/>
          <w:sz w:val="22"/>
          <w:szCs w:val="22"/>
        </w:rPr>
        <w:t xml:space="preserve"> ծրագրային ցուցանիշի</w:t>
      </w:r>
      <w:r w:rsidR="007173F4" w:rsidRPr="00B57DAB">
        <w:rPr>
          <w:rFonts w:ascii="GHEA Grapalat" w:hAnsi="GHEA Grapalat" w:cs="Sylfaen"/>
          <w:sz w:val="22"/>
          <w:szCs w:val="22"/>
        </w:rPr>
        <w:t xml:space="preserve"> 81.2</w:t>
      </w:r>
      <w:r w:rsidR="007173F4" w:rsidRPr="00B57DAB">
        <w:rPr>
          <w:rFonts w:ascii="GHEA Grapalat" w:hAnsi="GHEA Grapalat" w:cs="Times Armenian"/>
          <w:sz w:val="22"/>
          <w:szCs w:val="22"/>
        </w:rPr>
        <w:t>%-</w:t>
      </w:r>
      <w:r w:rsidR="00653E08" w:rsidRPr="00B57DAB">
        <w:rPr>
          <w:rFonts w:ascii="GHEA Grapalat" w:hAnsi="GHEA Grapalat" w:cs="Times Armenian"/>
          <w:sz w:val="22"/>
          <w:szCs w:val="22"/>
        </w:rPr>
        <w:t>ը</w:t>
      </w:r>
      <w:r w:rsidR="007173F4" w:rsidRPr="00B57DAB">
        <w:rPr>
          <w:rFonts w:ascii="GHEA Grapalat" w:hAnsi="GHEA Grapalat" w:cs="Sylfaen"/>
          <w:sz w:val="22"/>
          <w:szCs w:val="22"/>
        </w:rPr>
        <w:t xml:space="preserve">: </w:t>
      </w:r>
      <w:r w:rsidR="00653E08" w:rsidRPr="00B57DAB">
        <w:rPr>
          <w:rFonts w:ascii="GHEA Grapalat" w:hAnsi="GHEA Grapalat" w:cs="Sylfaen"/>
          <w:sz w:val="22"/>
          <w:szCs w:val="22"/>
        </w:rPr>
        <w:t xml:space="preserve">Շեղումը հիմնականում պայմանավորված է Հեռուստատեսային ծառայությունների դիմաց գումարի մի մասը երկրորդ եռամսյակում վճարելու հանգամանքով: </w:t>
      </w:r>
      <w:r w:rsidR="007173F4" w:rsidRPr="00B57DAB">
        <w:rPr>
          <w:rFonts w:ascii="GHEA Grapalat" w:hAnsi="GHEA Grapalat" w:cs="Times Armenian"/>
          <w:sz w:val="22"/>
          <w:szCs w:val="22"/>
        </w:rPr>
        <w:t xml:space="preserve">Նախորդ տարվա համեմատ </w:t>
      </w:r>
      <w:r w:rsidR="007173F4" w:rsidRPr="00B57DAB">
        <w:rPr>
          <w:rFonts w:ascii="GHEA Grapalat" w:hAnsi="GHEA Grapalat" w:cs="Sylfaen"/>
          <w:sz w:val="22"/>
          <w:szCs w:val="22"/>
        </w:rPr>
        <w:t xml:space="preserve">Հանրային հեռարձակողի խորհրդի ծախսերն աճել </w:t>
      </w:r>
      <w:r w:rsidR="007173F4" w:rsidRPr="00B57DAB">
        <w:rPr>
          <w:rFonts w:ascii="GHEA Grapalat" w:hAnsi="GHEA Grapalat" w:cs="Times Armenian"/>
          <w:sz w:val="22"/>
          <w:szCs w:val="22"/>
        </w:rPr>
        <w:t xml:space="preserve">են 9.4%-ով կամ 131.5 մլն դրամով՝ հիմնականում պայմանավորված հեռուստատեսային </w:t>
      </w:r>
      <w:r w:rsidR="007173F4" w:rsidRPr="00B57DAB">
        <w:rPr>
          <w:rFonts w:ascii="GHEA Grapalat" w:hAnsi="GHEA Grapalat" w:cs="Sylfaen"/>
          <w:sz w:val="22"/>
          <w:szCs w:val="22"/>
        </w:rPr>
        <w:t xml:space="preserve">ծառայությունների գծով </w:t>
      </w:r>
      <w:r w:rsidR="007173F4" w:rsidRPr="00B57DAB">
        <w:rPr>
          <w:rFonts w:ascii="GHEA Grapalat" w:hAnsi="GHEA Grapalat" w:cs="Times Armenian"/>
          <w:sz w:val="22"/>
          <w:szCs w:val="22"/>
        </w:rPr>
        <w:t xml:space="preserve">ծախսերի աճով: </w:t>
      </w:r>
    </w:p>
    <w:p w:rsidR="007173F4" w:rsidRPr="00B57DAB" w:rsidRDefault="007173F4" w:rsidP="007173F4">
      <w:pPr>
        <w:autoSpaceDE w:val="0"/>
        <w:autoSpaceDN w:val="0"/>
        <w:adjustRightInd w:val="0"/>
        <w:spacing w:line="360" w:lineRule="auto"/>
        <w:ind w:firstLine="567"/>
        <w:jc w:val="both"/>
        <w:rPr>
          <w:rFonts w:ascii="GHEA Grapalat" w:hAnsi="GHEA Grapalat" w:cs="Times Armenian"/>
          <w:sz w:val="22"/>
          <w:szCs w:val="22"/>
        </w:rPr>
      </w:pPr>
      <w:r w:rsidRPr="00B57DAB">
        <w:rPr>
          <w:rFonts w:ascii="GHEA Grapalat" w:hAnsi="GHEA Grapalat" w:cs="Sylfaen"/>
          <w:sz w:val="22"/>
          <w:szCs w:val="22"/>
        </w:rPr>
        <w:lastRenderedPageBreak/>
        <w:t xml:space="preserve">Հեռուստատեսային ծառայությունների շրջանակներում իրականացվել է «Տեսալսողական մեդիայի մասին» ՀՀ օրենքի պահանջներին </w:t>
      </w:r>
      <w:r w:rsidRPr="00B57DAB">
        <w:rPr>
          <w:rFonts w:ascii="GHEA Grapalat" w:hAnsi="GHEA Grapalat" w:cs="Times Armenian"/>
          <w:sz w:val="22"/>
          <w:szCs w:val="22"/>
        </w:rPr>
        <w:t>համապատասխան</w:t>
      </w:r>
      <w:r w:rsidRPr="00B57DAB">
        <w:rPr>
          <w:rFonts w:ascii="GHEA Grapalat" w:hAnsi="GHEA Grapalat" w:cs="Sylfaen"/>
          <w:sz w:val="22"/>
          <w:szCs w:val="22"/>
        </w:rPr>
        <w:t xml:space="preserve"> տարբեր թեմատիկ ուղղվածության հեռուստահաղորդումների պատրաստում և հեռարձակում Հանրային հեռուստաընկերության Առա</w:t>
      </w:r>
      <w:r w:rsidR="00653E08" w:rsidRPr="00B57DAB">
        <w:rPr>
          <w:rFonts w:ascii="GHEA Grapalat" w:hAnsi="GHEA Grapalat" w:cs="Sylfaen"/>
          <w:sz w:val="22"/>
          <w:szCs w:val="22"/>
        </w:rPr>
        <w:t>ջին ալիքի,</w:t>
      </w:r>
      <w:r w:rsidRPr="00B57DAB">
        <w:rPr>
          <w:rFonts w:ascii="GHEA Grapalat" w:hAnsi="GHEA Grapalat" w:cs="Sylfaen"/>
          <w:sz w:val="22"/>
          <w:szCs w:val="22"/>
        </w:rPr>
        <w:t xml:space="preserve"> Միջազգային ալիքի</w:t>
      </w:r>
      <w:r w:rsidR="00653E08" w:rsidRPr="00B57DAB">
        <w:rPr>
          <w:rFonts w:ascii="GHEA Grapalat" w:hAnsi="GHEA Grapalat" w:cs="Sylfaen"/>
          <w:sz w:val="22"/>
          <w:szCs w:val="22"/>
        </w:rPr>
        <w:t xml:space="preserve"> և Լրատվական ալիքի</w:t>
      </w:r>
      <w:r w:rsidRPr="00B57DAB">
        <w:rPr>
          <w:rFonts w:ascii="GHEA Grapalat" w:hAnsi="GHEA Grapalat" w:cs="Sylfaen"/>
          <w:sz w:val="22"/>
          <w:szCs w:val="22"/>
        </w:rPr>
        <w:t xml:space="preserve"> եթերներում՝ յուրաքանչյուրում 2154 ժամ տևողությամբ՝ նախատեսված 2160-ի փոխարեն: </w:t>
      </w:r>
      <w:r w:rsidR="00BF1739" w:rsidRPr="00B57DAB">
        <w:rPr>
          <w:rFonts w:ascii="GHEA Grapalat" w:hAnsi="GHEA Grapalat" w:cs="Sylfaen"/>
          <w:sz w:val="22"/>
          <w:szCs w:val="22"/>
        </w:rPr>
        <w:t>Ծրագրային ցուցանիշներից</w:t>
      </w:r>
      <w:r w:rsidRPr="00B57DAB">
        <w:rPr>
          <w:rFonts w:ascii="GHEA Grapalat" w:hAnsi="GHEA Grapalat" w:cs="Sylfaen"/>
          <w:sz w:val="22"/>
          <w:szCs w:val="22"/>
        </w:rPr>
        <w:t xml:space="preserve"> շեղումը պայմանավորված է պրոֆիլակտիկ աշխատանքների իրականացմամբ: Միջոցառման ծախսերը կազմել են շուրջ 1.3 մլրդ դրամ</w:t>
      </w:r>
      <w:r w:rsidR="00F47257" w:rsidRPr="00B57DAB">
        <w:rPr>
          <w:rFonts w:ascii="GHEA Grapalat" w:hAnsi="GHEA Grapalat" w:cs="Sylfaen"/>
          <w:sz w:val="22"/>
          <w:szCs w:val="22"/>
        </w:rPr>
        <w:t xml:space="preserve"> (նախատեսվածի 81.1%-ը)</w:t>
      </w:r>
      <w:r w:rsidRPr="00B57DAB">
        <w:rPr>
          <w:rFonts w:ascii="GHEA Grapalat" w:hAnsi="GHEA Grapalat" w:cs="Sylfaen"/>
          <w:sz w:val="22"/>
          <w:szCs w:val="22"/>
        </w:rPr>
        <w:t>՝ 12%-ով (136.9 մլն դրամով) գերազ</w:t>
      </w:r>
      <w:r w:rsidR="00BF1739" w:rsidRPr="00B57DAB">
        <w:rPr>
          <w:rFonts w:ascii="GHEA Grapalat" w:hAnsi="GHEA Grapalat" w:cs="Sylfaen"/>
          <w:sz w:val="22"/>
          <w:szCs w:val="22"/>
        </w:rPr>
        <w:t>անցելով նախորդ տարվա նույն ժամանակահատվածի ցուցանիշը:</w:t>
      </w:r>
    </w:p>
    <w:p w:rsidR="007173F4" w:rsidRPr="00B57DAB" w:rsidRDefault="007173F4" w:rsidP="007173F4">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 xml:space="preserve">Ռադիո ծառայությունների </w:t>
      </w:r>
      <w:r w:rsidR="0063343E" w:rsidRPr="00B57DAB">
        <w:rPr>
          <w:rFonts w:ascii="GHEA Grapalat" w:hAnsi="GHEA Grapalat" w:cs="Sylfaen"/>
          <w:sz w:val="22"/>
          <w:szCs w:val="22"/>
        </w:rPr>
        <w:t xml:space="preserve">միջոցառման </w:t>
      </w:r>
      <w:r w:rsidRPr="00B57DAB">
        <w:rPr>
          <w:rFonts w:ascii="GHEA Grapalat" w:hAnsi="GHEA Grapalat" w:cs="Times Armenian"/>
          <w:sz w:val="22"/>
          <w:szCs w:val="22"/>
        </w:rPr>
        <w:t>շրջանակներում</w:t>
      </w:r>
      <w:r w:rsidRPr="00B57DAB">
        <w:rPr>
          <w:rFonts w:ascii="GHEA Grapalat" w:hAnsi="GHEA Grapalat" w:cs="Sylfaen"/>
          <w:sz w:val="22"/>
          <w:szCs w:val="22"/>
        </w:rPr>
        <w:t xml:space="preserve"> իրականացվել են «Տեսալսողական մեդիայի մասին» </w:t>
      </w:r>
      <w:r w:rsidRPr="00B57DAB">
        <w:rPr>
          <w:rFonts w:ascii="GHEA Grapalat" w:hAnsi="GHEA Grapalat" w:cs="Times Armenian"/>
          <w:sz w:val="22"/>
          <w:szCs w:val="22"/>
        </w:rPr>
        <w:t xml:space="preserve">ՀՀ օրենքի </w:t>
      </w:r>
      <w:r w:rsidRPr="00B57DAB">
        <w:rPr>
          <w:rFonts w:ascii="GHEA Grapalat" w:hAnsi="GHEA Grapalat" w:cs="Sylfaen"/>
          <w:sz w:val="22"/>
          <w:szCs w:val="22"/>
        </w:rPr>
        <w:t>պահանջներին</w:t>
      </w:r>
      <w:r w:rsidRPr="00B57DAB">
        <w:rPr>
          <w:rFonts w:ascii="GHEA Grapalat" w:hAnsi="GHEA Grapalat" w:cs="Times Armenian"/>
          <w:sz w:val="22"/>
          <w:szCs w:val="22"/>
        </w:rPr>
        <w:t xml:space="preserve"> համապատասխան ռադիոհաղորդումների պատրաստում և հեռարձակում Հանրային ռադիոընկերության «Առաջին ծրագրի», «Երկրորդ ծրագրի» և «Հոգևոր-մշակութային» ռադիոալիքի ու Մայրաքաղաքային սփռման «Արևիկ», Համացանցային սփռման «Մշակույթ» ռադիոալիք</w:t>
      </w:r>
      <w:r w:rsidR="00BF1739" w:rsidRPr="00B57DAB">
        <w:rPr>
          <w:rFonts w:ascii="GHEA Grapalat" w:hAnsi="GHEA Grapalat" w:cs="Times Armenian"/>
          <w:sz w:val="22"/>
          <w:szCs w:val="22"/>
        </w:rPr>
        <w:t>ներ</w:t>
      </w:r>
      <w:r w:rsidRPr="00B57DAB">
        <w:rPr>
          <w:rFonts w:ascii="GHEA Grapalat" w:hAnsi="GHEA Grapalat" w:cs="Times Armenian"/>
          <w:sz w:val="22"/>
          <w:szCs w:val="22"/>
        </w:rPr>
        <w:t xml:space="preserve">ի եթերներում՝ յուրաքանչյուրում 2160 ժամ տևողությամբ, </w:t>
      </w:r>
      <w:r w:rsidR="00BF1739" w:rsidRPr="00B57DAB">
        <w:rPr>
          <w:rFonts w:ascii="GHEA Grapalat" w:hAnsi="GHEA Grapalat" w:cs="Times Armenian"/>
          <w:sz w:val="22"/>
          <w:szCs w:val="22"/>
        </w:rPr>
        <w:t>ինչպես նա</w:t>
      </w:r>
      <w:r w:rsidRPr="00B57DAB">
        <w:rPr>
          <w:rFonts w:ascii="GHEA Grapalat" w:hAnsi="GHEA Grapalat" w:cs="Times Armenian"/>
          <w:sz w:val="22"/>
          <w:szCs w:val="22"/>
        </w:rPr>
        <w:t>և ՀՀ տարածքում, Մերձավոր Արևելքի ու հարևան երկրներում հաղորդումների հեռարձակում՝ 202.5 ժամ տևողությամբ: Միջոցառման ծախսերը հաշվետու տարում կազմել են 187.5 մլն դրամ</w:t>
      </w:r>
      <w:r w:rsidR="0063343E" w:rsidRPr="00B57DAB">
        <w:rPr>
          <w:rFonts w:ascii="GHEA Grapalat" w:hAnsi="GHEA Grapalat" w:cs="Times Armenian"/>
          <w:sz w:val="22"/>
          <w:szCs w:val="22"/>
        </w:rPr>
        <w:t xml:space="preserve"> </w:t>
      </w:r>
      <w:r w:rsidR="0063343E" w:rsidRPr="00B57DAB">
        <w:rPr>
          <w:rFonts w:ascii="GHEA Grapalat" w:hAnsi="GHEA Grapalat" w:cs="Sylfaen"/>
          <w:sz w:val="22"/>
          <w:szCs w:val="22"/>
        </w:rPr>
        <w:t>(նախատեսվածի 81.1%-ը)</w:t>
      </w:r>
      <w:r w:rsidRPr="00B57DAB">
        <w:rPr>
          <w:rFonts w:ascii="GHEA Grapalat" w:hAnsi="GHEA Grapalat" w:cs="Times Armenian"/>
          <w:sz w:val="22"/>
          <w:szCs w:val="22"/>
        </w:rPr>
        <w:t xml:space="preserve"> և 3.6%-ով (7 մլն դրամով) զիջել նախորդ տարվա </w:t>
      </w:r>
      <w:r w:rsidR="00BF1739" w:rsidRPr="00B57DAB">
        <w:rPr>
          <w:rFonts w:ascii="GHEA Grapalat" w:hAnsi="GHEA Grapalat" w:cs="Sylfaen"/>
          <w:sz w:val="22"/>
          <w:szCs w:val="22"/>
        </w:rPr>
        <w:t>նույն ժամանակահատվածի</w:t>
      </w:r>
      <w:r w:rsidR="00BF1739" w:rsidRPr="00B57DAB">
        <w:rPr>
          <w:rFonts w:ascii="GHEA Grapalat" w:hAnsi="GHEA Grapalat" w:cs="Times Armenian"/>
          <w:sz w:val="22"/>
          <w:szCs w:val="22"/>
        </w:rPr>
        <w:t xml:space="preserve"> </w:t>
      </w:r>
      <w:r w:rsidRPr="00B57DAB">
        <w:rPr>
          <w:rFonts w:ascii="GHEA Grapalat" w:hAnsi="GHEA Grapalat" w:cs="Times Armenian"/>
          <w:sz w:val="22"/>
          <w:szCs w:val="22"/>
        </w:rPr>
        <w:t>ցուցանիշը</w:t>
      </w:r>
      <w:r w:rsidRPr="00B57DAB">
        <w:rPr>
          <w:rFonts w:ascii="GHEA Grapalat" w:hAnsi="GHEA Grapalat" w:cs="Sylfaen"/>
          <w:sz w:val="22"/>
          <w:szCs w:val="22"/>
        </w:rPr>
        <w:t>:</w:t>
      </w:r>
    </w:p>
    <w:p w:rsidR="003F2149" w:rsidRPr="00B57DAB" w:rsidRDefault="003F2149" w:rsidP="003F2149">
      <w:pPr>
        <w:autoSpaceDE w:val="0"/>
        <w:autoSpaceDN w:val="0"/>
        <w:adjustRightInd w:val="0"/>
        <w:spacing w:line="360" w:lineRule="auto"/>
        <w:ind w:firstLine="567"/>
        <w:jc w:val="both"/>
        <w:rPr>
          <w:rFonts w:ascii="GHEA Grapalat" w:hAnsi="GHEA Grapalat" w:cs="GHEA Grapalat"/>
          <w:i/>
          <w:sz w:val="22"/>
          <w:szCs w:val="22"/>
          <w:u w:val="single"/>
        </w:rPr>
      </w:pPr>
    </w:p>
    <w:p w:rsidR="007173F4" w:rsidRPr="00B57DAB" w:rsidRDefault="003F2149" w:rsidP="007173F4">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i/>
          <w:sz w:val="22"/>
          <w:szCs w:val="22"/>
          <w:u w:val="single"/>
          <w:lang w:val="hy-AM"/>
        </w:rPr>
        <w:t>ՀՀ հաշվեքննիչ պալատ</w:t>
      </w:r>
      <w:r w:rsidRPr="00B57DAB">
        <w:rPr>
          <w:rFonts w:ascii="GHEA Grapalat" w:hAnsi="GHEA Grapalat" w:cs="Sylfaen"/>
          <w:i/>
          <w:sz w:val="22"/>
          <w:szCs w:val="22"/>
          <w:u w:val="single"/>
        </w:rPr>
        <w:t>ին</w:t>
      </w:r>
      <w:r w:rsidRPr="00B57DAB">
        <w:rPr>
          <w:rFonts w:ascii="GHEA Grapalat" w:hAnsi="GHEA Grapalat" w:cs="Sylfaen"/>
          <w:sz w:val="22"/>
          <w:szCs w:val="22"/>
        </w:rPr>
        <w:t xml:space="preserve"> </w:t>
      </w:r>
      <w:r w:rsidR="007173F4" w:rsidRPr="00B57DAB">
        <w:rPr>
          <w:rFonts w:ascii="GHEA Grapalat" w:hAnsi="GHEA Grapalat" w:cs="Sylfaen"/>
          <w:i/>
          <w:sz w:val="22"/>
          <w:szCs w:val="22"/>
        </w:rPr>
        <w:t>Հանրային ֆինանսների և սեփականության ոլորտում հաշվեքննության</w:t>
      </w:r>
      <w:r w:rsidR="007173F4" w:rsidRPr="00B57DAB">
        <w:rPr>
          <w:rFonts w:ascii="GHEA Grapalat" w:hAnsi="GHEA Grapalat" w:cs="Sylfaen"/>
          <w:sz w:val="22"/>
          <w:szCs w:val="22"/>
        </w:rPr>
        <w:t xml:space="preserve"> ծրագրի շրջանակներում հաշվետու ժամանակահատվածում ՀՀ պետական բյուջեից տրամադրվել է 178.9</w:t>
      </w:r>
      <w:r w:rsidR="007173F4" w:rsidRPr="00B57DAB">
        <w:rPr>
          <w:rFonts w:ascii="GHEA Grapalat" w:hAnsi="GHEA Grapalat" w:cs="Times Armenian"/>
          <w:sz w:val="22"/>
          <w:szCs w:val="22"/>
        </w:rPr>
        <w:t xml:space="preserve"> մլն դրամ,</w:t>
      </w:r>
      <w:r w:rsidR="007173F4" w:rsidRPr="00B57DAB">
        <w:rPr>
          <w:rFonts w:ascii="GHEA Grapalat" w:hAnsi="GHEA Grapalat" w:cs="Sylfaen"/>
          <w:sz w:val="22"/>
          <w:szCs w:val="22"/>
        </w:rPr>
        <w:t xml:space="preserve"> որը կազմել է ծրագրված ցուցանիշի 92.7%-ը:</w:t>
      </w:r>
      <w:r w:rsidR="00F907D1" w:rsidRPr="00B57DAB">
        <w:rPr>
          <w:rFonts w:ascii="GHEA Grapalat" w:hAnsi="GHEA Grapalat" w:cs="Sylfaen"/>
          <w:sz w:val="22"/>
          <w:szCs w:val="22"/>
        </w:rPr>
        <w:t xml:space="preserve"> Շեղումը հիմնականում պայմանավորված է</w:t>
      </w:r>
      <w:r w:rsidR="006A411F" w:rsidRPr="00B57DAB">
        <w:rPr>
          <w:rFonts w:ascii="GHEA Grapalat" w:hAnsi="GHEA Grapalat" w:cs="Sylfaen"/>
          <w:sz w:val="22"/>
          <w:szCs w:val="22"/>
        </w:rPr>
        <w:t xml:space="preserve"> ներքին</w:t>
      </w:r>
      <w:r w:rsidR="00F907D1" w:rsidRPr="00B57DAB">
        <w:rPr>
          <w:rFonts w:ascii="GHEA Grapalat" w:hAnsi="GHEA Grapalat" w:cs="Sylfaen"/>
          <w:sz w:val="22"/>
          <w:szCs w:val="22"/>
        </w:rPr>
        <w:t xml:space="preserve"> գործուղումների գծով ծախսերի խնայողությամբ:</w:t>
      </w:r>
      <w:r w:rsidR="007173F4" w:rsidRPr="00B57DAB">
        <w:rPr>
          <w:rFonts w:ascii="GHEA Grapalat" w:hAnsi="GHEA Grapalat" w:cs="Sylfaen"/>
          <w:sz w:val="22"/>
          <w:szCs w:val="22"/>
        </w:rPr>
        <w:t xml:space="preserve"> Նախորդ տարվա համեմատ ՀՀ հաշվեքննիչ պալատի ծախսերն աճել են 16.3%-ով կամ </w:t>
      </w:r>
      <w:r w:rsidR="009D687C" w:rsidRPr="00B57DAB">
        <w:rPr>
          <w:rFonts w:ascii="GHEA Grapalat" w:hAnsi="GHEA Grapalat" w:cs="Sylfaen"/>
          <w:sz w:val="22"/>
          <w:szCs w:val="22"/>
        </w:rPr>
        <w:t>25</w:t>
      </w:r>
      <w:r w:rsidR="007173F4" w:rsidRPr="00B57DAB">
        <w:rPr>
          <w:rFonts w:ascii="GHEA Grapalat" w:hAnsi="GHEA Grapalat" w:cs="Sylfaen"/>
          <w:sz w:val="22"/>
          <w:szCs w:val="22"/>
        </w:rPr>
        <w:t xml:space="preserve"> մլն դրամով՝ հիմնականում պայմանավորված աշխատանքի վարձատրության ծախսերի աճով: Հաշվետու եռամսյակում Հաշվեքննիչ պալատի </w:t>
      </w:r>
      <w:r w:rsidR="009D687C" w:rsidRPr="00B57DAB">
        <w:rPr>
          <w:rFonts w:ascii="GHEA Grapalat" w:hAnsi="GHEA Grapalat" w:cs="Sylfaen"/>
          <w:sz w:val="22"/>
          <w:szCs w:val="22"/>
        </w:rPr>
        <w:t>կողմից</w:t>
      </w:r>
      <w:r w:rsidR="007173F4" w:rsidRPr="00B57DAB">
        <w:rPr>
          <w:rFonts w:ascii="GHEA Grapalat" w:hAnsi="GHEA Grapalat" w:cs="Sylfaen"/>
          <w:sz w:val="22"/>
          <w:szCs w:val="22"/>
        </w:rPr>
        <w:t xml:space="preserve"> իրականացվել են թվով </w:t>
      </w:r>
      <w:r w:rsidR="009D687C" w:rsidRPr="00B57DAB">
        <w:rPr>
          <w:rFonts w:ascii="GHEA Grapalat" w:hAnsi="GHEA Grapalat" w:cs="Sylfaen"/>
          <w:sz w:val="22"/>
          <w:szCs w:val="22"/>
        </w:rPr>
        <w:t>31</w:t>
      </w:r>
      <w:r w:rsidR="007173F4" w:rsidRPr="00B57DAB">
        <w:rPr>
          <w:rFonts w:ascii="GHEA Grapalat" w:hAnsi="GHEA Grapalat" w:cs="Sylfaen"/>
          <w:sz w:val="22"/>
          <w:szCs w:val="22"/>
        </w:rPr>
        <w:t xml:space="preserve"> հաշվեքննություններ</w:t>
      </w:r>
      <w:r w:rsidR="00443695" w:rsidRPr="00B57DAB">
        <w:rPr>
          <w:rFonts w:ascii="GHEA Grapalat" w:hAnsi="GHEA Grapalat" w:cs="Sylfaen"/>
          <w:sz w:val="22"/>
          <w:szCs w:val="22"/>
        </w:rPr>
        <w:t>՝ նախատեսված 23-ի փոխարեն</w:t>
      </w:r>
      <w:r w:rsidR="007173F4" w:rsidRPr="00B57DAB">
        <w:rPr>
          <w:rFonts w:ascii="GHEA Grapalat" w:hAnsi="GHEA Grapalat" w:cs="Sylfaen"/>
          <w:sz w:val="22"/>
          <w:szCs w:val="22"/>
        </w:rPr>
        <w:t>:</w:t>
      </w:r>
    </w:p>
    <w:p w:rsidR="003F2149" w:rsidRPr="00B57DAB" w:rsidRDefault="003F2149" w:rsidP="003F2149">
      <w:pPr>
        <w:spacing w:line="360" w:lineRule="auto"/>
        <w:ind w:firstLine="561"/>
        <w:jc w:val="both"/>
        <w:rPr>
          <w:rFonts w:ascii="GHEA Grapalat" w:hAnsi="GHEA Grapalat" w:cs="Sylfaen"/>
          <w:sz w:val="22"/>
          <w:szCs w:val="22"/>
        </w:rPr>
      </w:pPr>
      <w:r w:rsidRPr="00B57DAB">
        <w:rPr>
          <w:rFonts w:ascii="GHEA Grapalat" w:hAnsi="GHEA Grapalat" w:cs="Sylfaen"/>
          <w:sz w:val="22"/>
          <w:szCs w:val="22"/>
        </w:rPr>
        <w:t xml:space="preserve"> </w:t>
      </w:r>
    </w:p>
    <w:p w:rsidR="000D7EF5" w:rsidRPr="00B57DAB" w:rsidRDefault="003F2149" w:rsidP="000D7EF5">
      <w:pPr>
        <w:autoSpaceDE w:val="0"/>
        <w:autoSpaceDN w:val="0"/>
        <w:adjustRightInd w:val="0"/>
        <w:spacing w:line="360" w:lineRule="auto"/>
        <w:ind w:firstLine="567"/>
        <w:jc w:val="both"/>
        <w:rPr>
          <w:rFonts w:ascii="GHEA Grapalat" w:hAnsi="GHEA Grapalat"/>
          <w:sz w:val="22"/>
          <w:szCs w:val="22"/>
        </w:rPr>
      </w:pPr>
      <w:r w:rsidRPr="00B57DAB">
        <w:rPr>
          <w:rFonts w:ascii="GHEA Grapalat" w:hAnsi="GHEA Grapalat"/>
          <w:i/>
          <w:sz w:val="22"/>
          <w:szCs w:val="22"/>
          <w:u w:val="single"/>
          <w:lang w:val="hy-AM"/>
        </w:rPr>
        <w:t>Մարդու իրավունքների պաշտպանի աշխատակազմ</w:t>
      </w:r>
      <w:r w:rsidRPr="00B57DAB">
        <w:rPr>
          <w:rFonts w:ascii="GHEA Grapalat" w:hAnsi="GHEA Grapalat"/>
          <w:i/>
          <w:sz w:val="22"/>
          <w:szCs w:val="22"/>
          <w:u w:val="single"/>
        </w:rPr>
        <w:t>ի</w:t>
      </w:r>
      <w:r w:rsidRPr="00B57DAB">
        <w:rPr>
          <w:rFonts w:ascii="GHEA Grapalat" w:hAnsi="GHEA Grapalat"/>
          <w:sz w:val="22"/>
          <w:szCs w:val="22"/>
        </w:rPr>
        <w:t xml:space="preserve"> </w:t>
      </w:r>
      <w:r w:rsidR="000D7EF5" w:rsidRPr="00B57DAB">
        <w:rPr>
          <w:rFonts w:ascii="GHEA Grapalat" w:hAnsi="GHEA Grapalat"/>
          <w:sz w:val="22"/>
          <w:szCs w:val="22"/>
        </w:rPr>
        <w:t xml:space="preserve">պատասխանատվությամբ </w:t>
      </w:r>
      <w:r w:rsidR="000D7EF5" w:rsidRPr="00B57DAB">
        <w:rPr>
          <w:rFonts w:ascii="GHEA Grapalat" w:hAnsi="GHEA Grapalat"/>
          <w:i/>
          <w:sz w:val="22"/>
          <w:szCs w:val="22"/>
        </w:rPr>
        <w:t xml:space="preserve">Մարդու </w:t>
      </w:r>
      <w:r w:rsidR="000D7EF5" w:rsidRPr="00B57DAB">
        <w:rPr>
          <w:rFonts w:ascii="GHEA Grapalat" w:hAnsi="GHEA Grapalat" w:cs="Sylfaen"/>
          <w:i/>
          <w:sz w:val="22"/>
          <w:szCs w:val="22"/>
        </w:rPr>
        <w:t>իրավունքների պաշտպանության</w:t>
      </w:r>
      <w:r w:rsidR="000D7EF5" w:rsidRPr="00B57DAB">
        <w:rPr>
          <w:rFonts w:ascii="GHEA Grapalat" w:hAnsi="GHEA Grapalat" w:cs="Sylfaen"/>
          <w:sz w:val="22"/>
          <w:szCs w:val="22"/>
        </w:rPr>
        <w:t xml:space="preserve"> </w:t>
      </w:r>
      <w:r w:rsidR="000D7EF5" w:rsidRPr="00B57DAB">
        <w:rPr>
          <w:rFonts w:ascii="GHEA Grapalat" w:hAnsi="GHEA Grapalat"/>
          <w:sz w:val="22"/>
          <w:szCs w:val="22"/>
        </w:rPr>
        <w:t>ծրագրի շրջանակներում 2022 թվականի առաջին եռամսյակում ՀՀ պետական բյուջեի միջոցներով կատարվել են 112.4</w:t>
      </w:r>
      <w:r w:rsidR="000D7EF5" w:rsidRPr="00B57DAB">
        <w:rPr>
          <w:rFonts w:ascii="Courier New" w:hAnsi="Courier New" w:cs="Courier New"/>
          <w:sz w:val="22"/>
          <w:szCs w:val="22"/>
        </w:rPr>
        <w:t> </w:t>
      </w:r>
      <w:r w:rsidR="000D7EF5" w:rsidRPr="00B57DAB">
        <w:rPr>
          <w:rFonts w:ascii="GHEA Grapalat" w:hAnsi="GHEA Grapalat" w:cs="GHEA Grapalat"/>
          <w:sz w:val="22"/>
          <w:szCs w:val="22"/>
        </w:rPr>
        <w:t>մլն</w:t>
      </w:r>
      <w:r w:rsidR="000D7EF5" w:rsidRPr="00B57DAB">
        <w:rPr>
          <w:rFonts w:ascii="GHEA Grapalat" w:hAnsi="GHEA Grapalat"/>
          <w:sz w:val="22"/>
          <w:szCs w:val="22"/>
        </w:rPr>
        <w:t xml:space="preserve"> </w:t>
      </w:r>
      <w:r w:rsidR="000D7EF5" w:rsidRPr="00B57DAB">
        <w:rPr>
          <w:rFonts w:ascii="GHEA Grapalat" w:hAnsi="GHEA Grapalat" w:cs="GHEA Grapalat"/>
          <w:sz w:val="22"/>
          <w:szCs w:val="22"/>
        </w:rPr>
        <w:t>դրամ</w:t>
      </w:r>
      <w:r w:rsidR="000D7EF5" w:rsidRPr="00B57DAB">
        <w:rPr>
          <w:rFonts w:ascii="GHEA Grapalat" w:hAnsi="GHEA Grapalat"/>
          <w:sz w:val="22"/>
          <w:szCs w:val="22"/>
        </w:rPr>
        <w:t xml:space="preserve"> </w:t>
      </w:r>
      <w:r w:rsidR="000D7EF5" w:rsidRPr="00B57DAB">
        <w:rPr>
          <w:rFonts w:ascii="GHEA Grapalat" w:hAnsi="GHEA Grapalat" w:cs="GHEA Grapalat"/>
          <w:sz w:val="22"/>
          <w:szCs w:val="22"/>
        </w:rPr>
        <w:t>ծախսեր՝</w:t>
      </w:r>
      <w:r w:rsidR="000D7EF5" w:rsidRPr="00B57DAB">
        <w:rPr>
          <w:rFonts w:ascii="GHEA Grapalat" w:hAnsi="GHEA Grapalat"/>
          <w:sz w:val="22"/>
          <w:szCs w:val="22"/>
        </w:rPr>
        <w:t xml:space="preserve"> ապահովելով ծրագրված ցուցանիշի 78.3%-ը: </w:t>
      </w:r>
    </w:p>
    <w:p w:rsidR="000D7EF5" w:rsidRPr="00B57DAB" w:rsidRDefault="000D7EF5" w:rsidP="000D7EF5">
      <w:pPr>
        <w:autoSpaceDE w:val="0"/>
        <w:autoSpaceDN w:val="0"/>
        <w:adjustRightInd w:val="0"/>
        <w:spacing w:line="360" w:lineRule="auto"/>
        <w:ind w:firstLine="567"/>
        <w:jc w:val="both"/>
        <w:rPr>
          <w:rFonts w:ascii="GHEA Grapalat" w:hAnsi="GHEA Grapalat"/>
          <w:sz w:val="22"/>
          <w:szCs w:val="22"/>
        </w:rPr>
      </w:pPr>
      <w:r w:rsidRPr="00B57DAB">
        <w:rPr>
          <w:rFonts w:ascii="GHEA Grapalat" w:hAnsi="GHEA Grapalat"/>
          <w:sz w:val="22"/>
          <w:szCs w:val="22"/>
        </w:rPr>
        <w:t xml:space="preserve">Մարդու իրավունքների և հիմնարար ազատությունների պաշտպանության ծառայությունների տրամադրման միջոցառման շրջանակներում նախատեսված արդյունքային չափորոշիչների զգալի </w:t>
      </w:r>
      <w:r w:rsidRPr="00B57DAB">
        <w:rPr>
          <w:rFonts w:ascii="GHEA Grapalat" w:hAnsi="GHEA Grapalat"/>
          <w:sz w:val="22"/>
          <w:szCs w:val="22"/>
        </w:rPr>
        <w:lastRenderedPageBreak/>
        <w:t>մասի գծով արձանագրվել է գերակատարում: Միջոցառման ծախսերը կազմել են շուրջ 112.3</w:t>
      </w:r>
      <w:r w:rsidRPr="00B57DAB">
        <w:rPr>
          <w:rFonts w:ascii="Courier New" w:hAnsi="Courier New" w:cs="Courier New"/>
          <w:sz w:val="22"/>
          <w:szCs w:val="22"/>
        </w:rPr>
        <w:t> </w:t>
      </w:r>
      <w:r w:rsidRPr="00B57DAB">
        <w:rPr>
          <w:rFonts w:ascii="GHEA Grapalat" w:hAnsi="GHEA Grapalat" w:cs="GHEA Grapalat"/>
          <w:sz w:val="22"/>
          <w:szCs w:val="22"/>
        </w:rPr>
        <w:t>մլն</w:t>
      </w:r>
      <w:r w:rsidRPr="00B57DAB">
        <w:rPr>
          <w:rFonts w:ascii="GHEA Grapalat" w:hAnsi="GHEA Grapalat"/>
          <w:sz w:val="22"/>
          <w:szCs w:val="22"/>
        </w:rPr>
        <w:t xml:space="preserve"> </w:t>
      </w:r>
      <w:r w:rsidRPr="00B57DAB">
        <w:rPr>
          <w:rFonts w:ascii="GHEA Grapalat" w:hAnsi="GHEA Grapalat" w:cs="GHEA Grapalat"/>
          <w:sz w:val="22"/>
          <w:szCs w:val="22"/>
        </w:rPr>
        <w:t>դրամ</w:t>
      </w:r>
      <w:r w:rsidRPr="00B57DAB">
        <w:rPr>
          <w:rFonts w:ascii="GHEA Grapalat" w:hAnsi="GHEA Grapalat"/>
          <w:sz w:val="22"/>
          <w:szCs w:val="22"/>
        </w:rPr>
        <w:t>՝ ապահովելով 78.5% կատարողական, որ</w:t>
      </w:r>
      <w:r w:rsidRPr="00B57DAB">
        <w:rPr>
          <w:rFonts w:ascii="GHEA Grapalat" w:hAnsi="GHEA Grapalat" w:cs="Sylfaen"/>
          <w:sz w:val="22"/>
          <w:szCs w:val="22"/>
        </w:rPr>
        <w:t xml:space="preserve">ը հիմնականում </w:t>
      </w:r>
      <w:r w:rsidRPr="00B57DAB">
        <w:rPr>
          <w:rFonts w:ascii="GHEA Grapalat" w:hAnsi="GHEA Grapalat"/>
          <w:sz w:val="22"/>
          <w:szCs w:val="22"/>
        </w:rPr>
        <w:t xml:space="preserve">պայմանավորված է աշխատանքի վարձատրության ծախսերի տնտեսումներով, ինչպես նաև գնման ընթացակարգերով սահմանված պայմանագրերի կնքման և ապրանքների մատակարարման ժամկետներով: </w:t>
      </w:r>
    </w:p>
    <w:p w:rsidR="000D7EF5" w:rsidRPr="00B57DAB" w:rsidRDefault="000D7EF5" w:rsidP="000D7EF5">
      <w:pPr>
        <w:autoSpaceDE w:val="0"/>
        <w:autoSpaceDN w:val="0"/>
        <w:adjustRightInd w:val="0"/>
        <w:spacing w:line="360" w:lineRule="auto"/>
        <w:ind w:firstLine="567"/>
        <w:jc w:val="both"/>
        <w:rPr>
          <w:rFonts w:ascii="GHEA Grapalat" w:hAnsi="GHEA Grapalat"/>
          <w:sz w:val="22"/>
          <w:szCs w:val="22"/>
        </w:rPr>
      </w:pPr>
      <w:r w:rsidRPr="00B57DAB">
        <w:rPr>
          <w:rFonts w:ascii="GHEA Grapalat" w:hAnsi="GHEA Grapalat"/>
          <w:sz w:val="22"/>
          <w:szCs w:val="22"/>
        </w:rPr>
        <w:t>124 հազար դրամն օգտագործվել է ՀՀ մարդու իրավունքների պաշտպանի աշխատակազմի տեխնիկական հագեցվածության բարելավման նպատակով՝ կազմելով ծրագրային ցուցանիշի 28.7%</w:t>
      </w:r>
      <w:r w:rsidRPr="00B57DAB">
        <w:rPr>
          <w:rFonts w:ascii="GHEA Grapalat" w:hAnsi="GHEA Grapalat"/>
          <w:sz w:val="22"/>
          <w:szCs w:val="22"/>
        </w:rPr>
        <w:noBreakHyphen/>
        <w:t>ը: Շեղումը պայմանավորված է գնման ընթացակարգերով սահմանված պայմանագրերի կնքման և ապրանքների մատակարարման ժամկետներով:</w:t>
      </w:r>
    </w:p>
    <w:p w:rsidR="000D7EF5" w:rsidRPr="00B57DAB" w:rsidRDefault="000D7EF5" w:rsidP="000D7EF5">
      <w:pPr>
        <w:autoSpaceDE w:val="0"/>
        <w:autoSpaceDN w:val="0"/>
        <w:adjustRightInd w:val="0"/>
        <w:spacing w:line="360" w:lineRule="auto"/>
        <w:ind w:firstLine="567"/>
        <w:jc w:val="both"/>
        <w:rPr>
          <w:rFonts w:ascii="GHEA Grapalat" w:hAnsi="GHEA Grapalat"/>
          <w:sz w:val="22"/>
          <w:szCs w:val="22"/>
        </w:rPr>
      </w:pPr>
      <w:r w:rsidRPr="00B57DAB">
        <w:rPr>
          <w:rFonts w:ascii="GHEA Grapalat" w:hAnsi="GHEA Grapalat"/>
          <w:sz w:val="22"/>
          <w:szCs w:val="22"/>
        </w:rPr>
        <w:t xml:space="preserve"> Նախորդ տարվա առաջին եռամսյակի համեմատ Մարդու իրավունքների պաշտպանի աշխատակազմի պատասխանատվությամբ իրականացվող ծախսերն աճել են 55.1%-ով կամ ավելի քան 39.9 մլն դրամով, որը հիմնականում պայմանավորված է Մարդու </w:t>
      </w:r>
      <w:r w:rsidRPr="00B57DAB">
        <w:rPr>
          <w:rFonts w:ascii="GHEA Grapalat" w:hAnsi="GHEA Grapalat" w:cs="Sylfaen"/>
          <w:sz w:val="22"/>
          <w:szCs w:val="22"/>
        </w:rPr>
        <w:t xml:space="preserve">իրավունքների և հիմնարար ազատությունների պաշտպանության ծառայությունների գծով </w:t>
      </w:r>
      <w:r w:rsidRPr="00B57DAB">
        <w:rPr>
          <w:rFonts w:ascii="GHEA Grapalat" w:hAnsi="GHEA Grapalat"/>
          <w:sz w:val="22"/>
          <w:szCs w:val="22"/>
        </w:rPr>
        <w:t>ծախսերի 55</w:t>
      </w:r>
      <w:r w:rsidRPr="00B57DAB">
        <w:rPr>
          <w:rFonts w:ascii="GHEA Grapalat" w:hAnsi="GHEA Grapalat" w:cs="GHEA Grapalat"/>
          <w:sz w:val="22"/>
          <w:szCs w:val="22"/>
        </w:rPr>
        <w:t>% (39.8 մլն դրամ) աճով:</w:t>
      </w:r>
    </w:p>
    <w:p w:rsidR="003F2149" w:rsidRPr="00B57DAB" w:rsidRDefault="003F2149" w:rsidP="003F2149">
      <w:pPr>
        <w:spacing w:line="360" w:lineRule="auto"/>
        <w:ind w:firstLine="561"/>
        <w:jc w:val="both"/>
        <w:rPr>
          <w:rFonts w:ascii="GHEA Grapalat" w:hAnsi="GHEA Grapalat" w:cs="Sylfaen"/>
          <w:sz w:val="22"/>
          <w:szCs w:val="22"/>
        </w:rPr>
      </w:pPr>
    </w:p>
    <w:p w:rsidR="00454E98" w:rsidRPr="00B57DAB" w:rsidRDefault="003F2149" w:rsidP="00454E98">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GHEA Grapalat"/>
          <w:i/>
          <w:sz w:val="22"/>
          <w:szCs w:val="22"/>
          <w:u w:val="single"/>
          <w:lang w:val="hy-AM"/>
        </w:rPr>
        <w:t>ՀՀ միջուկային անվտանգության կարգավորման կոմիտեին</w:t>
      </w:r>
      <w:r w:rsidRPr="00B57DAB">
        <w:rPr>
          <w:rFonts w:ascii="GHEA Grapalat" w:hAnsi="GHEA Grapalat" w:cs="GHEA Grapalat"/>
          <w:sz w:val="22"/>
          <w:szCs w:val="22"/>
          <w:lang w:val="hy-AM"/>
        </w:rPr>
        <w:t xml:space="preserve"> </w:t>
      </w:r>
      <w:r w:rsidR="00454E98" w:rsidRPr="00B57DAB">
        <w:rPr>
          <w:rFonts w:ascii="GHEA Grapalat" w:hAnsi="GHEA Grapalat" w:cs="Sylfaen"/>
          <w:sz w:val="22"/>
          <w:szCs w:val="22"/>
        </w:rPr>
        <w:t xml:space="preserve">հատկացված միջոցներով իրականացվել է </w:t>
      </w:r>
      <w:r w:rsidR="00454E98" w:rsidRPr="00B57DAB">
        <w:rPr>
          <w:rFonts w:ascii="GHEA Grapalat" w:hAnsi="GHEA Grapalat" w:cs="Sylfaen"/>
          <w:i/>
          <w:sz w:val="22"/>
          <w:szCs w:val="22"/>
        </w:rPr>
        <w:t>Միջուկային և ճառագայթային անվտանգության կարգավորման</w:t>
      </w:r>
      <w:r w:rsidR="00454E98" w:rsidRPr="00B57DAB">
        <w:rPr>
          <w:rFonts w:ascii="GHEA Grapalat" w:hAnsi="GHEA Grapalat" w:cs="Sylfaen"/>
          <w:sz w:val="22"/>
          <w:szCs w:val="22"/>
        </w:rPr>
        <w:t xml:space="preserve"> </w:t>
      </w:r>
      <w:r w:rsidR="00454E98" w:rsidRPr="00B57DAB">
        <w:rPr>
          <w:rFonts w:ascii="GHEA Grapalat" w:hAnsi="GHEA Grapalat"/>
          <w:sz w:val="22"/>
          <w:szCs w:val="22"/>
        </w:rPr>
        <w:t>ծրագիրը</w:t>
      </w:r>
      <w:r w:rsidR="00454E98" w:rsidRPr="00B57DAB">
        <w:rPr>
          <w:rFonts w:ascii="GHEA Grapalat" w:hAnsi="GHEA Grapalat" w:cs="Sylfaen"/>
          <w:sz w:val="22"/>
          <w:szCs w:val="22"/>
        </w:rPr>
        <w:t xml:space="preserve">, որի կատարողականը </w:t>
      </w:r>
      <w:r w:rsidR="006F6844" w:rsidRPr="00B57DAB">
        <w:rPr>
          <w:rFonts w:ascii="GHEA Grapalat" w:hAnsi="GHEA Grapalat" w:cs="Sylfaen"/>
          <w:sz w:val="22"/>
          <w:szCs w:val="22"/>
        </w:rPr>
        <w:t xml:space="preserve">2022 թվականի առաջին եռամսյակում </w:t>
      </w:r>
      <w:r w:rsidR="00454E98" w:rsidRPr="00B57DAB">
        <w:rPr>
          <w:rFonts w:ascii="GHEA Grapalat" w:hAnsi="GHEA Grapalat" w:cs="Sylfaen"/>
          <w:sz w:val="22"/>
          <w:szCs w:val="22"/>
        </w:rPr>
        <w:t>կազմել է 95.2% կամ 55 մլն դրամ՝</w:t>
      </w:r>
      <w:r w:rsidR="00454E98" w:rsidRPr="00B57DAB">
        <w:t xml:space="preserve"> </w:t>
      </w:r>
      <w:r w:rsidR="00454E98" w:rsidRPr="00B57DAB">
        <w:rPr>
          <w:rFonts w:ascii="GHEA Grapalat" w:hAnsi="GHEA Grapalat" w:cs="Sylfaen"/>
          <w:sz w:val="22"/>
          <w:szCs w:val="22"/>
        </w:rPr>
        <w:t xml:space="preserve">պայմանավորված աշխատակիցների արձակուրդային վճարների տեղափոխմամբ և էներգետիկ ծառայությունների </w:t>
      </w:r>
      <w:r w:rsidR="006F6844" w:rsidRPr="00B57DAB">
        <w:rPr>
          <w:rFonts w:ascii="GHEA Grapalat" w:hAnsi="GHEA Grapalat" w:cs="Sylfaen"/>
          <w:sz w:val="22"/>
          <w:szCs w:val="22"/>
        </w:rPr>
        <w:t>գծով ծախսերի խնայողությամբ</w:t>
      </w:r>
      <w:r w:rsidR="00454E98" w:rsidRPr="00B57DAB">
        <w:rPr>
          <w:rFonts w:ascii="GHEA Grapalat" w:hAnsi="GHEA Grapalat" w:cs="Sylfaen"/>
          <w:sz w:val="22"/>
          <w:szCs w:val="22"/>
        </w:rPr>
        <w:t xml:space="preserve">: Նախորդ տարվա համեմատ կոմիտեի ծախսերն աճել են 30.2%-ով (12.8 մլն դրամով)՝ հիմնականում պայմանավորված </w:t>
      </w:r>
      <w:r w:rsidR="00454E98" w:rsidRPr="00B57DAB">
        <w:rPr>
          <w:rFonts w:ascii="GHEA Grapalat" w:hAnsi="GHEA Grapalat" w:cs="Sylfaen"/>
          <w:sz w:val="22"/>
          <w:szCs w:val="22"/>
          <w:lang w:val="af-ZA"/>
        </w:rPr>
        <w:t>պայմանագրային այլ ծառայությունների ձեռքբերման ծախսերի աճով: Ծրագրի շրջանակներում հաշվետու ժամանակահատվածում ՀՀ միջուկային անվտանգության կարգավորման կոմիտեի կողմից իրականացվել են միջուկային և ճառագայթային անվտանգության նորմերի ու կանոնների, լիցենզիայի պայմանների և պահանջների համապատասխանության 10 տեսչական ստուգումներ, տրամադրվել է ատոմային էներգիայի օգտագործման բնագավառում գործունեության իրականացման 150 լիցենզիա՝ կանխատեսված 140-ի փոխարեն:</w:t>
      </w:r>
    </w:p>
    <w:p w:rsidR="003F2149" w:rsidRPr="00B57DAB" w:rsidRDefault="003F2149" w:rsidP="003F2149">
      <w:pPr>
        <w:autoSpaceDE w:val="0"/>
        <w:autoSpaceDN w:val="0"/>
        <w:adjustRightInd w:val="0"/>
        <w:spacing w:line="360" w:lineRule="auto"/>
        <w:ind w:firstLine="567"/>
        <w:jc w:val="both"/>
        <w:rPr>
          <w:rFonts w:ascii="GHEA Grapalat" w:hAnsi="GHEA Grapalat" w:cs="GHEA Grapalat"/>
          <w:sz w:val="22"/>
          <w:szCs w:val="22"/>
        </w:rPr>
      </w:pPr>
    </w:p>
    <w:p w:rsidR="003F2149" w:rsidRPr="00B57DAB" w:rsidRDefault="003F2149" w:rsidP="003F2149">
      <w:pPr>
        <w:autoSpaceDE w:val="0"/>
        <w:autoSpaceDN w:val="0"/>
        <w:adjustRightInd w:val="0"/>
        <w:spacing w:line="360" w:lineRule="auto"/>
        <w:ind w:firstLine="567"/>
        <w:jc w:val="both"/>
        <w:rPr>
          <w:rFonts w:ascii="GHEA Grapalat" w:hAnsi="GHEA Grapalat" w:cs="Sylfaen"/>
          <w:sz w:val="22"/>
          <w:szCs w:val="22"/>
          <w:lang w:val="af-ZA"/>
        </w:rPr>
      </w:pPr>
      <w:r w:rsidRPr="00B57DAB">
        <w:rPr>
          <w:rFonts w:ascii="GHEA Grapalat" w:hAnsi="GHEA Grapalat" w:cs="GHEA Grapalat"/>
          <w:i/>
          <w:sz w:val="22"/>
          <w:szCs w:val="22"/>
          <w:u w:val="single"/>
          <w:lang w:val="hy-AM"/>
        </w:rPr>
        <w:t>ՀՀ քննչական կոմիտեի</w:t>
      </w:r>
      <w:r w:rsidR="00454E98" w:rsidRPr="00B57DAB">
        <w:rPr>
          <w:rFonts w:ascii="GHEA Grapalat" w:hAnsi="GHEA Grapalat" w:cs="Sylfaen"/>
          <w:sz w:val="22"/>
          <w:szCs w:val="22"/>
        </w:rPr>
        <w:t xml:space="preserve"> կողմից իրականացված </w:t>
      </w:r>
      <w:r w:rsidR="00454E98" w:rsidRPr="00B57DAB">
        <w:rPr>
          <w:rFonts w:ascii="GHEA Grapalat" w:hAnsi="GHEA Grapalat" w:cs="Sylfaen"/>
          <w:i/>
          <w:sz w:val="22"/>
          <w:szCs w:val="22"/>
        </w:rPr>
        <w:t>«ՀՀ քննչական ծառայություններ»</w:t>
      </w:r>
      <w:r w:rsidR="00454E98" w:rsidRPr="00B57DAB">
        <w:rPr>
          <w:rFonts w:ascii="GHEA Grapalat" w:hAnsi="GHEA Grapalat" w:cs="Sylfaen"/>
          <w:sz w:val="22"/>
          <w:szCs w:val="22"/>
        </w:rPr>
        <w:t xml:space="preserve"> ծրագրի շրջանակներում 2022 թվականի առաջին եռամսյակի ընթացքում կատարվել են ավելի քան 1.3 մլրդ դրամ ծախսեր՝ կազմելով ծրագրային ցուցանիշի 90.7%-ը: Շեղումը հիմնականում պայմանավորված </w:t>
      </w:r>
      <w:r w:rsidR="00454E98" w:rsidRPr="00B57DAB">
        <w:rPr>
          <w:rFonts w:ascii="GHEA Grapalat" w:hAnsi="GHEA Grapalat" w:cs="Sylfaen"/>
          <w:sz w:val="22"/>
          <w:szCs w:val="22"/>
          <w:lang w:val="af-ZA"/>
        </w:rPr>
        <w:t xml:space="preserve">է </w:t>
      </w:r>
      <w:r w:rsidR="006F6844" w:rsidRPr="00B57DAB">
        <w:rPr>
          <w:rFonts w:ascii="GHEA Grapalat" w:hAnsi="GHEA Grapalat" w:cs="Sylfaen"/>
          <w:sz w:val="22"/>
          <w:szCs w:val="22"/>
          <w:lang w:val="af-ZA"/>
        </w:rPr>
        <w:t xml:space="preserve">մարտի վերջին մատակարարված ապրանքների </w:t>
      </w:r>
      <w:r w:rsidR="00454E98" w:rsidRPr="00B57DAB">
        <w:rPr>
          <w:rFonts w:ascii="GHEA Grapalat" w:hAnsi="GHEA Grapalat" w:cs="Sylfaen"/>
          <w:sz w:val="22"/>
          <w:szCs w:val="22"/>
          <w:lang w:val="af-ZA"/>
        </w:rPr>
        <w:t xml:space="preserve">և ծառայությունների </w:t>
      </w:r>
      <w:r w:rsidR="006F6844" w:rsidRPr="00B57DAB">
        <w:rPr>
          <w:rFonts w:ascii="GHEA Grapalat" w:hAnsi="GHEA Grapalat" w:cs="Sylfaen"/>
          <w:sz w:val="22"/>
          <w:szCs w:val="22"/>
          <w:lang w:val="af-ZA"/>
        </w:rPr>
        <w:t xml:space="preserve">դիմաց </w:t>
      </w:r>
      <w:r w:rsidR="00454E98" w:rsidRPr="00B57DAB">
        <w:rPr>
          <w:rFonts w:ascii="GHEA Grapalat" w:hAnsi="GHEA Grapalat" w:cs="Sylfaen"/>
          <w:sz w:val="22"/>
          <w:szCs w:val="22"/>
          <w:lang w:val="af-ZA"/>
        </w:rPr>
        <w:t xml:space="preserve">վճարումները </w:t>
      </w:r>
      <w:r w:rsidR="006F6844" w:rsidRPr="00B57DAB">
        <w:rPr>
          <w:rFonts w:ascii="GHEA Grapalat" w:hAnsi="GHEA Grapalat" w:cs="Sylfaen"/>
          <w:sz w:val="22"/>
          <w:szCs w:val="22"/>
          <w:lang w:val="af-ZA"/>
        </w:rPr>
        <w:t>երկր</w:t>
      </w:r>
      <w:r w:rsidR="00454E98" w:rsidRPr="00B57DAB">
        <w:rPr>
          <w:rFonts w:ascii="GHEA Grapalat" w:hAnsi="GHEA Grapalat" w:cs="Sylfaen"/>
          <w:sz w:val="22"/>
          <w:szCs w:val="22"/>
          <w:lang w:val="af-ZA"/>
        </w:rPr>
        <w:t>որդ եռամսյակ</w:t>
      </w:r>
      <w:r w:rsidR="006F6844" w:rsidRPr="00B57DAB">
        <w:rPr>
          <w:rFonts w:ascii="GHEA Grapalat" w:hAnsi="GHEA Grapalat" w:cs="Sylfaen"/>
          <w:sz w:val="22"/>
          <w:szCs w:val="22"/>
          <w:lang w:val="af-ZA"/>
        </w:rPr>
        <w:t>ում իրականացնելու հանգամանքով</w:t>
      </w:r>
      <w:r w:rsidR="00454E98" w:rsidRPr="00B57DAB">
        <w:rPr>
          <w:rFonts w:ascii="GHEA Grapalat" w:hAnsi="GHEA Grapalat" w:cs="Sylfaen"/>
          <w:sz w:val="22"/>
          <w:szCs w:val="22"/>
          <w:lang w:val="af-ZA"/>
        </w:rPr>
        <w:t xml:space="preserve">: Նախորդ տարվա </w:t>
      </w:r>
      <w:r w:rsidR="00AB4DE3" w:rsidRPr="00B57DAB">
        <w:rPr>
          <w:rFonts w:ascii="GHEA Grapalat" w:hAnsi="GHEA Grapalat" w:cs="Sylfaen"/>
          <w:sz w:val="22"/>
          <w:szCs w:val="22"/>
          <w:lang w:val="af-ZA"/>
        </w:rPr>
        <w:t xml:space="preserve">առաջին եռամսյակի </w:t>
      </w:r>
      <w:r w:rsidR="00454E98" w:rsidRPr="00B57DAB">
        <w:rPr>
          <w:rFonts w:ascii="GHEA Grapalat" w:hAnsi="GHEA Grapalat" w:cs="Sylfaen"/>
          <w:sz w:val="22"/>
          <w:szCs w:val="22"/>
          <w:lang w:val="af-ZA"/>
        </w:rPr>
        <w:t xml:space="preserve">համեմատ կոմիտեի ծախսերն աճել են 12.2%-ով կամ 144.8 մլն դրամով՝ հիմնականում պայմանավորված քրեական գործերով վարույթի իրականացման միջոցառման գծով </w:t>
      </w:r>
      <w:r w:rsidR="006F6844" w:rsidRPr="00B57DAB">
        <w:rPr>
          <w:rFonts w:ascii="GHEA Grapalat" w:hAnsi="GHEA Grapalat" w:cs="Sylfaen"/>
          <w:sz w:val="22"/>
          <w:szCs w:val="22"/>
          <w:lang w:val="af-ZA"/>
        </w:rPr>
        <w:t xml:space="preserve">ծախսերի </w:t>
      </w:r>
      <w:r w:rsidR="006F6844" w:rsidRPr="00B57DAB">
        <w:rPr>
          <w:rFonts w:ascii="GHEA Grapalat" w:hAnsi="GHEA Grapalat" w:cs="Sylfaen"/>
          <w:sz w:val="22"/>
          <w:szCs w:val="22"/>
          <w:lang w:val="af-ZA"/>
        </w:rPr>
        <w:lastRenderedPageBreak/>
        <w:t>աճով</w:t>
      </w:r>
      <w:r w:rsidR="00ED277E" w:rsidRPr="00B57DAB">
        <w:rPr>
          <w:rFonts w:ascii="GHEA Grapalat" w:hAnsi="GHEA Grapalat" w:cs="Sylfaen"/>
          <w:sz w:val="22"/>
          <w:szCs w:val="22"/>
          <w:lang w:val="af-ZA"/>
        </w:rPr>
        <w:t>, որոնք կազմել են 1.3 մլրդ դրամ կամ ծրագրված ցուցանիշի 90.7%</w:t>
      </w:r>
      <w:r w:rsidR="00AB4DE3" w:rsidRPr="00B57DAB">
        <w:rPr>
          <w:rFonts w:ascii="GHEA Grapalat" w:hAnsi="GHEA Grapalat" w:cs="Sylfaen"/>
          <w:sz w:val="22"/>
          <w:szCs w:val="22"/>
          <w:lang w:val="af-ZA"/>
        </w:rPr>
        <w:t>-ը և 12.2%-ով (143.4 մլն դրամով) գերազանցելով նախորդ տարվա ցուցանիշը:</w:t>
      </w:r>
      <w:r w:rsidR="00ED277E" w:rsidRPr="00B57DAB">
        <w:rPr>
          <w:rFonts w:ascii="GHEA Grapalat" w:hAnsi="GHEA Grapalat" w:cs="Sylfaen"/>
          <w:sz w:val="22"/>
          <w:szCs w:val="22"/>
          <w:lang w:val="af-ZA"/>
        </w:rPr>
        <w:t xml:space="preserve"> Միջոցառման շրջանակներում </w:t>
      </w:r>
      <w:r w:rsidR="00AB4DE3" w:rsidRPr="00B57DAB">
        <w:rPr>
          <w:rFonts w:ascii="GHEA Grapalat" w:hAnsi="GHEA Grapalat" w:cs="Sylfaen"/>
          <w:sz w:val="22"/>
          <w:szCs w:val="22"/>
          <w:lang w:val="af-ZA"/>
        </w:rPr>
        <w:t>վա</w:t>
      </w:r>
      <w:r w:rsidR="00ED277E" w:rsidRPr="00B57DAB">
        <w:rPr>
          <w:rFonts w:ascii="GHEA Grapalat" w:hAnsi="GHEA Grapalat" w:cs="Sylfaen"/>
          <w:sz w:val="22"/>
          <w:szCs w:val="22"/>
          <w:lang w:val="af-ZA"/>
        </w:rPr>
        <w:t xml:space="preserve">րույթում </w:t>
      </w:r>
      <w:r w:rsidR="00AB4DE3" w:rsidRPr="00B57DAB">
        <w:rPr>
          <w:rFonts w:ascii="GHEA Grapalat" w:hAnsi="GHEA Grapalat" w:cs="Sylfaen"/>
          <w:sz w:val="22"/>
          <w:szCs w:val="22"/>
          <w:lang w:val="af-ZA"/>
        </w:rPr>
        <w:t>գտնվող քրեական գործերի թիվը կազմել է 15807՝ կանխատեսված 12000-ի դիմաց, ստացված դիմումների և բողոքների թիվը՝ 5759՝ կանխատեսված 6500-ի դիմաց:</w:t>
      </w:r>
    </w:p>
    <w:p w:rsidR="003F2149" w:rsidRPr="00B57DAB" w:rsidRDefault="003F2149" w:rsidP="003F2149">
      <w:pPr>
        <w:autoSpaceDE w:val="0"/>
        <w:autoSpaceDN w:val="0"/>
        <w:adjustRightInd w:val="0"/>
        <w:spacing w:line="360" w:lineRule="auto"/>
        <w:ind w:firstLine="567"/>
        <w:jc w:val="both"/>
        <w:rPr>
          <w:rFonts w:ascii="GHEA Grapalat" w:hAnsi="GHEA Grapalat" w:cs="Sylfaen"/>
          <w:sz w:val="22"/>
          <w:szCs w:val="22"/>
          <w:lang w:val="af-ZA"/>
        </w:rPr>
      </w:pPr>
    </w:p>
    <w:p w:rsidR="00454E98" w:rsidRPr="00B57DAB" w:rsidRDefault="003F2149" w:rsidP="00454E98">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GHEA Grapalat"/>
          <w:i/>
          <w:sz w:val="22"/>
          <w:szCs w:val="22"/>
          <w:u w:val="single"/>
          <w:lang w:val="hy-AM"/>
        </w:rPr>
        <w:t>ՀՀ քաղաքաշինության կոմիտեի</w:t>
      </w:r>
      <w:r w:rsidRPr="00B57DAB">
        <w:rPr>
          <w:rFonts w:ascii="GHEA Grapalat" w:hAnsi="GHEA Grapalat" w:cs="Sylfaen"/>
          <w:sz w:val="22"/>
          <w:szCs w:val="22"/>
          <w:lang w:val="hy-AM"/>
        </w:rPr>
        <w:t xml:space="preserve"> </w:t>
      </w:r>
      <w:r w:rsidR="00454E98" w:rsidRPr="00B57DAB">
        <w:rPr>
          <w:rFonts w:ascii="GHEA Grapalat" w:hAnsi="GHEA Grapalat" w:cs="Sylfaen"/>
          <w:sz w:val="22"/>
          <w:szCs w:val="22"/>
        </w:rPr>
        <w:t xml:space="preserve">պատասխանատվությամբ հաշվետու ժամանակահատվածում պետական բյուջեի միջոցներով կատարվել են շուրջ 129.6 մլն դրամ ծախսեր՝ կազմելով ծրագրված ցուցանիշի 50.2%-ը: Հատկացված միջոցներն ուղղվել են </w:t>
      </w:r>
      <w:r w:rsidR="00454E98" w:rsidRPr="00B57DAB">
        <w:rPr>
          <w:rFonts w:ascii="GHEA Grapalat" w:hAnsi="GHEA Grapalat" w:cs="Sylfaen"/>
          <w:i/>
          <w:iCs/>
          <w:sz w:val="22"/>
          <w:szCs w:val="22"/>
        </w:rPr>
        <w:t>Քաղաքաշինության և ճարտարապետության բնագավառում պետական քաղաքականության իրականացման և կանոնակարգման</w:t>
      </w:r>
      <w:r w:rsidR="00454E98" w:rsidRPr="00B57DAB">
        <w:rPr>
          <w:rFonts w:ascii="GHEA Grapalat" w:hAnsi="GHEA Grapalat" w:cs="Sylfaen"/>
          <w:sz w:val="22"/>
          <w:szCs w:val="22"/>
        </w:rPr>
        <w:t xml:space="preserve"> </w:t>
      </w:r>
      <w:r w:rsidR="00454E98" w:rsidRPr="00B57DAB">
        <w:rPr>
          <w:rFonts w:ascii="GHEA Grapalat" w:hAnsi="GHEA Grapalat" w:cs="Sylfaen"/>
          <w:i/>
          <w:iCs/>
          <w:sz w:val="22"/>
          <w:szCs w:val="22"/>
        </w:rPr>
        <w:t>ծրագրի</w:t>
      </w:r>
      <w:r w:rsidR="0011667C" w:rsidRPr="00B57DAB">
        <w:rPr>
          <w:rFonts w:ascii="GHEA Grapalat" w:hAnsi="GHEA Grapalat" w:cs="Sylfaen"/>
          <w:i/>
          <w:iCs/>
          <w:sz w:val="22"/>
          <w:szCs w:val="22"/>
        </w:rPr>
        <w:t>ն</w:t>
      </w:r>
      <w:r w:rsidR="00454E98" w:rsidRPr="00B57DAB">
        <w:rPr>
          <w:rFonts w:ascii="GHEA Grapalat" w:hAnsi="GHEA Grapalat" w:cs="Sylfaen"/>
          <w:sz w:val="22"/>
          <w:szCs w:val="22"/>
        </w:rPr>
        <w:t>: Շեղումը հիմնականում պայմանավորված է նորմատիվատեխնիկական փաստաթղթերի մշակման</w:t>
      </w:r>
      <w:r w:rsidR="004A782A" w:rsidRPr="00B57DAB">
        <w:rPr>
          <w:rFonts w:ascii="GHEA Grapalat" w:hAnsi="GHEA Grapalat" w:cs="Sylfaen"/>
          <w:sz w:val="22"/>
          <w:szCs w:val="22"/>
        </w:rPr>
        <w:t xml:space="preserve"> </w:t>
      </w:r>
      <w:r w:rsidR="00454E98" w:rsidRPr="00B57DAB">
        <w:rPr>
          <w:rFonts w:ascii="GHEA Grapalat" w:hAnsi="GHEA Grapalat" w:cs="Sylfaen"/>
          <w:sz w:val="22"/>
          <w:szCs w:val="22"/>
        </w:rPr>
        <w:t xml:space="preserve">և տեղայնացման միջոցառման </w:t>
      </w:r>
      <w:r w:rsidR="0011667C" w:rsidRPr="00B57DAB">
        <w:rPr>
          <w:rFonts w:ascii="GHEA Grapalat" w:hAnsi="GHEA Grapalat" w:cs="Sylfaen"/>
          <w:sz w:val="22"/>
          <w:szCs w:val="22"/>
        </w:rPr>
        <w:t xml:space="preserve">ցածր </w:t>
      </w:r>
      <w:r w:rsidR="00454E98" w:rsidRPr="00B57DAB">
        <w:rPr>
          <w:rFonts w:ascii="GHEA Grapalat" w:hAnsi="GHEA Grapalat" w:cs="Sylfaen"/>
          <w:sz w:val="22"/>
          <w:szCs w:val="22"/>
        </w:rPr>
        <w:t>կատարողականով</w:t>
      </w:r>
      <w:r w:rsidR="0011667C" w:rsidRPr="00B57DAB">
        <w:rPr>
          <w:rFonts w:ascii="GHEA Grapalat" w:hAnsi="GHEA Grapalat" w:cs="Sylfaen"/>
          <w:sz w:val="22"/>
          <w:szCs w:val="22"/>
        </w:rPr>
        <w:t>, որը կազմել է 6.6% կամ</w:t>
      </w:r>
      <w:r w:rsidR="00454E98" w:rsidRPr="00B57DAB">
        <w:rPr>
          <w:rFonts w:ascii="GHEA Grapalat" w:hAnsi="GHEA Grapalat" w:cs="Sylfaen"/>
          <w:sz w:val="22"/>
          <w:szCs w:val="22"/>
        </w:rPr>
        <w:t xml:space="preserve"> 4.3 մլն դրամ և քաղաքաշինության բնագավառում պետական ծրագրերի իրականացման ապահովման համար առաջին </w:t>
      </w:r>
      <w:r w:rsidR="0011667C" w:rsidRPr="00B57DAB">
        <w:rPr>
          <w:rFonts w:ascii="GHEA Grapalat" w:hAnsi="GHEA Grapalat" w:cs="Sylfaen"/>
          <w:sz w:val="22"/>
          <w:szCs w:val="22"/>
        </w:rPr>
        <w:t>եռամսյակում նախատեսված գումարը՝ 42.1 մլն դրամը չօգտագործ</w:t>
      </w:r>
      <w:bookmarkStart w:id="70" w:name="_Hlk69997696"/>
      <w:r w:rsidR="0011667C" w:rsidRPr="00B57DAB">
        <w:rPr>
          <w:rFonts w:ascii="GHEA Grapalat" w:hAnsi="GHEA Grapalat" w:cs="Sylfaen"/>
          <w:sz w:val="22"/>
          <w:szCs w:val="22"/>
        </w:rPr>
        <w:t>ելու հանգամանքով:</w:t>
      </w:r>
      <w:r w:rsidR="00454E98" w:rsidRPr="00B57DAB">
        <w:rPr>
          <w:rFonts w:ascii="GHEA Grapalat" w:hAnsi="GHEA Grapalat" w:cs="Sylfaen"/>
          <w:sz w:val="22"/>
          <w:szCs w:val="22"/>
        </w:rPr>
        <w:t xml:space="preserve"> </w:t>
      </w:r>
      <w:r w:rsidR="0011667C" w:rsidRPr="00B57DAB">
        <w:rPr>
          <w:rFonts w:ascii="GHEA Grapalat" w:hAnsi="GHEA Grapalat" w:cs="Sylfaen"/>
          <w:sz w:val="22"/>
          <w:szCs w:val="22"/>
        </w:rPr>
        <w:t xml:space="preserve">Նշված երկու միջոցառումների շրջանակներում </w:t>
      </w:r>
      <w:r w:rsidR="00695517" w:rsidRPr="00B57DAB">
        <w:rPr>
          <w:rFonts w:ascii="GHEA Grapalat" w:hAnsi="GHEA Grapalat" w:cs="Sylfaen"/>
          <w:sz w:val="22"/>
          <w:szCs w:val="22"/>
        </w:rPr>
        <w:t xml:space="preserve">կատարված աշխատանքների դիմաց վճարումները կատարվել են </w:t>
      </w:r>
      <w:r w:rsidR="00454E98" w:rsidRPr="00B57DAB">
        <w:rPr>
          <w:rFonts w:ascii="GHEA Grapalat" w:hAnsi="GHEA Grapalat" w:cs="Sylfaen"/>
          <w:sz w:val="22"/>
          <w:szCs w:val="22"/>
        </w:rPr>
        <w:t>ապրիլ</w:t>
      </w:r>
      <w:r w:rsidR="00695517" w:rsidRPr="00B57DAB">
        <w:rPr>
          <w:rFonts w:ascii="GHEA Grapalat" w:hAnsi="GHEA Grapalat" w:cs="Sylfaen"/>
          <w:sz w:val="22"/>
          <w:szCs w:val="22"/>
        </w:rPr>
        <w:t xml:space="preserve"> ամս</w:t>
      </w:r>
      <w:r w:rsidR="00454E98" w:rsidRPr="00B57DAB">
        <w:rPr>
          <w:rFonts w:ascii="GHEA Grapalat" w:hAnsi="GHEA Grapalat" w:cs="Sylfaen"/>
          <w:sz w:val="22"/>
          <w:szCs w:val="22"/>
        </w:rPr>
        <w:t>ին:</w:t>
      </w:r>
      <w:r w:rsidR="00454E98" w:rsidRPr="00B57DAB">
        <w:t xml:space="preserve"> </w:t>
      </w:r>
    </w:p>
    <w:p w:rsidR="00454E98" w:rsidRPr="00B57DAB" w:rsidRDefault="00454E98" w:rsidP="00454E98">
      <w:pPr>
        <w:autoSpaceDE w:val="0"/>
        <w:autoSpaceDN w:val="0"/>
        <w:adjustRightInd w:val="0"/>
        <w:spacing w:line="360" w:lineRule="auto"/>
        <w:ind w:firstLine="567"/>
        <w:jc w:val="both"/>
        <w:rPr>
          <w:rFonts w:ascii="GHEA Grapalat" w:hAnsi="GHEA Grapalat" w:cs="Sylfaen"/>
          <w:sz w:val="22"/>
          <w:szCs w:val="22"/>
        </w:rPr>
      </w:pPr>
      <w:r w:rsidRPr="00B57DAB">
        <w:rPr>
          <w:rFonts w:ascii="GHEA Grapalat" w:hAnsi="GHEA Grapalat" w:cs="Sylfaen"/>
          <w:sz w:val="22"/>
          <w:szCs w:val="22"/>
        </w:rPr>
        <w:t>Քաղաքաշինության և ճարտարապետության բնագավառում պետական քաղաքականության մշակման, իրականացման, համակարգման, պլանավորման, մոնիտորինգի, կապիտալ ծրագրերի կատարման, պետական գնումների իրականացման ծառայության</w:t>
      </w:r>
      <w:bookmarkEnd w:id="70"/>
      <w:r w:rsidRPr="00B57DAB">
        <w:rPr>
          <w:rFonts w:ascii="GHEA Grapalat" w:hAnsi="GHEA Grapalat" w:cs="Sylfaen"/>
          <w:sz w:val="22"/>
          <w:szCs w:val="22"/>
        </w:rPr>
        <w:t xml:space="preserve"> միջոցառման ծախսերը կազմել են 92.6 մլն դրամ կամ ծրագրված ցուցանիշի 85.6%-ը՝ հիմնականում պայմանավորված գնման գործընթացի պատճառով վճարումների մի մասը հաջորդ եռամսյակ տեղափոխելու հանգամանքով: </w:t>
      </w:r>
      <w:r w:rsidRPr="00B57DAB">
        <w:rPr>
          <w:rFonts w:ascii="GHEA Grapalat" w:hAnsi="GHEA Grapalat" w:cs="Sylfaen"/>
          <w:bCs/>
          <w:sz w:val="22"/>
          <w:szCs w:val="22"/>
        </w:rPr>
        <w:t xml:space="preserve">Նախորդ տարվա </w:t>
      </w:r>
      <w:r w:rsidR="00695517" w:rsidRPr="00B57DAB">
        <w:rPr>
          <w:rFonts w:ascii="GHEA Grapalat" w:hAnsi="GHEA Grapalat" w:cs="Sylfaen"/>
          <w:bCs/>
          <w:sz w:val="22"/>
          <w:szCs w:val="22"/>
        </w:rPr>
        <w:t xml:space="preserve">առաջին եռամսյակի </w:t>
      </w:r>
      <w:r w:rsidRPr="00B57DAB">
        <w:rPr>
          <w:rFonts w:ascii="GHEA Grapalat" w:hAnsi="GHEA Grapalat" w:cs="Sylfaen"/>
          <w:bCs/>
          <w:sz w:val="22"/>
          <w:szCs w:val="22"/>
        </w:rPr>
        <w:t>համեմատ ՀՀ քաղաքաշինության կոմիտեի ծախսերն աճել են 30.8%-ով (30.5 մլն դրամով)՝ հիմնականում պայմանավորված միկրոռեգիոնալ մակարդակի համակցված տարածական պլանավորման փաստաթղթերի մշակման միջոցառման ծախսերով (27 մլն դրամ), որի գծով 2021 թվականին միջոցներ չէին նախատեսվել:</w:t>
      </w:r>
    </w:p>
    <w:p w:rsidR="003F2149" w:rsidRPr="00B57DAB" w:rsidRDefault="003F2149" w:rsidP="003F2149">
      <w:pPr>
        <w:autoSpaceDE w:val="0"/>
        <w:autoSpaceDN w:val="0"/>
        <w:adjustRightInd w:val="0"/>
        <w:spacing w:line="360" w:lineRule="auto"/>
        <w:ind w:firstLine="567"/>
        <w:jc w:val="both"/>
        <w:rPr>
          <w:rFonts w:ascii="GHEA Grapalat" w:hAnsi="GHEA Grapalat" w:cs="Sylfaen"/>
          <w:sz w:val="22"/>
          <w:szCs w:val="22"/>
          <w:lang w:val="hy-AM"/>
        </w:rPr>
      </w:pPr>
    </w:p>
    <w:p w:rsidR="00454E98" w:rsidRPr="00B57DAB" w:rsidRDefault="003F2149" w:rsidP="00454E98">
      <w:pPr>
        <w:pStyle w:val="NoSpacing"/>
        <w:spacing w:line="360" w:lineRule="auto"/>
        <w:ind w:firstLine="567"/>
        <w:jc w:val="both"/>
        <w:rPr>
          <w:rFonts w:ascii="GHEA Grapalat" w:hAnsi="GHEA Grapalat" w:cs="Arial"/>
          <w:bCs/>
        </w:rPr>
      </w:pPr>
      <w:r w:rsidRPr="00B57DAB">
        <w:rPr>
          <w:rFonts w:ascii="GHEA Grapalat" w:hAnsi="GHEA Grapalat"/>
          <w:i/>
          <w:u w:val="single"/>
          <w:lang w:val="hy-AM"/>
        </w:rPr>
        <w:t>Կոռուպցիայի կանխարգելման հանձնաժողովի</w:t>
      </w:r>
      <w:r w:rsidRPr="00B57DAB">
        <w:rPr>
          <w:rFonts w:ascii="GHEA Grapalat" w:hAnsi="GHEA Grapalat"/>
          <w:lang w:val="hy-AM"/>
        </w:rPr>
        <w:t xml:space="preserve"> </w:t>
      </w:r>
      <w:r w:rsidR="00454E98" w:rsidRPr="00B57DAB">
        <w:rPr>
          <w:rFonts w:ascii="GHEA Grapalat" w:hAnsi="GHEA Grapalat" w:cs="Arial"/>
          <w:lang w:val="hy-AM"/>
        </w:rPr>
        <w:t>պատասխանատվությամբ</w:t>
      </w:r>
      <w:r w:rsidR="00454E98" w:rsidRPr="00B57DAB">
        <w:rPr>
          <w:rFonts w:ascii="GHEA Grapalat" w:hAnsi="GHEA Grapalat"/>
          <w:lang w:val="hy-AM"/>
        </w:rPr>
        <w:t xml:space="preserve"> 202</w:t>
      </w:r>
      <w:r w:rsidR="00454E98" w:rsidRPr="00B57DAB">
        <w:rPr>
          <w:rFonts w:ascii="GHEA Grapalat" w:hAnsi="GHEA Grapalat"/>
        </w:rPr>
        <w:t>2</w:t>
      </w:r>
      <w:r w:rsidR="00454E98" w:rsidRPr="00B57DAB">
        <w:rPr>
          <w:rFonts w:ascii="GHEA Grapalat" w:hAnsi="GHEA Grapalat"/>
          <w:lang w:val="hy-AM"/>
        </w:rPr>
        <w:t xml:space="preserve"> </w:t>
      </w:r>
      <w:r w:rsidR="00454E98" w:rsidRPr="00B57DAB">
        <w:rPr>
          <w:rFonts w:ascii="GHEA Grapalat" w:hAnsi="GHEA Grapalat" w:cs="Arial"/>
          <w:lang w:val="hy-AM"/>
        </w:rPr>
        <w:t>թվականի</w:t>
      </w:r>
      <w:r w:rsidR="00454E98" w:rsidRPr="00B57DAB">
        <w:rPr>
          <w:rFonts w:ascii="GHEA Grapalat" w:hAnsi="GHEA Grapalat"/>
          <w:lang w:val="hy-AM"/>
        </w:rPr>
        <w:t xml:space="preserve"> </w:t>
      </w:r>
      <w:r w:rsidR="00454E98" w:rsidRPr="00B57DAB">
        <w:rPr>
          <w:rFonts w:ascii="GHEA Grapalat" w:hAnsi="GHEA Grapalat"/>
        </w:rPr>
        <w:t>առաջին եռամսյակի ընթացքում</w:t>
      </w:r>
      <w:r w:rsidR="00454E98" w:rsidRPr="00B57DAB">
        <w:rPr>
          <w:rFonts w:ascii="GHEA Grapalat" w:hAnsi="GHEA Grapalat"/>
          <w:lang w:val="hy-AM"/>
        </w:rPr>
        <w:t xml:space="preserve"> </w:t>
      </w:r>
      <w:r w:rsidR="00454E98" w:rsidRPr="00B57DAB">
        <w:rPr>
          <w:rFonts w:ascii="GHEA Grapalat" w:hAnsi="GHEA Grapalat" w:cs="Arial"/>
          <w:lang w:val="hy-AM"/>
        </w:rPr>
        <w:t>ՀՀ</w:t>
      </w:r>
      <w:r w:rsidR="00454E98" w:rsidRPr="00B57DAB">
        <w:rPr>
          <w:rFonts w:ascii="GHEA Grapalat" w:hAnsi="GHEA Grapalat"/>
          <w:lang w:val="hy-AM"/>
        </w:rPr>
        <w:t xml:space="preserve"> </w:t>
      </w:r>
      <w:r w:rsidR="00454E98" w:rsidRPr="00B57DAB">
        <w:rPr>
          <w:rFonts w:ascii="GHEA Grapalat" w:hAnsi="GHEA Grapalat" w:cs="Arial"/>
          <w:lang w:val="hy-AM"/>
        </w:rPr>
        <w:t>պետական</w:t>
      </w:r>
      <w:r w:rsidR="00454E98" w:rsidRPr="00B57DAB">
        <w:rPr>
          <w:rFonts w:ascii="GHEA Grapalat" w:hAnsi="GHEA Grapalat"/>
          <w:lang w:val="hy-AM"/>
        </w:rPr>
        <w:t xml:space="preserve"> </w:t>
      </w:r>
      <w:r w:rsidR="00454E98" w:rsidRPr="00B57DAB">
        <w:rPr>
          <w:rFonts w:ascii="GHEA Grapalat" w:hAnsi="GHEA Grapalat" w:cs="Arial"/>
          <w:lang w:val="hy-AM"/>
        </w:rPr>
        <w:t>բյուջեի</w:t>
      </w:r>
      <w:r w:rsidR="00454E98" w:rsidRPr="00B57DAB">
        <w:rPr>
          <w:rFonts w:ascii="GHEA Grapalat" w:hAnsi="GHEA Grapalat"/>
          <w:lang w:val="hy-AM"/>
        </w:rPr>
        <w:t xml:space="preserve"> </w:t>
      </w:r>
      <w:r w:rsidR="00454E98" w:rsidRPr="00B57DAB">
        <w:rPr>
          <w:rFonts w:ascii="GHEA Grapalat" w:hAnsi="GHEA Grapalat" w:cs="Arial"/>
          <w:lang w:val="hy-AM"/>
        </w:rPr>
        <w:t>միջոցներով</w:t>
      </w:r>
      <w:r w:rsidR="00454E98" w:rsidRPr="00B57DAB">
        <w:rPr>
          <w:rFonts w:ascii="GHEA Grapalat" w:hAnsi="GHEA Grapalat"/>
          <w:lang w:val="hy-AM"/>
        </w:rPr>
        <w:t xml:space="preserve"> </w:t>
      </w:r>
      <w:r w:rsidR="00454E98" w:rsidRPr="00B57DAB">
        <w:rPr>
          <w:rFonts w:ascii="GHEA Grapalat" w:hAnsi="GHEA Grapalat" w:cs="Arial"/>
          <w:lang w:val="hy-AM"/>
        </w:rPr>
        <w:t>կատարվել</w:t>
      </w:r>
      <w:r w:rsidR="00454E98" w:rsidRPr="00B57DAB">
        <w:rPr>
          <w:rFonts w:ascii="GHEA Grapalat" w:hAnsi="GHEA Grapalat"/>
          <w:lang w:val="hy-AM"/>
        </w:rPr>
        <w:t xml:space="preserve"> </w:t>
      </w:r>
      <w:r w:rsidR="00454E98" w:rsidRPr="00B57DAB">
        <w:rPr>
          <w:rFonts w:ascii="GHEA Grapalat" w:hAnsi="GHEA Grapalat" w:cs="Arial"/>
          <w:lang w:val="hy-AM"/>
        </w:rPr>
        <w:t>են</w:t>
      </w:r>
      <w:r w:rsidR="00454E98" w:rsidRPr="00B57DAB">
        <w:rPr>
          <w:rFonts w:ascii="GHEA Grapalat" w:hAnsi="GHEA Grapalat"/>
          <w:lang w:val="hy-AM"/>
        </w:rPr>
        <w:t xml:space="preserve"> </w:t>
      </w:r>
      <w:r w:rsidR="00454E98" w:rsidRPr="00B57DAB">
        <w:rPr>
          <w:rFonts w:ascii="GHEA Grapalat" w:hAnsi="GHEA Grapalat"/>
        </w:rPr>
        <w:t>48.5</w:t>
      </w:r>
      <w:r w:rsidR="00454E98" w:rsidRPr="00B57DAB">
        <w:rPr>
          <w:rFonts w:ascii="GHEA Grapalat" w:hAnsi="GHEA Grapalat"/>
          <w:lang w:val="hy-AM"/>
        </w:rPr>
        <w:t xml:space="preserve"> </w:t>
      </w:r>
      <w:r w:rsidR="00454E98" w:rsidRPr="00B57DAB">
        <w:rPr>
          <w:rFonts w:ascii="GHEA Grapalat" w:hAnsi="GHEA Grapalat" w:cs="Arial"/>
          <w:lang w:val="hy-AM"/>
        </w:rPr>
        <w:t>մլն</w:t>
      </w:r>
      <w:r w:rsidR="00454E98" w:rsidRPr="00B57DAB">
        <w:rPr>
          <w:rFonts w:ascii="GHEA Grapalat" w:hAnsi="GHEA Grapalat"/>
          <w:lang w:val="hy-AM"/>
        </w:rPr>
        <w:t xml:space="preserve"> </w:t>
      </w:r>
      <w:r w:rsidR="00454E98" w:rsidRPr="00B57DAB">
        <w:rPr>
          <w:rFonts w:ascii="GHEA Grapalat" w:hAnsi="GHEA Grapalat" w:cs="Arial"/>
          <w:lang w:val="hy-AM"/>
        </w:rPr>
        <w:t>դրամ</w:t>
      </w:r>
      <w:r w:rsidR="00454E98" w:rsidRPr="00B57DAB">
        <w:rPr>
          <w:rFonts w:ascii="GHEA Grapalat" w:hAnsi="GHEA Grapalat"/>
          <w:lang w:val="hy-AM"/>
        </w:rPr>
        <w:t xml:space="preserve"> </w:t>
      </w:r>
      <w:r w:rsidR="00454E98" w:rsidRPr="00B57DAB">
        <w:rPr>
          <w:rFonts w:ascii="GHEA Grapalat" w:hAnsi="GHEA Grapalat" w:cs="Arial"/>
          <w:lang w:val="hy-AM"/>
        </w:rPr>
        <w:t>ծախսեր՝</w:t>
      </w:r>
      <w:r w:rsidR="00454E98" w:rsidRPr="00B57DAB">
        <w:rPr>
          <w:rFonts w:ascii="GHEA Grapalat" w:hAnsi="GHEA Grapalat"/>
          <w:lang w:val="hy-AM"/>
        </w:rPr>
        <w:t xml:space="preserve"> </w:t>
      </w:r>
      <w:r w:rsidR="00454E98" w:rsidRPr="00B57DAB">
        <w:rPr>
          <w:rFonts w:ascii="GHEA Grapalat" w:hAnsi="GHEA Grapalat" w:cs="Arial"/>
          <w:lang w:val="hy-AM"/>
        </w:rPr>
        <w:t>կազմելով</w:t>
      </w:r>
      <w:r w:rsidR="00454E98" w:rsidRPr="00B57DAB">
        <w:rPr>
          <w:rFonts w:ascii="GHEA Grapalat" w:hAnsi="GHEA Grapalat"/>
          <w:lang w:val="hy-AM"/>
        </w:rPr>
        <w:t xml:space="preserve"> ծրագրված </w:t>
      </w:r>
      <w:r w:rsidR="00454E98" w:rsidRPr="00B57DAB">
        <w:rPr>
          <w:rFonts w:ascii="GHEA Grapalat" w:hAnsi="GHEA Grapalat" w:cs="Arial"/>
          <w:lang w:val="hy-AM"/>
        </w:rPr>
        <w:t>ցուցանիշի</w:t>
      </w:r>
      <w:r w:rsidR="00454E98" w:rsidRPr="00B57DAB">
        <w:rPr>
          <w:rFonts w:ascii="GHEA Grapalat" w:hAnsi="GHEA Grapalat"/>
          <w:lang w:val="hy-AM"/>
        </w:rPr>
        <w:t xml:space="preserve"> </w:t>
      </w:r>
      <w:r w:rsidR="00454E98" w:rsidRPr="00B57DAB">
        <w:rPr>
          <w:rFonts w:ascii="GHEA Grapalat" w:hAnsi="GHEA Grapalat"/>
        </w:rPr>
        <w:t>76</w:t>
      </w:r>
      <w:r w:rsidR="00454E98" w:rsidRPr="00B57DAB">
        <w:rPr>
          <w:rFonts w:ascii="GHEA Grapalat" w:hAnsi="GHEA Grapalat"/>
          <w:lang w:val="hy-AM"/>
        </w:rPr>
        <w:t>%-</w:t>
      </w:r>
      <w:r w:rsidR="00454E98" w:rsidRPr="00B57DAB">
        <w:rPr>
          <w:rFonts w:ascii="GHEA Grapalat" w:hAnsi="GHEA Grapalat" w:cs="Arial"/>
          <w:lang w:val="hy-AM"/>
        </w:rPr>
        <w:t>ը</w:t>
      </w:r>
      <w:r w:rsidR="00454E98" w:rsidRPr="00B57DAB">
        <w:rPr>
          <w:rFonts w:ascii="GHEA Grapalat" w:hAnsi="GHEA Grapalat"/>
          <w:lang w:val="hy-AM"/>
        </w:rPr>
        <w:t xml:space="preserve">: </w:t>
      </w:r>
      <w:r w:rsidR="00454E98" w:rsidRPr="00B57DAB">
        <w:rPr>
          <w:rFonts w:ascii="GHEA Grapalat" w:hAnsi="GHEA Grapalat" w:cs="Arial"/>
          <w:lang w:val="hy-AM"/>
        </w:rPr>
        <w:t>Հատկացված</w:t>
      </w:r>
      <w:r w:rsidR="00454E98" w:rsidRPr="00B57DAB">
        <w:rPr>
          <w:rFonts w:ascii="GHEA Grapalat" w:hAnsi="GHEA Grapalat"/>
          <w:lang w:val="hy-AM"/>
        </w:rPr>
        <w:t xml:space="preserve"> </w:t>
      </w:r>
      <w:r w:rsidR="00454E98" w:rsidRPr="00B57DAB">
        <w:rPr>
          <w:rFonts w:ascii="GHEA Grapalat" w:hAnsi="GHEA Grapalat" w:cs="Arial"/>
          <w:lang w:val="hy-AM"/>
        </w:rPr>
        <w:t>միջոցներն</w:t>
      </w:r>
      <w:r w:rsidR="00454E98" w:rsidRPr="00B57DAB">
        <w:rPr>
          <w:rFonts w:ascii="GHEA Grapalat" w:hAnsi="GHEA Grapalat"/>
          <w:lang w:val="hy-AM"/>
        </w:rPr>
        <w:t xml:space="preserve"> </w:t>
      </w:r>
      <w:r w:rsidR="00454E98" w:rsidRPr="00B57DAB">
        <w:rPr>
          <w:rFonts w:ascii="GHEA Grapalat" w:hAnsi="GHEA Grapalat" w:cs="Arial"/>
          <w:lang w:val="hy-AM"/>
        </w:rPr>
        <w:t>ուղղվել</w:t>
      </w:r>
      <w:r w:rsidR="00454E98" w:rsidRPr="00B57DAB">
        <w:rPr>
          <w:rFonts w:ascii="GHEA Grapalat" w:hAnsi="GHEA Grapalat"/>
          <w:lang w:val="hy-AM"/>
        </w:rPr>
        <w:t xml:space="preserve"> </w:t>
      </w:r>
      <w:r w:rsidR="00454E98" w:rsidRPr="00B57DAB">
        <w:rPr>
          <w:rFonts w:ascii="GHEA Grapalat" w:hAnsi="GHEA Grapalat" w:cs="Arial"/>
          <w:lang w:val="hy-AM"/>
        </w:rPr>
        <w:t>են</w:t>
      </w:r>
      <w:r w:rsidR="00454E98" w:rsidRPr="00B57DAB">
        <w:rPr>
          <w:rFonts w:ascii="GHEA Grapalat" w:hAnsi="GHEA Grapalat"/>
          <w:lang w:val="hy-AM"/>
        </w:rPr>
        <w:t xml:space="preserve"> </w:t>
      </w:r>
      <w:r w:rsidR="00454E98" w:rsidRPr="00B57DAB">
        <w:rPr>
          <w:rFonts w:ascii="GHEA Grapalat" w:hAnsi="GHEA Grapalat" w:cs="Arial"/>
          <w:i/>
          <w:lang w:val="hy-AM"/>
        </w:rPr>
        <w:t>Կոռուպցիայի</w:t>
      </w:r>
      <w:r w:rsidR="00454E98" w:rsidRPr="00B57DAB">
        <w:rPr>
          <w:rFonts w:ascii="GHEA Grapalat" w:hAnsi="GHEA Grapalat"/>
          <w:i/>
          <w:lang w:val="hy-AM"/>
        </w:rPr>
        <w:t xml:space="preserve"> </w:t>
      </w:r>
      <w:r w:rsidR="00454E98" w:rsidRPr="00B57DAB">
        <w:rPr>
          <w:rFonts w:ascii="GHEA Grapalat" w:hAnsi="GHEA Grapalat" w:cs="Arial"/>
          <w:i/>
          <w:lang w:val="hy-AM"/>
        </w:rPr>
        <w:t>կանխարգելման</w:t>
      </w:r>
      <w:r w:rsidR="00454E98" w:rsidRPr="00B57DAB">
        <w:rPr>
          <w:rFonts w:ascii="GHEA Grapalat" w:hAnsi="GHEA Grapalat"/>
          <w:i/>
          <w:lang w:val="hy-AM"/>
        </w:rPr>
        <w:t xml:space="preserve"> </w:t>
      </w:r>
      <w:r w:rsidR="00454E98" w:rsidRPr="00B57DAB">
        <w:rPr>
          <w:rFonts w:ascii="GHEA Grapalat" w:hAnsi="GHEA Grapalat" w:cs="Arial"/>
          <w:i/>
          <w:lang w:val="hy-AM"/>
        </w:rPr>
        <w:t>համակարգի</w:t>
      </w:r>
      <w:r w:rsidR="00454E98" w:rsidRPr="00B57DAB">
        <w:rPr>
          <w:rFonts w:ascii="GHEA Grapalat" w:hAnsi="GHEA Grapalat"/>
          <w:i/>
          <w:lang w:val="hy-AM"/>
        </w:rPr>
        <w:t xml:space="preserve"> </w:t>
      </w:r>
      <w:r w:rsidR="00454E98" w:rsidRPr="00B57DAB">
        <w:rPr>
          <w:rFonts w:ascii="GHEA Grapalat" w:hAnsi="GHEA Grapalat" w:cs="Arial"/>
          <w:i/>
          <w:lang w:val="hy-AM"/>
        </w:rPr>
        <w:t>զարգացման</w:t>
      </w:r>
      <w:r w:rsidR="00454E98" w:rsidRPr="00B57DAB">
        <w:rPr>
          <w:rFonts w:ascii="GHEA Grapalat" w:hAnsi="GHEA Grapalat"/>
          <w:i/>
          <w:lang w:val="hy-AM"/>
        </w:rPr>
        <w:t xml:space="preserve"> </w:t>
      </w:r>
      <w:r w:rsidR="00454E98" w:rsidRPr="00B57DAB">
        <w:rPr>
          <w:rFonts w:ascii="GHEA Grapalat" w:hAnsi="GHEA Grapalat" w:cs="Arial"/>
          <w:i/>
          <w:lang w:val="hy-AM"/>
        </w:rPr>
        <w:t>ապահովման</w:t>
      </w:r>
      <w:r w:rsidR="00454E98" w:rsidRPr="00B57DAB">
        <w:rPr>
          <w:rFonts w:ascii="GHEA Grapalat" w:hAnsi="GHEA Grapalat"/>
          <w:lang w:val="hy-AM"/>
        </w:rPr>
        <w:t xml:space="preserve"> </w:t>
      </w:r>
      <w:r w:rsidR="00454E98" w:rsidRPr="00B57DAB">
        <w:rPr>
          <w:rFonts w:ascii="GHEA Grapalat" w:hAnsi="GHEA Grapalat" w:cs="Arial"/>
          <w:lang w:val="hy-AM"/>
        </w:rPr>
        <w:t>ծրագրի</w:t>
      </w:r>
      <w:r w:rsidR="00454E98" w:rsidRPr="00B57DAB">
        <w:rPr>
          <w:rFonts w:ascii="GHEA Grapalat" w:hAnsi="GHEA Grapalat"/>
          <w:lang w:val="hy-AM"/>
        </w:rPr>
        <w:t xml:space="preserve"> </w:t>
      </w:r>
      <w:r w:rsidR="00454E98" w:rsidRPr="00B57DAB">
        <w:rPr>
          <w:rFonts w:ascii="GHEA Grapalat" w:hAnsi="GHEA Grapalat" w:cs="Arial"/>
          <w:lang w:val="hy-AM"/>
        </w:rPr>
        <w:t>շրջանակներում</w:t>
      </w:r>
      <w:r w:rsidR="00454E98" w:rsidRPr="00B57DAB">
        <w:rPr>
          <w:rFonts w:ascii="GHEA Grapalat" w:hAnsi="GHEA Grapalat"/>
          <w:lang w:val="hy-AM"/>
        </w:rPr>
        <w:t xml:space="preserve"> </w:t>
      </w:r>
      <w:r w:rsidR="00454E98" w:rsidRPr="00B57DAB">
        <w:rPr>
          <w:rFonts w:ascii="GHEA Grapalat" w:hAnsi="GHEA Grapalat" w:cs="Franklin Gothic Medium Cond"/>
          <w:lang w:val="hy-AM"/>
        </w:rPr>
        <w:t>«</w:t>
      </w:r>
      <w:r w:rsidR="00454E98" w:rsidRPr="00B57DAB">
        <w:rPr>
          <w:rFonts w:ascii="GHEA Grapalat" w:hAnsi="GHEA Grapalat" w:cs="Arial"/>
          <w:lang w:val="hy-AM"/>
        </w:rPr>
        <w:t>Կոռուպցիայի</w:t>
      </w:r>
      <w:r w:rsidR="00454E98" w:rsidRPr="00B57DAB">
        <w:rPr>
          <w:rFonts w:ascii="GHEA Grapalat" w:hAnsi="GHEA Grapalat"/>
          <w:lang w:val="hy-AM"/>
        </w:rPr>
        <w:t xml:space="preserve"> </w:t>
      </w:r>
      <w:r w:rsidR="00454E98" w:rsidRPr="00B57DAB">
        <w:rPr>
          <w:rFonts w:ascii="GHEA Grapalat" w:hAnsi="GHEA Grapalat" w:cs="Arial"/>
          <w:lang w:val="hy-AM"/>
        </w:rPr>
        <w:t>կանխարգելում</w:t>
      </w:r>
      <w:r w:rsidR="00454E98" w:rsidRPr="00B57DAB">
        <w:rPr>
          <w:rFonts w:ascii="GHEA Grapalat" w:hAnsi="GHEA Grapalat"/>
          <w:lang w:val="hy-AM"/>
        </w:rPr>
        <w:t xml:space="preserve"> </w:t>
      </w:r>
      <w:r w:rsidR="00454E98" w:rsidRPr="00B57DAB">
        <w:rPr>
          <w:rFonts w:ascii="GHEA Grapalat" w:hAnsi="GHEA Grapalat" w:cs="Arial"/>
          <w:lang w:val="hy-AM"/>
        </w:rPr>
        <w:t>և</w:t>
      </w:r>
      <w:r w:rsidR="00454E98" w:rsidRPr="00B57DAB">
        <w:rPr>
          <w:rFonts w:ascii="GHEA Grapalat" w:hAnsi="GHEA Grapalat"/>
          <w:lang w:val="hy-AM"/>
        </w:rPr>
        <w:t xml:space="preserve"> </w:t>
      </w:r>
      <w:r w:rsidR="00454E98" w:rsidRPr="00B57DAB">
        <w:rPr>
          <w:rFonts w:ascii="GHEA Grapalat" w:hAnsi="GHEA Grapalat" w:cs="Arial"/>
          <w:lang w:val="hy-AM"/>
        </w:rPr>
        <w:t>բարեվարքության</w:t>
      </w:r>
      <w:r w:rsidR="00454E98" w:rsidRPr="00B57DAB">
        <w:rPr>
          <w:rFonts w:ascii="GHEA Grapalat" w:hAnsi="GHEA Grapalat"/>
          <w:lang w:val="hy-AM"/>
        </w:rPr>
        <w:t xml:space="preserve"> </w:t>
      </w:r>
      <w:r w:rsidR="00454E98" w:rsidRPr="00B57DAB">
        <w:rPr>
          <w:rFonts w:ascii="GHEA Grapalat" w:hAnsi="GHEA Grapalat" w:cs="Arial"/>
          <w:lang w:val="hy-AM"/>
        </w:rPr>
        <w:t>համակարգի</w:t>
      </w:r>
      <w:r w:rsidR="00454E98" w:rsidRPr="00B57DAB">
        <w:rPr>
          <w:rFonts w:ascii="GHEA Grapalat" w:hAnsi="GHEA Grapalat"/>
          <w:lang w:val="hy-AM"/>
        </w:rPr>
        <w:t xml:space="preserve"> </w:t>
      </w:r>
      <w:r w:rsidR="00454E98" w:rsidRPr="00B57DAB">
        <w:rPr>
          <w:rFonts w:ascii="GHEA Grapalat" w:hAnsi="GHEA Grapalat" w:cs="Arial"/>
          <w:lang w:val="hy-AM"/>
        </w:rPr>
        <w:t>զարգացում</w:t>
      </w:r>
      <w:r w:rsidR="00454E98" w:rsidRPr="00B57DAB">
        <w:rPr>
          <w:rFonts w:ascii="GHEA Grapalat" w:hAnsi="GHEA Grapalat" w:cs="Franklin Gothic Medium Cond"/>
          <w:lang w:val="hy-AM"/>
        </w:rPr>
        <w:t>»</w:t>
      </w:r>
      <w:r w:rsidR="00454E98" w:rsidRPr="00B57DAB">
        <w:rPr>
          <w:rFonts w:ascii="GHEA Grapalat" w:hAnsi="GHEA Grapalat"/>
          <w:lang w:val="hy-AM"/>
        </w:rPr>
        <w:t xml:space="preserve"> </w:t>
      </w:r>
      <w:r w:rsidR="00454E98" w:rsidRPr="00B57DAB">
        <w:rPr>
          <w:rFonts w:ascii="GHEA Grapalat" w:hAnsi="GHEA Grapalat" w:cs="Arial"/>
          <w:lang w:val="hy-AM"/>
        </w:rPr>
        <w:t>միջոցառմանը</w:t>
      </w:r>
      <w:r w:rsidR="00454E98" w:rsidRPr="00B57DAB">
        <w:rPr>
          <w:rFonts w:ascii="GHEA Grapalat" w:hAnsi="GHEA Grapalat"/>
          <w:lang w:val="hy-AM"/>
        </w:rPr>
        <w:t xml:space="preserve">, </w:t>
      </w:r>
      <w:r w:rsidR="00454E98" w:rsidRPr="00B57DAB">
        <w:rPr>
          <w:rFonts w:ascii="GHEA Grapalat" w:hAnsi="GHEA Grapalat" w:cs="Arial"/>
          <w:lang w:val="hy-AM"/>
        </w:rPr>
        <w:t>որը</w:t>
      </w:r>
      <w:r w:rsidR="00454E98" w:rsidRPr="00B57DAB">
        <w:rPr>
          <w:rFonts w:ascii="GHEA Grapalat" w:hAnsi="GHEA Grapalat"/>
          <w:lang w:val="hy-AM"/>
        </w:rPr>
        <w:t xml:space="preserve"> </w:t>
      </w:r>
      <w:r w:rsidR="00454E98" w:rsidRPr="00B57DAB">
        <w:rPr>
          <w:rFonts w:ascii="GHEA Grapalat" w:hAnsi="GHEA Grapalat" w:cs="Arial"/>
          <w:lang w:val="hy-AM"/>
        </w:rPr>
        <w:t>կատարվել</w:t>
      </w:r>
      <w:r w:rsidR="00454E98" w:rsidRPr="00B57DAB">
        <w:rPr>
          <w:rFonts w:ascii="GHEA Grapalat" w:hAnsi="GHEA Grapalat"/>
          <w:lang w:val="hy-AM"/>
        </w:rPr>
        <w:t xml:space="preserve"> </w:t>
      </w:r>
      <w:r w:rsidR="00454E98" w:rsidRPr="00B57DAB">
        <w:rPr>
          <w:rFonts w:ascii="GHEA Grapalat" w:hAnsi="GHEA Grapalat" w:cs="Arial"/>
          <w:lang w:val="hy-AM"/>
        </w:rPr>
        <w:t>է</w:t>
      </w:r>
      <w:r w:rsidR="00454E98" w:rsidRPr="00B57DAB">
        <w:rPr>
          <w:rFonts w:ascii="GHEA Grapalat" w:hAnsi="GHEA Grapalat"/>
          <w:lang w:val="hy-AM"/>
        </w:rPr>
        <w:t xml:space="preserve"> </w:t>
      </w:r>
      <w:r w:rsidR="00454E98" w:rsidRPr="00B57DAB">
        <w:rPr>
          <w:rFonts w:ascii="GHEA Grapalat" w:hAnsi="GHEA Grapalat"/>
        </w:rPr>
        <w:t>80.3</w:t>
      </w:r>
      <w:r w:rsidR="00454E98" w:rsidRPr="00B57DAB">
        <w:rPr>
          <w:rFonts w:ascii="GHEA Grapalat" w:hAnsi="GHEA Grapalat"/>
          <w:lang w:val="hy-AM"/>
        </w:rPr>
        <w:t>%-</w:t>
      </w:r>
      <w:r w:rsidR="00454E98" w:rsidRPr="00B57DAB">
        <w:rPr>
          <w:rFonts w:ascii="GHEA Grapalat" w:hAnsi="GHEA Grapalat" w:cs="Arial"/>
          <w:lang w:val="hy-AM"/>
        </w:rPr>
        <w:t>ով</w:t>
      </w:r>
      <w:r w:rsidR="00454E98" w:rsidRPr="00B57DAB">
        <w:rPr>
          <w:rFonts w:ascii="GHEA Grapalat" w:hAnsi="GHEA Grapalat"/>
          <w:lang w:val="hy-AM"/>
        </w:rPr>
        <w:t xml:space="preserve">: </w:t>
      </w:r>
      <w:r w:rsidR="00454E98" w:rsidRPr="00B57DAB">
        <w:rPr>
          <w:rFonts w:ascii="GHEA Grapalat" w:hAnsi="GHEA Grapalat" w:cs="Sylfaen"/>
          <w:lang w:val="hy-AM"/>
        </w:rPr>
        <w:t>Ցածր</w:t>
      </w:r>
      <w:r w:rsidR="00454E98" w:rsidRPr="00B57DAB">
        <w:rPr>
          <w:rFonts w:ascii="GHEA Grapalat" w:hAnsi="GHEA Grapalat"/>
          <w:lang w:val="hy-AM"/>
        </w:rPr>
        <w:t xml:space="preserve"> </w:t>
      </w:r>
      <w:r w:rsidR="00454E98" w:rsidRPr="00B57DAB">
        <w:rPr>
          <w:rFonts w:ascii="GHEA Grapalat" w:hAnsi="GHEA Grapalat" w:cs="Arial"/>
          <w:lang w:val="hy-AM"/>
        </w:rPr>
        <w:t>կատարողականը</w:t>
      </w:r>
      <w:r w:rsidR="00454E98" w:rsidRPr="00B57DAB">
        <w:rPr>
          <w:rFonts w:ascii="GHEA Grapalat" w:hAnsi="GHEA Grapalat"/>
          <w:lang w:val="hy-AM"/>
        </w:rPr>
        <w:t xml:space="preserve"> </w:t>
      </w:r>
      <w:r w:rsidR="00454E98" w:rsidRPr="00B57DAB">
        <w:rPr>
          <w:rFonts w:ascii="GHEA Grapalat" w:hAnsi="GHEA Grapalat" w:cs="Arial"/>
          <w:lang w:val="hy-AM"/>
        </w:rPr>
        <w:t>հիմնականում պայմանավորված</w:t>
      </w:r>
      <w:r w:rsidR="00454E98" w:rsidRPr="00B57DAB">
        <w:rPr>
          <w:rFonts w:ascii="GHEA Grapalat" w:hAnsi="GHEA Grapalat"/>
          <w:lang w:val="hy-AM"/>
        </w:rPr>
        <w:t xml:space="preserve"> </w:t>
      </w:r>
      <w:r w:rsidR="00454E98" w:rsidRPr="00B57DAB">
        <w:rPr>
          <w:rFonts w:ascii="GHEA Grapalat" w:hAnsi="GHEA Grapalat" w:cs="Arial"/>
          <w:lang w:val="hy-AM"/>
        </w:rPr>
        <w:t>է</w:t>
      </w:r>
      <w:r w:rsidR="00454E98" w:rsidRPr="00B57DAB">
        <w:rPr>
          <w:rFonts w:ascii="GHEA Grapalat" w:hAnsi="GHEA Grapalat"/>
          <w:lang w:val="hy-AM"/>
        </w:rPr>
        <w:t xml:space="preserve"> </w:t>
      </w:r>
      <w:r w:rsidR="00454E98" w:rsidRPr="00B57DAB">
        <w:rPr>
          <w:rFonts w:ascii="GHEA Grapalat" w:hAnsi="GHEA Grapalat" w:cs="Arial"/>
          <w:lang w:val="hy-AM"/>
        </w:rPr>
        <w:t>հաստիքներն</w:t>
      </w:r>
      <w:r w:rsidR="00454E98" w:rsidRPr="00B57DAB">
        <w:rPr>
          <w:rFonts w:ascii="GHEA Grapalat" w:hAnsi="GHEA Grapalat"/>
          <w:lang w:val="hy-AM"/>
        </w:rPr>
        <w:t xml:space="preserve"> </w:t>
      </w:r>
      <w:r w:rsidR="00454E98" w:rsidRPr="00B57DAB">
        <w:rPr>
          <w:rFonts w:ascii="GHEA Grapalat" w:hAnsi="GHEA Grapalat" w:cs="Arial"/>
          <w:lang w:val="hy-AM"/>
        </w:rPr>
        <w:t>ամբողջությամբ</w:t>
      </w:r>
      <w:r w:rsidR="00454E98" w:rsidRPr="00B57DAB">
        <w:rPr>
          <w:rFonts w:ascii="GHEA Grapalat" w:hAnsi="GHEA Grapalat"/>
          <w:lang w:val="hy-AM"/>
        </w:rPr>
        <w:t xml:space="preserve"> չ</w:t>
      </w:r>
      <w:r w:rsidR="00454E98" w:rsidRPr="00B57DAB">
        <w:rPr>
          <w:rFonts w:ascii="GHEA Grapalat" w:hAnsi="GHEA Grapalat" w:cs="Arial"/>
          <w:lang w:val="hy-AM"/>
        </w:rPr>
        <w:t>համալրվելու հանգամանքով</w:t>
      </w:r>
      <w:r w:rsidR="00454E98" w:rsidRPr="00B57DAB">
        <w:rPr>
          <w:rFonts w:ascii="GHEA Grapalat" w:hAnsi="GHEA Grapalat" w:cs="Arial"/>
          <w:bCs/>
        </w:rPr>
        <w:t xml:space="preserve">։ Կոռուպցիայի կանխարգելման հանձնաժողովի կարողությունների </w:t>
      </w:r>
      <w:r w:rsidR="007E196F" w:rsidRPr="00B57DAB">
        <w:rPr>
          <w:rFonts w:ascii="GHEA Grapalat" w:hAnsi="GHEA Grapalat" w:cs="Arial"/>
          <w:bCs/>
        </w:rPr>
        <w:t>զարգացման</w:t>
      </w:r>
      <w:r w:rsidR="00454E98" w:rsidRPr="00B57DAB">
        <w:rPr>
          <w:rFonts w:ascii="GHEA Grapalat" w:hAnsi="GHEA Grapalat" w:cs="Arial"/>
          <w:bCs/>
        </w:rPr>
        <w:t xml:space="preserve"> և տեխնիկական հագեցվածության ապահովման </w:t>
      </w:r>
      <w:r w:rsidR="005D6BE2" w:rsidRPr="00B57DAB">
        <w:rPr>
          <w:rFonts w:ascii="GHEA Grapalat" w:hAnsi="GHEA Grapalat" w:cs="Arial"/>
          <w:bCs/>
        </w:rPr>
        <w:t>հ</w:t>
      </w:r>
      <w:r w:rsidR="00454E98" w:rsidRPr="00B57DAB">
        <w:rPr>
          <w:rFonts w:ascii="GHEA Grapalat" w:hAnsi="GHEA Grapalat" w:cs="Arial"/>
          <w:lang w:val="hy-AM"/>
        </w:rPr>
        <w:t>ամար</w:t>
      </w:r>
      <w:r w:rsidR="00454E98" w:rsidRPr="00B57DAB">
        <w:rPr>
          <w:rFonts w:ascii="GHEA Grapalat" w:hAnsi="GHEA Grapalat" w:cs="Sylfaen"/>
          <w:lang w:val="hy-AM"/>
        </w:rPr>
        <w:t xml:space="preserve"> </w:t>
      </w:r>
      <w:r w:rsidR="00454E98" w:rsidRPr="00B57DAB">
        <w:rPr>
          <w:rFonts w:ascii="GHEA Grapalat" w:hAnsi="GHEA Grapalat" w:cs="Arial"/>
          <w:lang w:val="hy-AM"/>
        </w:rPr>
        <w:t>նախատեսված</w:t>
      </w:r>
      <w:r w:rsidR="00454E98" w:rsidRPr="00B57DAB">
        <w:rPr>
          <w:rFonts w:ascii="GHEA Grapalat" w:hAnsi="GHEA Grapalat" w:cs="Sylfaen"/>
          <w:lang w:val="hy-AM"/>
        </w:rPr>
        <w:t xml:space="preserve"> </w:t>
      </w:r>
      <w:r w:rsidR="00454E98" w:rsidRPr="00B57DAB">
        <w:rPr>
          <w:rFonts w:ascii="GHEA Grapalat" w:hAnsi="GHEA Grapalat" w:cs="Sylfaen"/>
        </w:rPr>
        <w:t>3.4</w:t>
      </w:r>
      <w:r w:rsidR="00454E98" w:rsidRPr="00B57DAB">
        <w:rPr>
          <w:rFonts w:ascii="GHEA Grapalat" w:hAnsi="GHEA Grapalat" w:cs="Sylfaen"/>
          <w:lang w:val="hy-AM"/>
        </w:rPr>
        <w:t xml:space="preserve"> </w:t>
      </w:r>
      <w:r w:rsidR="00454E98" w:rsidRPr="00B57DAB">
        <w:rPr>
          <w:rFonts w:ascii="GHEA Grapalat" w:hAnsi="GHEA Grapalat" w:cs="Arial"/>
          <w:lang w:val="hy-AM"/>
        </w:rPr>
        <w:t>մլն</w:t>
      </w:r>
      <w:r w:rsidR="00454E98" w:rsidRPr="00B57DAB">
        <w:rPr>
          <w:rFonts w:ascii="GHEA Grapalat" w:hAnsi="GHEA Grapalat" w:cs="Sylfaen"/>
          <w:lang w:val="hy-AM"/>
        </w:rPr>
        <w:t xml:space="preserve"> </w:t>
      </w:r>
      <w:r w:rsidR="00454E98" w:rsidRPr="00B57DAB">
        <w:rPr>
          <w:rFonts w:ascii="GHEA Grapalat" w:hAnsi="GHEA Grapalat" w:cs="Arial"/>
          <w:lang w:val="hy-AM"/>
        </w:rPr>
        <w:t xml:space="preserve">դրամը </w:t>
      </w:r>
      <w:r w:rsidR="00454E98" w:rsidRPr="00B57DAB">
        <w:rPr>
          <w:rFonts w:ascii="GHEA Grapalat" w:hAnsi="GHEA Grapalat" w:cs="Arial"/>
          <w:lang w:val="hy-AM"/>
        </w:rPr>
        <w:lastRenderedPageBreak/>
        <w:t>չ</w:t>
      </w:r>
      <w:r w:rsidR="007E196F" w:rsidRPr="00B57DAB">
        <w:rPr>
          <w:rFonts w:ascii="GHEA Grapalat" w:hAnsi="GHEA Grapalat" w:cs="Arial"/>
        </w:rPr>
        <w:t>ի</w:t>
      </w:r>
      <w:r w:rsidR="00454E98" w:rsidRPr="00B57DAB">
        <w:rPr>
          <w:rFonts w:ascii="GHEA Grapalat" w:hAnsi="GHEA Grapalat" w:cs="Arial"/>
          <w:lang w:val="hy-AM"/>
        </w:rPr>
        <w:t xml:space="preserve"> օգտագործվել</w:t>
      </w:r>
      <w:r w:rsidR="00454E98" w:rsidRPr="00B57DAB">
        <w:rPr>
          <w:rFonts w:ascii="GHEA Grapalat" w:hAnsi="GHEA Grapalat" w:cs="Arial"/>
        </w:rPr>
        <w:t>,</w:t>
      </w:r>
      <w:r w:rsidR="007E196F" w:rsidRPr="00B57DAB">
        <w:rPr>
          <w:rFonts w:ascii="GHEA Grapalat" w:hAnsi="GHEA Grapalat" w:cs="Arial"/>
        </w:rPr>
        <w:t xml:space="preserve"> քանի</w:t>
      </w:r>
      <w:r w:rsidR="00454E98" w:rsidRPr="00B57DAB">
        <w:rPr>
          <w:rFonts w:ascii="GHEA Grapalat" w:hAnsi="GHEA Grapalat" w:cs="Arial"/>
        </w:rPr>
        <w:t xml:space="preserve"> որ հ</w:t>
      </w:r>
      <w:r w:rsidR="00454E98" w:rsidRPr="00B57DAB">
        <w:rPr>
          <w:rFonts w:ascii="GHEA Grapalat" w:hAnsi="GHEA Grapalat" w:cs="Arial"/>
          <w:lang w:val="hy-AM"/>
        </w:rPr>
        <w:t>իմնական միջոցների գնման մրցույթը կայացել է, սակայն վճարումների իրականացումը տեղափոխվել</w:t>
      </w:r>
      <w:r w:rsidR="00454E98" w:rsidRPr="00B57DAB">
        <w:rPr>
          <w:rFonts w:ascii="GHEA Grapalat" w:hAnsi="GHEA Grapalat" w:cs="Arial"/>
        </w:rPr>
        <w:t xml:space="preserve"> </w:t>
      </w:r>
      <w:r w:rsidR="00454E98" w:rsidRPr="00B57DAB">
        <w:rPr>
          <w:rFonts w:ascii="GHEA Grapalat" w:hAnsi="GHEA Grapalat" w:cs="Arial"/>
          <w:lang w:val="hy-AM"/>
        </w:rPr>
        <w:t>է հաջորդ եռամսյակ</w:t>
      </w:r>
      <w:r w:rsidR="00454E98" w:rsidRPr="00B57DAB">
        <w:rPr>
          <w:rFonts w:ascii="GHEA Grapalat" w:hAnsi="GHEA Grapalat" w:cs="Arial"/>
        </w:rPr>
        <w:t>:</w:t>
      </w:r>
      <w:r w:rsidR="00454E98" w:rsidRPr="00B57DAB">
        <w:rPr>
          <w:rFonts w:ascii="GHEA Grapalat" w:hAnsi="GHEA Grapalat" w:cs="Arial"/>
          <w:bCs/>
        </w:rPr>
        <w:t xml:space="preserve"> Նախորդ տարվա նույն ժամանակահատվածի համեմատ Կոռուպցիայի կանխարգելման հանձնաժողովի ծախսերն աճել են 98.6%</w:t>
      </w:r>
      <w:r w:rsidR="007E196F" w:rsidRPr="00B57DAB">
        <w:rPr>
          <w:rFonts w:ascii="GHEA Grapalat" w:hAnsi="GHEA Grapalat" w:cs="Arial"/>
          <w:bCs/>
        </w:rPr>
        <w:t>-</w:t>
      </w:r>
      <w:r w:rsidR="00454E98" w:rsidRPr="00B57DAB">
        <w:rPr>
          <w:rFonts w:ascii="GHEA Grapalat" w:hAnsi="GHEA Grapalat" w:cs="Arial"/>
          <w:bCs/>
        </w:rPr>
        <w:t>ով կամ 24.1 մլն դրամով:</w:t>
      </w:r>
    </w:p>
    <w:p w:rsidR="003F2149" w:rsidRPr="00B57DAB" w:rsidRDefault="003F2149" w:rsidP="003F2149">
      <w:pPr>
        <w:spacing w:line="360" w:lineRule="auto"/>
        <w:ind w:firstLine="561"/>
        <w:jc w:val="both"/>
        <w:rPr>
          <w:rFonts w:ascii="GHEA Grapalat" w:hAnsi="GHEA Grapalat" w:cs="Sylfaen"/>
          <w:sz w:val="22"/>
          <w:szCs w:val="22"/>
        </w:rPr>
      </w:pPr>
    </w:p>
    <w:p w:rsidR="000D7EF5" w:rsidRPr="00B57DAB" w:rsidRDefault="003F2149" w:rsidP="000D7EF5">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i/>
          <w:sz w:val="22"/>
          <w:szCs w:val="22"/>
          <w:u w:val="single"/>
        </w:rPr>
        <w:t>ՀՀ պետական վերահսկողական ծառայությանը</w:t>
      </w:r>
      <w:r w:rsidRPr="00B57DAB">
        <w:rPr>
          <w:rFonts w:ascii="GHEA Grapalat" w:hAnsi="GHEA Grapalat" w:cs="GHEA Grapalat"/>
          <w:sz w:val="22"/>
          <w:szCs w:val="22"/>
        </w:rPr>
        <w:t xml:space="preserve"> </w:t>
      </w:r>
      <w:r w:rsidR="000D7EF5" w:rsidRPr="00B57DAB">
        <w:rPr>
          <w:rFonts w:ascii="GHEA Grapalat" w:hAnsi="GHEA Grapalat" w:cs="GHEA Grapalat"/>
          <w:i/>
          <w:sz w:val="22"/>
          <w:szCs w:val="22"/>
        </w:rPr>
        <w:t>Պետական վերահսկողական ծառայությունների</w:t>
      </w:r>
      <w:r w:rsidR="000D7EF5" w:rsidRPr="00B57DAB">
        <w:rPr>
          <w:rFonts w:ascii="GHEA Grapalat" w:hAnsi="GHEA Grapalat" w:cs="GHEA Grapalat"/>
          <w:sz w:val="22"/>
          <w:szCs w:val="22"/>
        </w:rPr>
        <w:t xml:space="preserve"> ծրագրի շրջանակներում 2022 թվականի առաջին եռամսյակում տրամադրվել է</w:t>
      </w:r>
      <w:r w:rsidR="000D7EF5" w:rsidRPr="00B57DAB">
        <w:rPr>
          <w:rFonts w:ascii="GHEA Grapalat" w:hAnsi="GHEA Grapalat" w:cs="Sylfaen"/>
          <w:sz w:val="22"/>
          <w:szCs w:val="22"/>
        </w:rPr>
        <w:t xml:space="preserve"> </w:t>
      </w:r>
      <w:r w:rsidR="000D7EF5" w:rsidRPr="00B57DAB">
        <w:rPr>
          <w:rFonts w:ascii="GHEA Grapalat" w:hAnsi="GHEA Grapalat" w:cs="GHEA Grapalat"/>
          <w:sz w:val="22"/>
          <w:szCs w:val="22"/>
        </w:rPr>
        <w:t>141.5 մլն դրամ, որը կազմել է ծրագրված ցուցանիշի 94.8%-ը: Շեղումը հիմնականում արձանագրվել է ՀՀ վարչապետին ՀՀ Սահմանադրությամբ և օրենքներով վերապահված վերահսկողական լիազորությունների իրականացման միջոցառման ծախսերում, որի շրջանակներում ըստ փաստացի ստացված հանձնարարագրերի իրականացվել են թվով 8 ուսումնասիրություններ՝ նախատեսված 7</w:t>
      </w:r>
      <w:r w:rsidR="000D7EF5" w:rsidRPr="00B57DAB">
        <w:rPr>
          <w:rFonts w:ascii="GHEA Grapalat" w:hAnsi="GHEA Grapalat" w:cs="GHEA Grapalat"/>
          <w:sz w:val="22"/>
          <w:szCs w:val="22"/>
        </w:rPr>
        <w:noBreakHyphen/>
        <w:t>ի դիմաց, մնացած արդյունքային չափորոշիչների գծով արձանագրվել են շեղումներ՝ թերակատարումներ կամ գերակատարումներ: Միջոցառման ծախսերը կազմել են շուրջ 139.8 մլն դրամ՝ 95.2%-ով ապահովելով ծրագրային ցուցանիշը: Շեղումը հիմնականում պայմանավորված է որոշ ծախսային հոդվածների գծով գնման կարիքի բացակայությամբ, ինչպես նաև որոշ գնման պայմանագրերի</w:t>
      </w:r>
      <w:r w:rsidR="004E50B4" w:rsidRPr="00B57DAB">
        <w:rPr>
          <w:rFonts w:ascii="GHEA Grapalat" w:hAnsi="GHEA Grapalat" w:cs="GHEA Grapalat"/>
          <w:sz w:val="22"/>
          <w:szCs w:val="22"/>
        </w:rPr>
        <w:t xml:space="preserve"> համաձայն</w:t>
      </w:r>
      <w:r w:rsidR="000D7EF5" w:rsidRPr="00B57DAB">
        <w:rPr>
          <w:rFonts w:ascii="GHEA Grapalat" w:hAnsi="GHEA Grapalat" w:cs="GHEA Grapalat"/>
          <w:sz w:val="22"/>
          <w:szCs w:val="22"/>
        </w:rPr>
        <w:t xml:space="preserve"> վճարման ժամ</w:t>
      </w:r>
      <w:r w:rsidR="004E50B4" w:rsidRPr="00B57DAB">
        <w:rPr>
          <w:rFonts w:ascii="GHEA Grapalat" w:hAnsi="GHEA Grapalat" w:cs="GHEA Grapalat"/>
          <w:sz w:val="22"/>
          <w:szCs w:val="22"/>
        </w:rPr>
        <w:t>կետն</w:t>
      </w:r>
      <w:r w:rsidR="000D7EF5" w:rsidRPr="00B57DAB">
        <w:rPr>
          <w:rFonts w:ascii="GHEA Grapalat" w:hAnsi="GHEA Grapalat" w:cs="GHEA Grapalat"/>
          <w:sz w:val="22"/>
          <w:szCs w:val="22"/>
        </w:rPr>
        <w:t xml:space="preserve">երի երկարաձգմամբ: </w:t>
      </w:r>
    </w:p>
    <w:p w:rsidR="000D7EF5" w:rsidRPr="00B57DAB" w:rsidRDefault="000D7EF5" w:rsidP="000D7EF5">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 xml:space="preserve">Հաշվետու ժամանակահատվածում ՀՀ պետական վերահսկողական ծառայության տեխնիկական հագեցվածության բարելավման նպատակով ձեռք են բերվել 3 համակարգիչներ և 2 համակարգչային այլ սարքավորումներ: Միջոցառման շրջանակներում օգտագործվել է 1.7 մլն դրամ, որը կազմել է ծրագրված ցուցանիշի 74.6%-ը՝ հիմնականում պայմանավորված որոշ ապրանքների ձեռքբերման ժամկետի հետաձգմամբ: </w:t>
      </w:r>
    </w:p>
    <w:p w:rsidR="000D7EF5" w:rsidRPr="00B57DAB" w:rsidRDefault="000D7EF5" w:rsidP="000D7EF5">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 xml:space="preserve">Նախորդ տարվա համեմատ առաջին եռամսյակի համեմատ ՀՀ պետական վերահսկողական ծառայության ծախսերն աճել են 10.5%-ով </w:t>
      </w:r>
      <w:r w:rsidR="004E50B4" w:rsidRPr="00B57DAB">
        <w:rPr>
          <w:rFonts w:ascii="GHEA Grapalat" w:hAnsi="GHEA Grapalat" w:cs="GHEA Grapalat"/>
          <w:sz w:val="22"/>
          <w:szCs w:val="22"/>
        </w:rPr>
        <w:t>(1</w:t>
      </w:r>
      <w:r w:rsidRPr="00B57DAB">
        <w:rPr>
          <w:rFonts w:ascii="GHEA Grapalat" w:hAnsi="GHEA Grapalat" w:cs="GHEA Grapalat"/>
          <w:sz w:val="22"/>
          <w:szCs w:val="22"/>
        </w:rPr>
        <w:t>3.4 մլն դրամով</w:t>
      </w:r>
      <w:r w:rsidR="004E50B4" w:rsidRPr="00B57DAB">
        <w:rPr>
          <w:rFonts w:ascii="GHEA Grapalat" w:hAnsi="GHEA Grapalat" w:cs="GHEA Grapalat"/>
          <w:sz w:val="22"/>
          <w:szCs w:val="22"/>
        </w:rPr>
        <w:t>)</w:t>
      </w:r>
      <w:r w:rsidRPr="00B57DAB">
        <w:rPr>
          <w:rFonts w:ascii="GHEA Grapalat" w:hAnsi="GHEA Grapalat" w:cs="GHEA Grapalat"/>
          <w:sz w:val="22"/>
          <w:szCs w:val="22"/>
        </w:rPr>
        <w:t>, որը հիմնականում պայմանավորված է ՀՀ վարչապետին ՀՀ Սահմանադրությամբ և օրենքներով վերապահված վերահսկողական լիազորությունների իրականացման ապահովման ծախսերի 9.2% (11.7 մլն դրամ) աճով:</w:t>
      </w:r>
    </w:p>
    <w:p w:rsidR="003F2149" w:rsidRPr="00B57DAB" w:rsidRDefault="003F2149" w:rsidP="003F2149">
      <w:pPr>
        <w:spacing w:line="360" w:lineRule="auto"/>
        <w:ind w:firstLine="561"/>
        <w:jc w:val="both"/>
        <w:rPr>
          <w:rFonts w:ascii="GHEA Grapalat" w:hAnsi="GHEA Grapalat" w:cs="GHEA Grapalat"/>
          <w:sz w:val="22"/>
          <w:szCs w:val="22"/>
        </w:rPr>
      </w:pPr>
    </w:p>
    <w:p w:rsidR="007173F4" w:rsidRPr="00B57DAB" w:rsidRDefault="007173F4" w:rsidP="007173F4">
      <w:pPr>
        <w:autoSpaceDE w:val="0"/>
        <w:autoSpaceDN w:val="0"/>
        <w:adjustRightInd w:val="0"/>
        <w:spacing w:line="360" w:lineRule="auto"/>
        <w:ind w:firstLine="567"/>
        <w:jc w:val="both"/>
        <w:rPr>
          <w:rFonts w:ascii="GHEA Grapalat" w:hAnsi="GHEA Grapalat" w:cs="GHEA Grapalat"/>
          <w:i/>
          <w:sz w:val="22"/>
          <w:szCs w:val="22"/>
          <w:u w:val="single"/>
        </w:rPr>
      </w:pPr>
      <w:r w:rsidRPr="00B57DAB">
        <w:rPr>
          <w:rFonts w:ascii="GHEA Grapalat" w:hAnsi="GHEA Grapalat" w:cs="Times Armenian"/>
          <w:i/>
          <w:sz w:val="22"/>
          <w:szCs w:val="22"/>
          <w:u w:val="single"/>
        </w:rPr>
        <w:t>Հակակոռուպցիոն կոմիտեին</w:t>
      </w:r>
      <w:r w:rsidRPr="00B57DAB">
        <w:rPr>
          <w:rFonts w:ascii="GHEA Grapalat" w:hAnsi="GHEA Grapalat" w:cs="Times Armenian"/>
          <w:sz w:val="22"/>
          <w:szCs w:val="22"/>
        </w:rPr>
        <w:t xml:space="preserve"> </w:t>
      </w:r>
      <w:r w:rsidR="004E50B4" w:rsidRPr="00B57DAB">
        <w:rPr>
          <w:rFonts w:ascii="GHEA Grapalat" w:hAnsi="GHEA Grapalat" w:cs="Times Armenian"/>
          <w:sz w:val="22"/>
          <w:szCs w:val="22"/>
        </w:rPr>
        <w:t xml:space="preserve">2022 թվականի առաջին եռամսյակում </w:t>
      </w:r>
      <w:r w:rsidRPr="00B57DAB">
        <w:rPr>
          <w:rFonts w:ascii="GHEA Grapalat" w:hAnsi="GHEA Grapalat" w:cs="GHEA Grapalat"/>
          <w:sz w:val="22"/>
          <w:szCs w:val="22"/>
        </w:rPr>
        <w:t>տրամադրվել է 172.8 մլն դրամ՝ ապահովելով ծրագր</w:t>
      </w:r>
      <w:r w:rsidR="004E50B4" w:rsidRPr="00B57DAB">
        <w:rPr>
          <w:rFonts w:ascii="GHEA Grapalat" w:hAnsi="GHEA Grapalat" w:cs="GHEA Grapalat"/>
          <w:sz w:val="22"/>
          <w:szCs w:val="22"/>
        </w:rPr>
        <w:t>ային ցուցանիշ</w:t>
      </w:r>
      <w:r w:rsidRPr="00B57DAB">
        <w:rPr>
          <w:rFonts w:ascii="GHEA Grapalat" w:hAnsi="GHEA Grapalat" w:cs="GHEA Grapalat"/>
          <w:sz w:val="22"/>
          <w:szCs w:val="22"/>
        </w:rPr>
        <w:t>ի 78.1% կատարողական: Միջոցներ</w:t>
      </w:r>
      <w:r w:rsidR="004E50B4" w:rsidRPr="00B57DAB">
        <w:rPr>
          <w:rFonts w:ascii="GHEA Grapalat" w:hAnsi="GHEA Grapalat" w:cs="GHEA Grapalat"/>
          <w:sz w:val="22"/>
          <w:szCs w:val="22"/>
        </w:rPr>
        <w:t>ն</w:t>
      </w:r>
      <w:r w:rsidRPr="00B57DAB">
        <w:rPr>
          <w:rFonts w:ascii="GHEA Grapalat" w:hAnsi="GHEA Grapalat" w:cs="GHEA Grapalat"/>
          <w:sz w:val="22"/>
          <w:szCs w:val="22"/>
        </w:rPr>
        <w:t xml:space="preserve"> ուղղվել են</w:t>
      </w:r>
      <w:r w:rsidRPr="00B57DAB">
        <w:t xml:space="preserve"> </w:t>
      </w:r>
      <w:r w:rsidRPr="00B57DAB">
        <w:rPr>
          <w:rFonts w:ascii="GHEA Grapalat" w:hAnsi="GHEA Grapalat" w:cs="GHEA Grapalat"/>
          <w:i/>
          <w:sz w:val="22"/>
          <w:szCs w:val="22"/>
        </w:rPr>
        <w:t>Կոռուպցիոն հանցագործությունների բացահայտման և քննության ապահովմ</w:t>
      </w:r>
      <w:r w:rsidR="004E50B4" w:rsidRPr="00B57DAB">
        <w:rPr>
          <w:rFonts w:ascii="GHEA Grapalat" w:hAnsi="GHEA Grapalat" w:cs="GHEA Grapalat"/>
          <w:i/>
          <w:sz w:val="22"/>
          <w:szCs w:val="22"/>
        </w:rPr>
        <w:t>ան</w:t>
      </w:r>
      <w:r w:rsidR="004E50B4" w:rsidRPr="00B57DAB">
        <w:rPr>
          <w:rFonts w:ascii="GHEA Grapalat" w:hAnsi="GHEA Grapalat" w:cs="GHEA Grapalat"/>
          <w:sz w:val="22"/>
          <w:szCs w:val="22"/>
        </w:rPr>
        <w:t xml:space="preserve"> ծրագրին</w:t>
      </w:r>
      <w:r w:rsidRPr="00B57DAB">
        <w:rPr>
          <w:rFonts w:ascii="GHEA Grapalat" w:hAnsi="GHEA Grapalat" w:cs="GHEA Grapalat"/>
          <w:sz w:val="22"/>
          <w:szCs w:val="22"/>
        </w:rPr>
        <w:t xml:space="preserve">: </w:t>
      </w:r>
      <w:r w:rsidR="004E50B4" w:rsidRPr="00B57DAB">
        <w:rPr>
          <w:rFonts w:ascii="GHEA Grapalat" w:hAnsi="GHEA Grapalat" w:cs="GHEA Grapalat"/>
          <w:sz w:val="22"/>
          <w:szCs w:val="22"/>
        </w:rPr>
        <w:t>Հաշվետու ժամանակահատվածում վ</w:t>
      </w:r>
      <w:r w:rsidRPr="00B57DAB">
        <w:rPr>
          <w:rFonts w:ascii="GHEA Grapalat" w:hAnsi="GHEA Grapalat" w:cs="GHEA Grapalat"/>
          <w:sz w:val="22"/>
          <w:szCs w:val="22"/>
        </w:rPr>
        <w:t xml:space="preserve">արույթում քննված քրեական գործերի ընդհանուր թիվը կազմել է </w:t>
      </w:r>
      <w:r w:rsidR="004E50B4" w:rsidRPr="00B57DAB">
        <w:rPr>
          <w:rFonts w:ascii="GHEA Grapalat" w:hAnsi="GHEA Grapalat" w:cs="GHEA Grapalat"/>
          <w:sz w:val="22"/>
          <w:szCs w:val="22"/>
        </w:rPr>
        <w:t>338</w:t>
      </w:r>
      <w:r w:rsidRPr="00B57DAB">
        <w:rPr>
          <w:rFonts w:ascii="GHEA Grapalat" w:hAnsi="GHEA Grapalat" w:cs="GHEA Grapalat"/>
          <w:sz w:val="22"/>
          <w:szCs w:val="22"/>
        </w:rPr>
        <w:t>, այդ թվում</w:t>
      </w:r>
      <w:r w:rsidR="004E50B4" w:rsidRPr="00B57DAB">
        <w:rPr>
          <w:rFonts w:ascii="GHEA Grapalat" w:hAnsi="GHEA Grapalat" w:cs="GHEA Grapalat"/>
          <w:sz w:val="22"/>
          <w:szCs w:val="22"/>
        </w:rPr>
        <w:t>՝</w:t>
      </w:r>
      <w:r w:rsidRPr="00B57DAB">
        <w:t xml:space="preserve"> </w:t>
      </w:r>
      <w:r w:rsidRPr="00B57DAB">
        <w:rPr>
          <w:rFonts w:ascii="GHEA Grapalat" w:hAnsi="GHEA Grapalat" w:cs="GHEA Grapalat"/>
          <w:sz w:val="22"/>
          <w:szCs w:val="22"/>
        </w:rPr>
        <w:t>ՀՀ քրեակ</w:t>
      </w:r>
      <w:r w:rsidR="004E50B4" w:rsidRPr="00B57DAB">
        <w:rPr>
          <w:rFonts w:ascii="GHEA Grapalat" w:hAnsi="GHEA Grapalat" w:cs="GHEA Grapalat"/>
          <w:sz w:val="22"/>
          <w:szCs w:val="22"/>
        </w:rPr>
        <w:t>ան դատավարության օրենսգրքով</w:t>
      </w:r>
      <w:r w:rsidRPr="00B57DAB">
        <w:rPr>
          <w:rFonts w:ascii="GHEA Grapalat" w:hAnsi="GHEA Grapalat" w:cs="GHEA Grapalat"/>
          <w:sz w:val="22"/>
          <w:szCs w:val="22"/>
        </w:rPr>
        <w:t xml:space="preserve"> ՀՀ հակակոռուպցիոն կոմիտեի ենթակայությանը վերապահված`</w:t>
      </w:r>
      <w:r w:rsidR="0093157E" w:rsidRPr="00B57DAB">
        <w:rPr>
          <w:rFonts w:ascii="GHEA Grapalat" w:hAnsi="GHEA Grapalat" w:cs="GHEA Grapalat"/>
          <w:sz w:val="22"/>
          <w:szCs w:val="22"/>
        </w:rPr>
        <w:t xml:space="preserve"> </w:t>
      </w:r>
      <w:r w:rsidRPr="00B57DAB">
        <w:rPr>
          <w:rFonts w:ascii="GHEA Grapalat" w:hAnsi="GHEA Grapalat" w:cs="GHEA Grapalat"/>
          <w:sz w:val="22"/>
          <w:szCs w:val="22"/>
        </w:rPr>
        <w:t>հարուցված քրեական գործերի թիվը՝ 299</w:t>
      </w:r>
      <w:r w:rsidR="005D6BE2" w:rsidRPr="00B57DAB">
        <w:rPr>
          <w:rFonts w:ascii="GHEA Grapalat" w:hAnsi="GHEA Grapalat" w:cs="GHEA Grapalat"/>
          <w:sz w:val="22"/>
          <w:szCs w:val="22"/>
        </w:rPr>
        <w:t xml:space="preserve">, բացահայտված </w:t>
      </w:r>
      <w:r w:rsidR="005D6BE2" w:rsidRPr="00B57DAB">
        <w:rPr>
          <w:rFonts w:ascii="GHEA Grapalat" w:hAnsi="GHEA Grapalat" w:cs="GHEA Grapalat"/>
          <w:sz w:val="22"/>
          <w:szCs w:val="22"/>
        </w:rPr>
        <w:lastRenderedPageBreak/>
        <w:t>կոռուպցիոն հանցագործությունների թիվը՝ 279</w:t>
      </w:r>
      <w:r w:rsidRPr="00B57DAB">
        <w:rPr>
          <w:rFonts w:ascii="GHEA Grapalat" w:hAnsi="GHEA Grapalat" w:cs="GHEA Grapalat"/>
          <w:sz w:val="22"/>
          <w:szCs w:val="22"/>
        </w:rPr>
        <w:t>:</w:t>
      </w:r>
      <w:r w:rsidRPr="00B57DAB">
        <w:t xml:space="preserve"> </w:t>
      </w:r>
      <w:r w:rsidRPr="00B57DAB">
        <w:rPr>
          <w:rFonts w:ascii="GHEA Grapalat" w:hAnsi="GHEA Grapalat" w:cs="GHEA Grapalat"/>
          <w:sz w:val="22"/>
          <w:szCs w:val="22"/>
        </w:rPr>
        <w:t>Հակակոռուպցիոն կոմիտեն իր գործունեությունը սկսել է իրականացնել 2021 թվականի հոկտեմբերի 23-ից:</w:t>
      </w:r>
    </w:p>
    <w:p w:rsidR="007173F4" w:rsidRPr="00B57DAB" w:rsidRDefault="007173F4" w:rsidP="003F2149">
      <w:pPr>
        <w:spacing w:line="360" w:lineRule="auto"/>
        <w:ind w:firstLine="561"/>
        <w:jc w:val="both"/>
        <w:rPr>
          <w:rFonts w:ascii="GHEA Grapalat" w:hAnsi="GHEA Grapalat" w:cs="GHEA Grapalat"/>
          <w:sz w:val="22"/>
          <w:szCs w:val="22"/>
        </w:rPr>
      </w:pPr>
    </w:p>
    <w:p w:rsidR="007173F4" w:rsidRPr="00B57DAB" w:rsidRDefault="003F2149" w:rsidP="007173F4">
      <w:pPr>
        <w:spacing w:line="360" w:lineRule="auto"/>
        <w:ind w:firstLine="561"/>
        <w:jc w:val="both"/>
        <w:rPr>
          <w:rFonts w:ascii="GHEA Grapalat" w:hAnsi="GHEA Grapalat" w:cs="GHEA Grapalat"/>
          <w:sz w:val="22"/>
          <w:szCs w:val="22"/>
        </w:rPr>
      </w:pPr>
      <w:r w:rsidRPr="00B57DAB">
        <w:rPr>
          <w:rFonts w:ascii="GHEA Grapalat" w:hAnsi="GHEA Grapalat"/>
          <w:i/>
          <w:sz w:val="22"/>
          <w:szCs w:val="22"/>
          <w:u w:val="single"/>
          <w:lang w:val="hy-AM"/>
        </w:rPr>
        <w:t>Հայաստանի Հանրապետության մարզպետարաններին</w:t>
      </w:r>
      <w:r w:rsidRPr="00B57DAB">
        <w:rPr>
          <w:rFonts w:ascii="GHEA Grapalat" w:hAnsi="GHEA Grapalat"/>
          <w:sz w:val="22"/>
          <w:szCs w:val="22"/>
        </w:rPr>
        <w:t xml:space="preserve"> </w:t>
      </w:r>
      <w:r w:rsidR="007173F4" w:rsidRPr="00B57DAB">
        <w:rPr>
          <w:rFonts w:ascii="GHEA Grapalat" w:hAnsi="GHEA Grapalat" w:cs="GHEA Grapalat"/>
          <w:sz w:val="22"/>
          <w:szCs w:val="22"/>
        </w:rPr>
        <w:t>մարզերում տարածքային պետական կառավարման ծրագրերի շրջանակներում 2021 թվականի առաջին եռամսյակի ընթացքում ՀՀ պետական բյուջեից ընդհանուր առմամբ տրամադրվել է 958.0 մլն դրամ, որը կազմել է ծրագրված ցուցանիշի 91.8%-ը։</w:t>
      </w:r>
    </w:p>
    <w:p w:rsidR="007173F4" w:rsidRPr="00B57DAB" w:rsidRDefault="007173F4" w:rsidP="007173F4">
      <w:pPr>
        <w:spacing w:line="360" w:lineRule="auto"/>
        <w:ind w:firstLine="561"/>
        <w:jc w:val="both"/>
        <w:rPr>
          <w:rFonts w:ascii="GHEA Grapalat" w:hAnsi="GHEA Grapalat" w:cs="GHEA Grapalat"/>
          <w:sz w:val="22"/>
          <w:szCs w:val="22"/>
        </w:rPr>
      </w:pPr>
      <w:r w:rsidRPr="00B57DAB">
        <w:rPr>
          <w:rFonts w:ascii="GHEA Grapalat" w:hAnsi="GHEA Grapalat" w:cs="GHEA Grapalat"/>
          <w:sz w:val="22"/>
          <w:szCs w:val="22"/>
        </w:rPr>
        <w:t xml:space="preserve">Միջոցները հիմնականում օգտագործվել են «Տարածքային պետական կառավարման ապահովում» միջոցառումների շրջանակներում, որոնց ուղղվել է </w:t>
      </w:r>
      <w:r w:rsidR="00A94355" w:rsidRPr="00B57DAB">
        <w:rPr>
          <w:rFonts w:ascii="GHEA Grapalat" w:hAnsi="GHEA Grapalat" w:cs="GHEA Grapalat"/>
          <w:sz w:val="22"/>
          <w:szCs w:val="22"/>
        </w:rPr>
        <w:t>957</w:t>
      </w:r>
      <w:r w:rsidR="00852EBB" w:rsidRPr="00B57DAB">
        <w:rPr>
          <w:rFonts w:ascii="GHEA Grapalat" w:hAnsi="GHEA Grapalat" w:cs="GHEA Grapalat"/>
          <w:sz w:val="22"/>
          <w:szCs w:val="22"/>
        </w:rPr>
        <w:t>.2</w:t>
      </w:r>
      <w:r w:rsidRPr="00B57DAB">
        <w:rPr>
          <w:rFonts w:ascii="GHEA Grapalat" w:hAnsi="GHEA Grapalat" w:cs="GHEA Grapalat"/>
          <w:sz w:val="22"/>
          <w:szCs w:val="22"/>
        </w:rPr>
        <w:t xml:space="preserve"> մլն դրամ՝ կազմեով ծրագրված ցուցանիշի 91.</w:t>
      </w:r>
      <w:r w:rsidR="00852EBB" w:rsidRPr="00B57DAB">
        <w:rPr>
          <w:rFonts w:ascii="GHEA Grapalat" w:hAnsi="GHEA Grapalat" w:cs="GHEA Grapalat"/>
          <w:sz w:val="22"/>
          <w:szCs w:val="22"/>
        </w:rPr>
        <w:t>9</w:t>
      </w:r>
      <w:r w:rsidRPr="00B57DAB">
        <w:rPr>
          <w:rFonts w:ascii="GHEA Grapalat" w:hAnsi="GHEA Grapalat" w:cs="GHEA Grapalat"/>
          <w:sz w:val="22"/>
          <w:szCs w:val="22"/>
        </w:rPr>
        <w:t>%-ը:</w:t>
      </w:r>
    </w:p>
    <w:p w:rsidR="007173F4" w:rsidRPr="00B57DAB" w:rsidRDefault="007173F4" w:rsidP="007173F4">
      <w:pPr>
        <w:spacing w:line="360" w:lineRule="auto"/>
        <w:ind w:firstLine="561"/>
        <w:jc w:val="both"/>
        <w:rPr>
          <w:rFonts w:ascii="GHEA Grapalat" w:hAnsi="GHEA Grapalat" w:cs="GHEA Grapalat"/>
          <w:sz w:val="22"/>
          <w:szCs w:val="22"/>
        </w:rPr>
      </w:pPr>
      <w:r w:rsidRPr="00B57DAB">
        <w:rPr>
          <w:rFonts w:ascii="GHEA Grapalat" w:hAnsi="GHEA Grapalat" w:cs="GHEA Grapalat"/>
          <w:sz w:val="22"/>
          <w:szCs w:val="22"/>
        </w:rPr>
        <w:t xml:space="preserve">Հատկացումներն ըստ մարզերի ներկայացված են Աղյուսակ </w:t>
      </w:r>
      <w:r w:rsidR="00B57DAB" w:rsidRPr="00B57DAB">
        <w:rPr>
          <w:rFonts w:ascii="GHEA Grapalat" w:hAnsi="GHEA Grapalat" w:cs="GHEA Grapalat"/>
          <w:sz w:val="22"/>
          <w:szCs w:val="22"/>
        </w:rPr>
        <w:t>17</w:t>
      </w:r>
      <w:r w:rsidRPr="00B57DAB">
        <w:rPr>
          <w:rFonts w:ascii="GHEA Grapalat" w:hAnsi="GHEA Grapalat" w:cs="GHEA Grapalat"/>
          <w:sz w:val="22"/>
          <w:szCs w:val="22"/>
        </w:rPr>
        <w:t>-ում:</w:t>
      </w:r>
    </w:p>
    <w:p w:rsidR="007173F4" w:rsidRPr="00B57DAB" w:rsidRDefault="007173F4" w:rsidP="007173F4">
      <w:pPr>
        <w:spacing w:line="360" w:lineRule="auto"/>
        <w:ind w:firstLine="561"/>
        <w:jc w:val="both"/>
        <w:rPr>
          <w:rFonts w:ascii="GHEA Grapalat" w:hAnsi="GHEA Grapalat" w:cs="GHEA Grapalat"/>
          <w:sz w:val="22"/>
          <w:szCs w:val="22"/>
        </w:rPr>
      </w:pPr>
      <w:r w:rsidRPr="00B57DAB">
        <w:rPr>
          <w:rFonts w:ascii="GHEA Grapalat" w:hAnsi="GHEA Grapalat" w:cs="GHEA Grapalat"/>
          <w:sz w:val="22"/>
          <w:szCs w:val="22"/>
        </w:rPr>
        <w:t>Նախորդ տարվա առաջին եռամսյակի համեմատ մարզպետարանների ծախսերը նվազել են 10.7%-ով կամ 115.3 մլն դրամով՝ հիմնականում պայմանավո</w:t>
      </w:r>
      <w:r w:rsidR="00A94355" w:rsidRPr="00B57DAB">
        <w:rPr>
          <w:rFonts w:ascii="GHEA Grapalat" w:hAnsi="GHEA Grapalat" w:cs="GHEA Grapalat"/>
          <w:sz w:val="22"/>
          <w:szCs w:val="22"/>
        </w:rPr>
        <w:t xml:space="preserve">րված ՀՀ կառավարության որոշմամբ </w:t>
      </w:r>
      <w:r w:rsidR="00852EBB" w:rsidRPr="00B57DAB">
        <w:rPr>
          <w:rFonts w:ascii="GHEA Grapalat" w:hAnsi="GHEA Grapalat" w:cs="GHEA Grapalat"/>
          <w:sz w:val="22"/>
          <w:szCs w:val="22"/>
        </w:rPr>
        <w:t xml:space="preserve">2021 թվականի ապրիլի 1-ից </w:t>
      </w:r>
      <w:r w:rsidR="00A94355" w:rsidRPr="00B57DAB">
        <w:rPr>
          <w:rFonts w:ascii="GHEA Grapalat" w:hAnsi="GHEA Grapalat" w:cs="GHEA Grapalat"/>
          <w:sz w:val="22"/>
          <w:szCs w:val="22"/>
        </w:rPr>
        <w:t>Միասնական սոցիալական ծառայության</w:t>
      </w:r>
      <w:r w:rsidRPr="00B57DAB">
        <w:rPr>
          <w:rFonts w:ascii="GHEA Grapalat" w:hAnsi="GHEA Grapalat" w:cs="GHEA Grapalat"/>
          <w:sz w:val="22"/>
          <w:szCs w:val="22"/>
        </w:rPr>
        <w:t xml:space="preserve"> ստեղծման հետ կապված՝ ՀՀ մարզպետարանների աշխատակազմերի</w:t>
      </w:r>
      <w:r w:rsidR="00A94355" w:rsidRPr="00B57DAB">
        <w:rPr>
          <w:rFonts w:ascii="GHEA Grapalat" w:hAnsi="GHEA Grapalat" w:cs="GHEA Grapalat"/>
          <w:sz w:val="22"/>
          <w:szCs w:val="22"/>
        </w:rPr>
        <w:t xml:space="preserve"> առանձնացված ստորաբաժանումներ հանդիսացող</w:t>
      </w:r>
      <w:r w:rsidRPr="00B57DAB">
        <w:rPr>
          <w:rFonts w:ascii="GHEA Grapalat" w:hAnsi="GHEA Grapalat" w:cs="GHEA Grapalat"/>
          <w:sz w:val="22"/>
          <w:szCs w:val="22"/>
        </w:rPr>
        <w:t xml:space="preserve"> սոցիալական աջակցության տարածքային գործակալությունների գործունեության դադարեցմամբ:</w:t>
      </w:r>
    </w:p>
    <w:p w:rsidR="007173F4" w:rsidRPr="00B57DAB" w:rsidRDefault="007173F4" w:rsidP="007173F4">
      <w:pPr>
        <w:spacing w:line="360" w:lineRule="auto"/>
        <w:ind w:firstLine="561"/>
        <w:jc w:val="both"/>
        <w:rPr>
          <w:rFonts w:ascii="GHEA Grapalat" w:hAnsi="GHEA Grapalat" w:cs="GHEA Grapalat"/>
          <w:sz w:val="22"/>
          <w:szCs w:val="22"/>
        </w:rPr>
      </w:pPr>
    </w:p>
    <w:p w:rsidR="007173F4" w:rsidRPr="00B57DAB" w:rsidRDefault="007173F4" w:rsidP="00770F24">
      <w:pPr>
        <w:pStyle w:val="Caption"/>
        <w:keepNext/>
        <w:numPr>
          <w:ilvl w:val="0"/>
          <w:numId w:val="8"/>
        </w:numPr>
        <w:tabs>
          <w:tab w:val="left" w:pos="1276"/>
        </w:tabs>
        <w:ind w:left="0" w:firstLine="0"/>
        <w:jc w:val="left"/>
        <w:rPr>
          <w:rFonts w:ascii="GHEA Grapalat" w:hAnsi="GHEA Grapalat"/>
          <w:i/>
          <w:sz w:val="18"/>
          <w:szCs w:val="18"/>
          <w:lang w:val="en-US"/>
        </w:rPr>
      </w:pPr>
      <w:r w:rsidRPr="00B57DAB">
        <w:rPr>
          <w:rFonts w:ascii="GHEA Grapalat" w:hAnsi="GHEA Grapalat"/>
          <w:i/>
          <w:sz w:val="18"/>
          <w:szCs w:val="18"/>
          <w:lang w:val="en-US"/>
        </w:rPr>
        <w:t xml:space="preserve"> ՀՀ պետական բյուջեից հատկացումներն ըստ մարզերի (մլն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3544"/>
        <w:gridCol w:w="992"/>
        <w:gridCol w:w="993"/>
        <w:gridCol w:w="992"/>
        <w:gridCol w:w="1276"/>
        <w:gridCol w:w="1275"/>
        <w:gridCol w:w="1134"/>
      </w:tblGrid>
      <w:tr w:rsidR="007173F4" w:rsidRPr="00B57DAB" w:rsidTr="00295356">
        <w:trPr>
          <w:trHeight w:val="1907"/>
        </w:trPr>
        <w:tc>
          <w:tcPr>
            <w:tcW w:w="3544" w:type="dxa"/>
            <w:tcBorders>
              <w:top w:val="single" w:sz="4" w:space="0" w:color="auto"/>
              <w:left w:val="single" w:sz="4" w:space="0" w:color="auto"/>
              <w:bottom w:val="single" w:sz="4" w:space="0" w:color="auto"/>
              <w:right w:val="single" w:sz="4" w:space="0" w:color="auto"/>
            </w:tcBorders>
            <w:shd w:val="clear" w:color="auto" w:fill="auto"/>
          </w:tcPr>
          <w:p w:rsidR="007173F4" w:rsidRPr="00B57DAB" w:rsidRDefault="007173F4" w:rsidP="00504BFB">
            <w:pPr>
              <w:rPr>
                <w:rFonts w:ascii="GHEA Grapalat" w:hAnsi="GHEA Grapalat"/>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173F4" w:rsidRPr="00B57DAB" w:rsidRDefault="007173F4" w:rsidP="00504BFB">
            <w:pPr>
              <w:jc w:val="center"/>
              <w:rPr>
                <w:rFonts w:ascii="GHEA Grapalat" w:hAnsi="GHEA Grapalat" w:cs="Calibri"/>
                <w:b/>
                <w:color w:val="000000"/>
                <w:sz w:val="18"/>
                <w:szCs w:val="18"/>
              </w:rPr>
            </w:pPr>
            <w:r w:rsidRPr="00B57DAB">
              <w:rPr>
                <w:rFonts w:ascii="GHEA Grapalat" w:hAnsi="GHEA Grapalat" w:cs="Calibri"/>
                <w:b/>
                <w:color w:val="000000"/>
                <w:sz w:val="18"/>
                <w:szCs w:val="18"/>
              </w:rPr>
              <w:t>2021թ. առաջին եռամս-յակի փաստ</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7173F4" w:rsidRPr="00B57DAB" w:rsidRDefault="007173F4" w:rsidP="00504BFB">
            <w:pPr>
              <w:jc w:val="center"/>
              <w:rPr>
                <w:rFonts w:ascii="GHEA Grapalat" w:hAnsi="GHEA Grapalat" w:cs="Calibri"/>
                <w:b/>
                <w:color w:val="000000"/>
                <w:sz w:val="18"/>
                <w:szCs w:val="18"/>
              </w:rPr>
            </w:pPr>
            <w:r w:rsidRPr="00B57DAB">
              <w:rPr>
                <w:rFonts w:ascii="GHEA Grapalat" w:hAnsi="GHEA Grapalat" w:cs="Calibri"/>
                <w:b/>
                <w:color w:val="000000"/>
                <w:sz w:val="18"/>
                <w:szCs w:val="18"/>
              </w:rPr>
              <w:t>2022թ. առաջին եռամս-յակի ճշտված պլան</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173F4" w:rsidRPr="00B57DAB" w:rsidRDefault="007173F4" w:rsidP="00504BFB">
            <w:pPr>
              <w:jc w:val="center"/>
              <w:rPr>
                <w:rFonts w:ascii="GHEA Grapalat" w:hAnsi="GHEA Grapalat" w:cs="Calibri"/>
                <w:b/>
                <w:color w:val="000000"/>
                <w:sz w:val="18"/>
                <w:szCs w:val="18"/>
              </w:rPr>
            </w:pPr>
            <w:r w:rsidRPr="00B57DAB">
              <w:rPr>
                <w:rFonts w:ascii="GHEA Grapalat" w:hAnsi="GHEA Grapalat" w:cs="Calibri"/>
                <w:b/>
                <w:color w:val="000000"/>
                <w:sz w:val="18"/>
                <w:szCs w:val="18"/>
              </w:rPr>
              <w:t>2022թ. առաջին եռամս-յակի փաստ</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173F4" w:rsidRPr="00B57DAB" w:rsidRDefault="007173F4" w:rsidP="00504BFB">
            <w:pPr>
              <w:jc w:val="center"/>
              <w:rPr>
                <w:rFonts w:ascii="GHEA Grapalat" w:hAnsi="GHEA Grapalat" w:cs="Calibri"/>
                <w:b/>
                <w:color w:val="000000"/>
                <w:sz w:val="18"/>
                <w:szCs w:val="18"/>
              </w:rPr>
            </w:pPr>
            <w:r w:rsidRPr="00B57DAB">
              <w:rPr>
                <w:rFonts w:ascii="GHEA Grapalat" w:hAnsi="GHEA Grapalat" w:cs="Calibri"/>
                <w:b/>
                <w:color w:val="000000"/>
                <w:sz w:val="18"/>
                <w:szCs w:val="18"/>
              </w:rPr>
              <w:t xml:space="preserve">Կատարո-ղականն առաջին եռամսյակի ճշտված պլանի նկատմամբ (%)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173F4" w:rsidRPr="00B57DAB" w:rsidRDefault="007173F4" w:rsidP="00504BFB">
            <w:pPr>
              <w:jc w:val="center"/>
              <w:rPr>
                <w:rFonts w:ascii="GHEA Grapalat" w:hAnsi="GHEA Grapalat" w:cs="Calibri"/>
                <w:b/>
                <w:color w:val="000000"/>
                <w:sz w:val="18"/>
                <w:szCs w:val="18"/>
              </w:rPr>
            </w:pPr>
            <w:r w:rsidRPr="00B57DAB">
              <w:rPr>
                <w:rFonts w:ascii="GHEA Grapalat" w:hAnsi="GHEA Grapalat" w:cs="Calibri"/>
                <w:b/>
                <w:bCs/>
                <w:color w:val="000000"/>
                <w:sz w:val="18"/>
                <w:szCs w:val="18"/>
              </w:rPr>
              <w:t xml:space="preserve">2022թ. </w:t>
            </w:r>
            <w:r w:rsidRPr="00B57DAB">
              <w:rPr>
                <w:rFonts w:ascii="GHEA Grapalat" w:hAnsi="GHEA Grapalat" w:cs="Calibri"/>
                <w:b/>
                <w:color w:val="000000"/>
                <w:sz w:val="18"/>
                <w:szCs w:val="18"/>
              </w:rPr>
              <w:t xml:space="preserve">առաջին եռամսյակը </w:t>
            </w:r>
            <w:r w:rsidRPr="00B57DAB">
              <w:rPr>
                <w:rFonts w:ascii="GHEA Grapalat" w:hAnsi="GHEA Grapalat" w:cs="Calibri"/>
                <w:b/>
                <w:bCs/>
                <w:color w:val="000000"/>
                <w:sz w:val="18"/>
                <w:szCs w:val="18"/>
              </w:rPr>
              <w:t xml:space="preserve">2021թ. </w:t>
            </w:r>
            <w:proofErr w:type="gramStart"/>
            <w:r w:rsidRPr="00B57DAB">
              <w:rPr>
                <w:rFonts w:ascii="GHEA Grapalat" w:hAnsi="GHEA Grapalat" w:cs="Calibri"/>
                <w:b/>
                <w:color w:val="000000"/>
                <w:sz w:val="18"/>
                <w:szCs w:val="18"/>
              </w:rPr>
              <w:t>առաջին</w:t>
            </w:r>
            <w:proofErr w:type="gramEnd"/>
            <w:r w:rsidRPr="00B57DAB">
              <w:rPr>
                <w:rFonts w:ascii="GHEA Grapalat" w:hAnsi="GHEA Grapalat" w:cs="Calibri"/>
                <w:b/>
                <w:color w:val="000000"/>
                <w:sz w:val="18"/>
                <w:szCs w:val="18"/>
              </w:rPr>
              <w:t xml:space="preserve"> եռամսյակի </w:t>
            </w:r>
            <w:r w:rsidRPr="00B57DAB">
              <w:rPr>
                <w:rFonts w:ascii="GHEA Grapalat" w:hAnsi="GHEA Grapalat" w:cs="Calibri"/>
                <w:b/>
                <w:bCs/>
                <w:color w:val="000000"/>
                <w:sz w:val="18"/>
                <w:szCs w:val="18"/>
              </w:rPr>
              <w:t>նկատմամբ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173F4" w:rsidRPr="00B57DAB" w:rsidRDefault="007173F4" w:rsidP="00504BFB">
            <w:pPr>
              <w:jc w:val="center"/>
              <w:rPr>
                <w:rFonts w:ascii="GHEA Grapalat" w:hAnsi="GHEA Grapalat" w:cs="Calibri"/>
                <w:b/>
                <w:color w:val="000000"/>
                <w:sz w:val="18"/>
                <w:szCs w:val="18"/>
              </w:rPr>
            </w:pPr>
            <w:r w:rsidRPr="00B57DAB">
              <w:rPr>
                <w:rFonts w:ascii="GHEA Grapalat" w:hAnsi="GHEA Grapalat" w:cs="Calibri"/>
                <w:b/>
                <w:bCs/>
                <w:color w:val="000000"/>
                <w:sz w:val="18"/>
                <w:szCs w:val="18"/>
              </w:rPr>
              <w:t>2022թ. և 2021թ. տարբե-րությունը</w:t>
            </w:r>
          </w:p>
        </w:tc>
      </w:tr>
      <w:tr w:rsidR="007173F4" w:rsidRPr="00B57DAB" w:rsidTr="00A94355">
        <w:trPr>
          <w:trHeight w:val="217"/>
        </w:trPr>
        <w:tc>
          <w:tcPr>
            <w:tcW w:w="35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rPr>
                <w:rFonts w:ascii="GHEA Grapalat" w:hAnsi="GHEA Grapalat"/>
                <w:b/>
                <w:sz w:val="18"/>
                <w:szCs w:val="18"/>
              </w:rPr>
            </w:pPr>
            <w:r w:rsidRPr="00B57DAB">
              <w:rPr>
                <w:rFonts w:ascii="GHEA Grapalat" w:hAnsi="GHEA Grapalat"/>
                <w:b/>
                <w:sz w:val="18"/>
                <w:szCs w:val="18"/>
              </w:rPr>
              <w:t>ԸՆԴԱՄԵՆԸ</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b/>
                <w:sz w:val="18"/>
                <w:szCs w:val="18"/>
              </w:rPr>
            </w:pPr>
            <w:r w:rsidRPr="00B57DAB">
              <w:rPr>
                <w:rFonts w:ascii="GHEA Grapalat" w:hAnsi="GHEA Grapalat"/>
                <w:b/>
                <w:sz w:val="18"/>
                <w:szCs w:val="18"/>
              </w:rPr>
              <w:t>1,073.3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b/>
                <w:sz w:val="18"/>
                <w:szCs w:val="18"/>
              </w:rPr>
            </w:pPr>
            <w:r w:rsidRPr="00B57DAB">
              <w:rPr>
                <w:rFonts w:ascii="GHEA Grapalat" w:hAnsi="GHEA Grapalat"/>
                <w:b/>
                <w:sz w:val="18"/>
                <w:szCs w:val="18"/>
              </w:rPr>
              <w:t>1,043.8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b/>
                <w:sz w:val="18"/>
                <w:szCs w:val="18"/>
              </w:rPr>
            </w:pPr>
            <w:r w:rsidRPr="00B57DAB">
              <w:rPr>
                <w:rFonts w:ascii="GHEA Grapalat" w:hAnsi="GHEA Grapalat"/>
                <w:b/>
                <w:sz w:val="18"/>
                <w:szCs w:val="18"/>
              </w:rPr>
              <w:t>958.0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b/>
                <w:sz w:val="18"/>
                <w:szCs w:val="18"/>
              </w:rPr>
            </w:pPr>
            <w:r w:rsidRPr="00B57DAB">
              <w:rPr>
                <w:rFonts w:ascii="GHEA Grapalat" w:hAnsi="GHEA Grapalat"/>
                <w:b/>
                <w:bCs/>
                <w:sz w:val="18"/>
                <w:szCs w:val="18"/>
              </w:rPr>
              <w:t>91.8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b/>
                <w:sz w:val="18"/>
                <w:szCs w:val="18"/>
              </w:rPr>
            </w:pPr>
            <w:r w:rsidRPr="00B57DAB">
              <w:rPr>
                <w:rFonts w:ascii="GHEA Grapalat" w:hAnsi="GHEA Grapalat"/>
                <w:b/>
                <w:sz w:val="18"/>
                <w:szCs w:val="18"/>
              </w:rPr>
              <w:t>89.3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173F4" w:rsidRPr="00B57DAB" w:rsidRDefault="007173F4" w:rsidP="00A94355">
            <w:pPr>
              <w:jc w:val="right"/>
              <w:rPr>
                <w:rFonts w:ascii="GHEA Grapalat" w:hAnsi="GHEA Grapalat"/>
                <w:b/>
                <w:sz w:val="18"/>
                <w:szCs w:val="18"/>
              </w:rPr>
            </w:pPr>
            <w:r w:rsidRPr="00B57DAB">
              <w:rPr>
                <w:rFonts w:ascii="GHEA Grapalat" w:hAnsi="GHEA Grapalat"/>
                <w:b/>
                <w:sz w:val="18"/>
                <w:szCs w:val="18"/>
              </w:rPr>
              <w:t>(115.3)</w:t>
            </w:r>
          </w:p>
        </w:tc>
      </w:tr>
      <w:tr w:rsidR="007173F4" w:rsidRPr="00B57DAB" w:rsidTr="00A94355">
        <w:trPr>
          <w:trHeight w:val="166"/>
        </w:trPr>
        <w:tc>
          <w:tcPr>
            <w:tcW w:w="35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rPr>
                <w:rFonts w:ascii="GHEA Grapalat" w:hAnsi="GHEA Grapalat"/>
                <w:sz w:val="18"/>
                <w:szCs w:val="18"/>
                <w:shd w:val="clear" w:color="auto" w:fill="FFFFFF"/>
              </w:rPr>
            </w:pPr>
            <w:r w:rsidRPr="00B57DAB">
              <w:rPr>
                <w:rFonts w:ascii="GHEA Grapalat" w:hAnsi="GHEA Grapalat"/>
                <w:sz w:val="18"/>
                <w:szCs w:val="18"/>
                <w:shd w:val="clear" w:color="auto" w:fill="FFFFFF"/>
              </w:rPr>
              <w:t>Արագածոտնի մարզպետարան</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91.7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90.0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83.4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92.6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90.9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(8.3)</w:t>
            </w:r>
          </w:p>
        </w:tc>
      </w:tr>
      <w:tr w:rsidR="007173F4" w:rsidRPr="00B57DAB" w:rsidTr="00A94355">
        <w:trPr>
          <w:trHeight w:val="166"/>
        </w:trPr>
        <w:tc>
          <w:tcPr>
            <w:tcW w:w="35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rPr>
                <w:rFonts w:ascii="GHEA Grapalat" w:hAnsi="GHEA Grapalat"/>
                <w:sz w:val="18"/>
                <w:szCs w:val="18"/>
                <w:shd w:val="clear" w:color="auto" w:fill="FFFFFF"/>
              </w:rPr>
            </w:pPr>
            <w:r w:rsidRPr="00B57DAB">
              <w:rPr>
                <w:rFonts w:ascii="GHEA Grapalat" w:hAnsi="GHEA Grapalat"/>
                <w:sz w:val="18"/>
                <w:szCs w:val="18"/>
                <w:shd w:val="clear" w:color="auto" w:fill="FFFFFF"/>
              </w:rPr>
              <w:t>Արարատի մարզպետարան</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101.7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99.5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89.8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90.3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88.4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(11.8)</w:t>
            </w:r>
          </w:p>
        </w:tc>
      </w:tr>
      <w:tr w:rsidR="007173F4" w:rsidRPr="00B57DAB" w:rsidTr="00A94355">
        <w:trPr>
          <w:trHeight w:val="166"/>
        </w:trPr>
        <w:tc>
          <w:tcPr>
            <w:tcW w:w="35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rPr>
                <w:rFonts w:ascii="GHEA Grapalat" w:hAnsi="GHEA Grapalat"/>
                <w:sz w:val="18"/>
                <w:szCs w:val="18"/>
                <w:shd w:val="clear" w:color="auto" w:fill="FFFFFF"/>
              </w:rPr>
            </w:pPr>
            <w:r w:rsidRPr="00B57DAB">
              <w:rPr>
                <w:rFonts w:ascii="GHEA Grapalat" w:hAnsi="GHEA Grapalat"/>
                <w:sz w:val="18"/>
                <w:szCs w:val="18"/>
                <w:shd w:val="clear" w:color="auto" w:fill="FFFFFF"/>
              </w:rPr>
              <w:t>Արմավիրի մարզպետարան</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105.9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107.3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89.7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83.6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84.7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(16.2)</w:t>
            </w:r>
          </w:p>
        </w:tc>
      </w:tr>
      <w:tr w:rsidR="007173F4" w:rsidRPr="00B57DAB" w:rsidTr="00A94355">
        <w:trPr>
          <w:trHeight w:val="166"/>
        </w:trPr>
        <w:tc>
          <w:tcPr>
            <w:tcW w:w="35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rPr>
                <w:rFonts w:ascii="GHEA Grapalat" w:hAnsi="GHEA Grapalat"/>
                <w:sz w:val="18"/>
                <w:szCs w:val="18"/>
                <w:shd w:val="clear" w:color="auto" w:fill="FFFFFF"/>
              </w:rPr>
            </w:pPr>
            <w:r w:rsidRPr="00B57DAB">
              <w:rPr>
                <w:rFonts w:ascii="GHEA Grapalat" w:hAnsi="GHEA Grapalat"/>
                <w:sz w:val="18"/>
                <w:szCs w:val="18"/>
                <w:shd w:val="clear" w:color="auto" w:fill="FFFFFF"/>
              </w:rPr>
              <w:t>Գեղարքունիքի մարզպետարան</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137.7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126.0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123.5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98.0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89.6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(14.3)</w:t>
            </w:r>
          </w:p>
        </w:tc>
      </w:tr>
      <w:tr w:rsidR="007173F4" w:rsidRPr="00B57DAB" w:rsidTr="00A94355">
        <w:trPr>
          <w:trHeight w:val="228"/>
        </w:trPr>
        <w:tc>
          <w:tcPr>
            <w:tcW w:w="35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rPr>
                <w:rFonts w:ascii="GHEA Grapalat" w:hAnsi="GHEA Grapalat"/>
                <w:sz w:val="18"/>
                <w:szCs w:val="18"/>
                <w:shd w:val="clear" w:color="auto" w:fill="FFFFFF"/>
              </w:rPr>
            </w:pPr>
            <w:r w:rsidRPr="00B57DAB">
              <w:rPr>
                <w:rFonts w:ascii="GHEA Grapalat" w:hAnsi="GHEA Grapalat"/>
                <w:sz w:val="18"/>
                <w:szCs w:val="18"/>
                <w:shd w:val="clear" w:color="auto" w:fill="FFFFFF"/>
              </w:rPr>
              <w:t>Լոռու մարզպետարան</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123.5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115.5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107.3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92.9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86.9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(16.2)</w:t>
            </w:r>
          </w:p>
        </w:tc>
      </w:tr>
      <w:tr w:rsidR="007173F4" w:rsidRPr="00B57DAB" w:rsidTr="00A94355">
        <w:trPr>
          <w:trHeight w:val="166"/>
        </w:trPr>
        <w:tc>
          <w:tcPr>
            <w:tcW w:w="35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rPr>
                <w:rFonts w:ascii="GHEA Grapalat" w:hAnsi="GHEA Grapalat"/>
                <w:sz w:val="18"/>
                <w:szCs w:val="18"/>
                <w:shd w:val="clear" w:color="auto" w:fill="FFFFFF"/>
              </w:rPr>
            </w:pPr>
            <w:r w:rsidRPr="00B57DAB">
              <w:rPr>
                <w:rFonts w:ascii="GHEA Grapalat" w:hAnsi="GHEA Grapalat"/>
                <w:sz w:val="18"/>
                <w:szCs w:val="18"/>
                <w:shd w:val="clear" w:color="auto" w:fill="FFFFFF"/>
              </w:rPr>
              <w:t>Կոտայքի մարզպետարան</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108.4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101.3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99.4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98.2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91.8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(8.9)</w:t>
            </w:r>
          </w:p>
        </w:tc>
      </w:tr>
      <w:tr w:rsidR="007173F4" w:rsidRPr="00B57DAB" w:rsidTr="00A94355">
        <w:trPr>
          <w:trHeight w:val="166"/>
        </w:trPr>
        <w:tc>
          <w:tcPr>
            <w:tcW w:w="35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rPr>
                <w:rFonts w:ascii="GHEA Grapalat" w:hAnsi="GHEA Grapalat"/>
                <w:sz w:val="18"/>
                <w:szCs w:val="18"/>
                <w:shd w:val="clear" w:color="auto" w:fill="FFFFFF"/>
              </w:rPr>
            </w:pPr>
            <w:r w:rsidRPr="00B57DAB">
              <w:rPr>
                <w:rFonts w:ascii="GHEA Grapalat" w:hAnsi="GHEA Grapalat"/>
                <w:sz w:val="18"/>
                <w:szCs w:val="18"/>
                <w:shd w:val="clear" w:color="auto" w:fill="FFFFFF"/>
              </w:rPr>
              <w:t>Շիրակի մարզպետարան</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120.0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118.5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107.5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90.7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89.6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(12.5)</w:t>
            </w:r>
          </w:p>
        </w:tc>
      </w:tr>
      <w:tr w:rsidR="007173F4" w:rsidRPr="00B57DAB" w:rsidTr="00A94355">
        <w:trPr>
          <w:trHeight w:val="166"/>
        </w:trPr>
        <w:tc>
          <w:tcPr>
            <w:tcW w:w="35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rPr>
                <w:rFonts w:ascii="GHEA Grapalat" w:hAnsi="GHEA Grapalat"/>
                <w:sz w:val="18"/>
                <w:szCs w:val="18"/>
                <w:shd w:val="clear" w:color="auto" w:fill="FFFFFF"/>
              </w:rPr>
            </w:pPr>
            <w:r w:rsidRPr="00B57DAB">
              <w:rPr>
                <w:rFonts w:ascii="GHEA Grapalat" w:hAnsi="GHEA Grapalat"/>
                <w:sz w:val="18"/>
                <w:szCs w:val="18"/>
                <w:shd w:val="clear" w:color="auto" w:fill="FFFFFF"/>
              </w:rPr>
              <w:t>Սյունիքի մարզպետարան</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111.6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106.5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95.9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90.1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86.0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(15.6)</w:t>
            </w:r>
          </w:p>
        </w:tc>
      </w:tr>
      <w:tr w:rsidR="007173F4" w:rsidRPr="00B57DAB" w:rsidTr="00A94355">
        <w:trPr>
          <w:trHeight w:val="166"/>
        </w:trPr>
        <w:tc>
          <w:tcPr>
            <w:tcW w:w="35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rPr>
                <w:rFonts w:ascii="GHEA Grapalat" w:hAnsi="GHEA Grapalat"/>
                <w:sz w:val="18"/>
                <w:szCs w:val="18"/>
                <w:shd w:val="clear" w:color="auto" w:fill="FFFFFF"/>
              </w:rPr>
            </w:pPr>
            <w:r w:rsidRPr="00B57DAB">
              <w:rPr>
                <w:rFonts w:ascii="GHEA Grapalat" w:hAnsi="GHEA Grapalat"/>
                <w:sz w:val="18"/>
                <w:szCs w:val="18"/>
                <w:shd w:val="clear" w:color="auto" w:fill="FFFFFF"/>
              </w:rPr>
              <w:t>Վայոց ձորի մարզպետարան</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75.1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79.3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73.5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92.8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98.0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(1.5)</w:t>
            </w:r>
          </w:p>
        </w:tc>
      </w:tr>
      <w:tr w:rsidR="007173F4" w:rsidRPr="00B57DAB" w:rsidTr="00A94355">
        <w:trPr>
          <w:trHeight w:val="157"/>
        </w:trPr>
        <w:tc>
          <w:tcPr>
            <w:tcW w:w="35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rPr>
                <w:rFonts w:ascii="GHEA Grapalat" w:hAnsi="GHEA Grapalat"/>
                <w:sz w:val="18"/>
                <w:szCs w:val="18"/>
                <w:shd w:val="clear" w:color="auto" w:fill="FFFFFF"/>
              </w:rPr>
            </w:pPr>
            <w:r w:rsidRPr="00B57DAB">
              <w:rPr>
                <w:rFonts w:ascii="GHEA Grapalat" w:hAnsi="GHEA Grapalat"/>
                <w:sz w:val="18"/>
                <w:szCs w:val="18"/>
                <w:shd w:val="clear" w:color="auto" w:fill="FFFFFF"/>
              </w:rPr>
              <w:t>Տավուշի մարզպետարան</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97.9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100.1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87.9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87.8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89.8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3F4" w:rsidRPr="00B57DAB" w:rsidRDefault="007173F4" w:rsidP="00A94355">
            <w:pPr>
              <w:jc w:val="right"/>
              <w:rPr>
                <w:rFonts w:ascii="GHEA Grapalat" w:hAnsi="GHEA Grapalat"/>
                <w:sz w:val="18"/>
                <w:szCs w:val="18"/>
              </w:rPr>
            </w:pPr>
            <w:r w:rsidRPr="00B57DAB">
              <w:rPr>
                <w:rFonts w:ascii="GHEA Grapalat" w:hAnsi="GHEA Grapalat"/>
                <w:sz w:val="18"/>
                <w:szCs w:val="18"/>
              </w:rPr>
              <w:t>(10.0)</w:t>
            </w:r>
          </w:p>
        </w:tc>
      </w:tr>
    </w:tbl>
    <w:p w:rsidR="003F2149" w:rsidRPr="00B57DAB" w:rsidRDefault="003F2149" w:rsidP="003F2149">
      <w:pPr>
        <w:spacing w:line="360" w:lineRule="auto"/>
        <w:ind w:firstLine="561"/>
        <w:jc w:val="both"/>
        <w:rPr>
          <w:rFonts w:ascii="GHEA Grapalat" w:hAnsi="GHEA Grapalat" w:cs="GHEA Grapalat"/>
          <w:sz w:val="22"/>
          <w:szCs w:val="22"/>
        </w:rPr>
      </w:pPr>
    </w:p>
    <w:p w:rsidR="00C16D1F" w:rsidRPr="00B57DAB" w:rsidRDefault="00C16D1F" w:rsidP="00F92EE2">
      <w:pPr>
        <w:spacing w:line="360" w:lineRule="auto"/>
        <w:ind w:firstLine="561"/>
        <w:jc w:val="both"/>
        <w:rPr>
          <w:rFonts w:ascii="GHEA Grapalat" w:hAnsi="GHEA Grapalat" w:cs="GHEA Grapalat"/>
          <w:sz w:val="22"/>
          <w:szCs w:val="22"/>
        </w:rPr>
      </w:pPr>
      <w:r w:rsidRPr="00B57DAB">
        <w:rPr>
          <w:rFonts w:ascii="GHEA Grapalat" w:hAnsi="GHEA Grapalat" w:cs="GHEA Grapalat"/>
          <w:i/>
          <w:sz w:val="22"/>
          <w:szCs w:val="22"/>
          <w:u w:val="single"/>
        </w:rPr>
        <w:lastRenderedPageBreak/>
        <w:t>ՀՀ կառավարության</w:t>
      </w:r>
      <w:r w:rsidRPr="00B57DAB">
        <w:rPr>
          <w:rFonts w:ascii="GHEA Grapalat" w:hAnsi="GHEA Grapalat" w:cs="GHEA Grapalat"/>
          <w:sz w:val="22"/>
          <w:szCs w:val="22"/>
        </w:rPr>
        <w:t xml:space="preserve"> պատասխանատվությամբ նախատեսված «ՀՀ կառա</w:t>
      </w:r>
      <w:r w:rsidRPr="00B57DAB">
        <w:rPr>
          <w:rFonts w:ascii="GHEA Grapalat" w:hAnsi="GHEA Grapalat" w:cs="GHEA Grapalat"/>
          <w:sz w:val="22"/>
          <w:szCs w:val="22"/>
        </w:rPr>
        <w:softHyphen/>
        <w:t>վա</w:t>
      </w:r>
      <w:r w:rsidRPr="00B57DAB">
        <w:rPr>
          <w:rFonts w:ascii="GHEA Grapalat" w:hAnsi="GHEA Grapalat" w:cs="GHEA Grapalat"/>
          <w:sz w:val="22"/>
          <w:szCs w:val="22"/>
        </w:rPr>
        <w:softHyphen/>
        <w:t>րության պահուստային ֆոնդ», «Արտասահ</w:t>
      </w:r>
      <w:r w:rsidRPr="00B57DAB">
        <w:rPr>
          <w:rFonts w:ascii="GHEA Grapalat" w:hAnsi="GHEA Grapalat" w:cs="GHEA Grapalat"/>
          <w:sz w:val="22"/>
          <w:szCs w:val="22"/>
        </w:rPr>
        <w:softHyphen/>
        <w:t>մանյան պատվիրա</w:t>
      </w:r>
      <w:r w:rsidRPr="00B57DAB">
        <w:rPr>
          <w:rFonts w:ascii="GHEA Grapalat" w:hAnsi="GHEA Grapalat" w:cs="GHEA Grapalat"/>
          <w:sz w:val="22"/>
          <w:szCs w:val="22"/>
        </w:rPr>
        <w:softHyphen/>
        <w:t>կու</w:t>
      </w:r>
      <w:r w:rsidRPr="00B57DAB">
        <w:rPr>
          <w:rFonts w:ascii="GHEA Grapalat" w:hAnsi="GHEA Grapalat" w:cs="GHEA Grapalat"/>
          <w:sz w:val="22"/>
          <w:szCs w:val="22"/>
        </w:rPr>
        <w:softHyphen/>
        <w:t>թյունների ընդունելությունների և պաշտոնական գործուղումների կազմակերպում» և «Հա</w:t>
      </w:r>
      <w:r w:rsidRPr="00B57DAB">
        <w:rPr>
          <w:rFonts w:ascii="GHEA Grapalat" w:hAnsi="GHEA Grapalat" w:cs="GHEA Grapalat"/>
          <w:sz w:val="22"/>
          <w:szCs w:val="22"/>
        </w:rPr>
        <w:softHyphen/>
        <w:t>սարակության և պե</w:t>
      </w:r>
      <w:r w:rsidRPr="00B57DAB">
        <w:rPr>
          <w:rFonts w:ascii="GHEA Grapalat" w:hAnsi="GHEA Grapalat" w:cs="GHEA Grapalat"/>
          <w:sz w:val="22"/>
          <w:szCs w:val="22"/>
        </w:rPr>
        <w:softHyphen/>
        <w:t>տության հանդեպ հատուկ ծառա</w:t>
      </w:r>
      <w:r w:rsidRPr="00B57DAB">
        <w:rPr>
          <w:rFonts w:ascii="GHEA Grapalat" w:hAnsi="GHEA Grapalat" w:cs="GHEA Grapalat"/>
          <w:sz w:val="22"/>
          <w:szCs w:val="22"/>
        </w:rPr>
        <w:softHyphen/>
        <w:t>յություններ ունեցած քա</w:t>
      </w:r>
      <w:r w:rsidRPr="00B57DAB">
        <w:rPr>
          <w:rFonts w:ascii="GHEA Grapalat" w:hAnsi="GHEA Grapalat" w:cs="GHEA Grapalat"/>
          <w:sz w:val="22"/>
          <w:szCs w:val="22"/>
        </w:rPr>
        <w:softHyphen/>
        <w:t>ղա</w:t>
      </w:r>
      <w:r w:rsidRPr="00B57DAB">
        <w:rPr>
          <w:rFonts w:ascii="GHEA Grapalat" w:hAnsi="GHEA Grapalat" w:cs="GHEA Grapalat"/>
          <w:sz w:val="22"/>
          <w:szCs w:val="22"/>
        </w:rPr>
        <w:softHyphen/>
        <w:t>քա</w:t>
      </w:r>
      <w:r w:rsidRPr="00B57DAB">
        <w:rPr>
          <w:rFonts w:ascii="GHEA Grapalat" w:hAnsi="GHEA Grapalat" w:cs="GHEA Grapalat"/>
          <w:sz w:val="22"/>
          <w:szCs w:val="22"/>
        </w:rPr>
        <w:softHyphen/>
        <w:t>ցի</w:t>
      </w:r>
      <w:r w:rsidRPr="00B57DAB">
        <w:rPr>
          <w:rFonts w:ascii="GHEA Grapalat" w:hAnsi="GHEA Grapalat" w:cs="GHEA Grapalat"/>
          <w:sz w:val="22"/>
          <w:szCs w:val="22"/>
        </w:rPr>
        <w:softHyphen/>
        <w:t>նե</w:t>
      </w:r>
      <w:r w:rsidRPr="00B57DAB">
        <w:rPr>
          <w:rFonts w:ascii="GHEA Grapalat" w:hAnsi="GHEA Grapalat" w:cs="GHEA Grapalat"/>
          <w:sz w:val="22"/>
          <w:szCs w:val="22"/>
        </w:rPr>
        <w:softHyphen/>
        <w:t xml:space="preserve">րի մահվան դեպքում արարողակարգային միջոցառումների կազմակերպում» ծրագրերի գծով </w:t>
      </w:r>
      <w:r w:rsidR="00CC531B" w:rsidRPr="00B57DAB">
        <w:rPr>
          <w:rFonts w:ascii="GHEA Grapalat" w:hAnsi="GHEA Grapalat" w:cs="GHEA Grapalat"/>
          <w:sz w:val="22"/>
          <w:szCs w:val="22"/>
        </w:rPr>
        <w:t>«</w:t>
      </w:r>
      <w:r w:rsidRPr="00B57DAB">
        <w:rPr>
          <w:rFonts w:ascii="GHEA Grapalat" w:hAnsi="GHEA Grapalat" w:cs="GHEA Grapalat"/>
          <w:sz w:val="22"/>
          <w:szCs w:val="22"/>
        </w:rPr>
        <w:t>Հ</w:t>
      </w:r>
      <w:r w:rsidR="00CC531B" w:rsidRPr="00B57DAB">
        <w:rPr>
          <w:rFonts w:ascii="GHEA Grapalat" w:hAnsi="GHEA Grapalat" w:cs="GHEA Grapalat"/>
          <w:sz w:val="22"/>
          <w:szCs w:val="22"/>
        </w:rPr>
        <w:t xml:space="preserve">այաստանի </w:t>
      </w:r>
      <w:r w:rsidRPr="00B57DAB">
        <w:rPr>
          <w:rFonts w:ascii="GHEA Grapalat" w:hAnsi="GHEA Grapalat" w:cs="GHEA Grapalat"/>
          <w:sz w:val="22"/>
          <w:szCs w:val="22"/>
        </w:rPr>
        <w:t>Հ</w:t>
      </w:r>
      <w:r w:rsidR="00CC531B" w:rsidRPr="00B57DAB">
        <w:rPr>
          <w:rFonts w:ascii="GHEA Grapalat" w:hAnsi="GHEA Grapalat" w:cs="GHEA Grapalat"/>
          <w:sz w:val="22"/>
          <w:szCs w:val="22"/>
        </w:rPr>
        <w:t>անրապետության</w:t>
      </w:r>
      <w:r w:rsidRPr="00B57DAB">
        <w:rPr>
          <w:rFonts w:ascii="GHEA Grapalat" w:hAnsi="GHEA Grapalat" w:cs="GHEA Grapalat"/>
          <w:sz w:val="22"/>
          <w:szCs w:val="22"/>
        </w:rPr>
        <w:t xml:space="preserve"> 202</w:t>
      </w:r>
      <w:r w:rsidR="00F92EE2" w:rsidRPr="00B57DAB">
        <w:rPr>
          <w:rFonts w:ascii="GHEA Grapalat" w:hAnsi="GHEA Grapalat" w:cs="GHEA Grapalat"/>
          <w:sz w:val="22"/>
          <w:szCs w:val="22"/>
        </w:rPr>
        <w:t>2</w:t>
      </w:r>
      <w:r w:rsidRPr="00B57DAB">
        <w:rPr>
          <w:rFonts w:ascii="GHEA Grapalat" w:hAnsi="GHEA Grapalat" w:cs="GHEA Grapalat"/>
          <w:sz w:val="22"/>
          <w:szCs w:val="22"/>
        </w:rPr>
        <w:t xml:space="preserve"> թվականի պետական բյուջեի</w:t>
      </w:r>
      <w:r w:rsidR="00CC531B" w:rsidRPr="00B57DAB">
        <w:rPr>
          <w:rFonts w:ascii="GHEA Grapalat" w:hAnsi="GHEA Grapalat" w:cs="GHEA Grapalat"/>
          <w:sz w:val="22"/>
          <w:szCs w:val="22"/>
        </w:rPr>
        <w:t xml:space="preserve"> կատարումն ապահովող միջոցառումների</w:t>
      </w:r>
      <w:r w:rsidRPr="00B57DAB">
        <w:rPr>
          <w:rFonts w:ascii="GHEA Grapalat" w:hAnsi="GHEA Grapalat" w:cs="GHEA Grapalat"/>
          <w:sz w:val="22"/>
          <w:szCs w:val="22"/>
        </w:rPr>
        <w:t xml:space="preserve"> մասին</w:t>
      </w:r>
      <w:r w:rsidR="00CC531B" w:rsidRPr="00B57DAB">
        <w:rPr>
          <w:rFonts w:ascii="GHEA Grapalat" w:hAnsi="GHEA Grapalat" w:cs="GHEA Grapalat"/>
          <w:sz w:val="22"/>
          <w:szCs w:val="22"/>
        </w:rPr>
        <w:t>»</w:t>
      </w:r>
      <w:r w:rsidRPr="00B57DAB">
        <w:rPr>
          <w:rFonts w:ascii="GHEA Grapalat" w:hAnsi="GHEA Grapalat" w:cs="GHEA Grapalat"/>
          <w:sz w:val="22"/>
          <w:szCs w:val="22"/>
        </w:rPr>
        <w:t xml:space="preserve"> ՀՀ </w:t>
      </w:r>
      <w:r w:rsidR="00CC531B" w:rsidRPr="00B57DAB">
        <w:rPr>
          <w:rFonts w:ascii="GHEA Grapalat" w:hAnsi="GHEA Grapalat" w:cs="GHEA Grapalat"/>
          <w:sz w:val="22"/>
          <w:szCs w:val="22"/>
        </w:rPr>
        <w:t>կառավարության 20</w:t>
      </w:r>
      <w:r w:rsidR="00F92EE2" w:rsidRPr="00B57DAB">
        <w:rPr>
          <w:rFonts w:ascii="GHEA Grapalat" w:hAnsi="GHEA Grapalat" w:cs="GHEA Grapalat"/>
          <w:sz w:val="22"/>
          <w:szCs w:val="22"/>
        </w:rPr>
        <w:t>21</w:t>
      </w:r>
      <w:r w:rsidR="00E85575" w:rsidRPr="00B57DAB">
        <w:rPr>
          <w:rFonts w:ascii="GHEA Grapalat" w:hAnsi="GHEA Grapalat" w:cs="GHEA Grapalat"/>
          <w:sz w:val="22"/>
          <w:szCs w:val="22"/>
        </w:rPr>
        <w:t xml:space="preserve"> </w:t>
      </w:r>
      <w:r w:rsidR="00CC531B" w:rsidRPr="00B57DAB">
        <w:rPr>
          <w:rFonts w:ascii="GHEA Grapalat" w:hAnsi="GHEA Grapalat" w:cs="GHEA Grapalat"/>
          <w:sz w:val="22"/>
          <w:szCs w:val="22"/>
        </w:rPr>
        <w:t>թվականի</w:t>
      </w:r>
      <w:r w:rsidR="004F3CB3" w:rsidRPr="00B57DAB">
        <w:rPr>
          <w:rFonts w:ascii="GHEA Grapalat" w:hAnsi="GHEA Grapalat" w:cs="GHEA Grapalat"/>
          <w:sz w:val="22"/>
          <w:szCs w:val="22"/>
        </w:rPr>
        <w:t xml:space="preserve"> դեկտեմբերի</w:t>
      </w:r>
      <w:r w:rsidR="00F92EE2" w:rsidRPr="00B57DAB">
        <w:rPr>
          <w:rFonts w:ascii="GHEA Grapalat" w:hAnsi="GHEA Grapalat" w:cs="GHEA Grapalat"/>
          <w:sz w:val="22"/>
          <w:szCs w:val="22"/>
        </w:rPr>
        <w:t xml:space="preserve"> 23</w:t>
      </w:r>
      <w:r w:rsidR="004F3CB3" w:rsidRPr="00B57DAB">
        <w:rPr>
          <w:rFonts w:ascii="GHEA Grapalat" w:hAnsi="GHEA Grapalat" w:cs="GHEA Grapalat"/>
          <w:sz w:val="22"/>
          <w:szCs w:val="22"/>
        </w:rPr>
        <w:t>-ի</w:t>
      </w:r>
      <w:r w:rsidR="00CC531B" w:rsidRPr="00B57DAB">
        <w:rPr>
          <w:rFonts w:ascii="GHEA Grapalat" w:hAnsi="GHEA Grapalat" w:cs="GHEA Grapalat"/>
          <w:sz w:val="22"/>
          <w:szCs w:val="22"/>
        </w:rPr>
        <w:t xml:space="preserve"> N </w:t>
      </w:r>
      <w:r w:rsidR="00227C7A" w:rsidRPr="00B57DAB">
        <w:rPr>
          <w:rFonts w:ascii="GHEA Grapalat" w:hAnsi="GHEA Grapalat" w:cs="GHEA Grapalat"/>
          <w:sz w:val="22"/>
          <w:szCs w:val="22"/>
        </w:rPr>
        <w:t>2</w:t>
      </w:r>
      <w:r w:rsidR="00F92EE2" w:rsidRPr="00B57DAB">
        <w:rPr>
          <w:rFonts w:ascii="GHEA Grapalat" w:hAnsi="GHEA Grapalat" w:cs="GHEA Grapalat"/>
          <w:sz w:val="22"/>
          <w:szCs w:val="22"/>
        </w:rPr>
        <w:t>121</w:t>
      </w:r>
      <w:r w:rsidR="00CC531B" w:rsidRPr="00B57DAB">
        <w:rPr>
          <w:rFonts w:ascii="GHEA Grapalat" w:hAnsi="GHEA Grapalat" w:cs="GHEA Grapalat"/>
          <w:sz w:val="22"/>
          <w:szCs w:val="22"/>
        </w:rPr>
        <w:t>-Ն որոշմամբ</w:t>
      </w:r>
      <w:r w:rsidR="00FA561D" w:rsidRPr="00B57DAB">
        <w:rPr>
          <w:rFonts w:ascii="GHEA Grapalat" w:hAnsi="GHEA Grapalat" w:cs="GHEA Grapalat"/>
          <w:sz w:val="22"/>
          <w:szCs w:val="22"/>
        </w:rPr>
        <w:t xml:space="preserve"> առաջին եռամսյակի համար</w:t>
      </w:r>
      <w:r w:rsidR="00CC531B" w:rsidRPr="00B57DAB">
        <w:rPr>
          <w:rFonts w:ascii="GHEA Grapalat" w:hAnsi="GHEA Grapalat" w:cs="GHEA Grapalat"/>
          <w:sz w:val="22"/>
          <w:szCs w:val="22"/>
        </w:rPr>
        <w:t xml:space="preserve"> </w:t>
      </w:r>
      <w:r w:rsidRPr="00B57DAB">
        <w:rPr>
          <w:rFonts w:ascii="GHEA Grapalat" w:hAnsi="GHEA Grapalat" w:cs="GHEA Grapalat"/>
          <w:sz w:val="22"/>
          <w:szCs w:val="22"/>
        </w:rPr>
        <w:t>նախատեսվել էին ընդհանուր առմամբ</w:t>
      </w:r>
      <w:r w:rsidR="009C0EDA" w:rsidRPr="00B57DAB">
        <w:rPr>
          <w:rFonts w:ascii="GHEA Grapalat" w:hAnsi="GHEA Grapalat" w:cs="GHEA Grapalat"/>
          <w:sz w:val="22"/>
          <w:szCs w:val="22"/>
        </w:rPr>
        <w:t xml:space="preserve"> </w:t>
      </w:r>
      <w:r w:rsidR="00F92EE2" w:rsidRPr="00B57DAB">
        <w:rPr>
          <w:rFonts w:ascii="GHEA Grapalat" w:hAnsi="GHEA Grapalat" w:cs="GHEA Grapalat"/>
          <w:sz w:val="22"/>
          <w:szCs w:val="22"/>
        </w:rPr>
        <w:t>10.2</w:t>
      </w:r>
      <w:r w:rsidRPr="00B57DAB">
        <w:rPr>
          <w:rFonts w:ascii="GHEA Grapalat" w:hAnsi="GHEA Grapalat" w:cs="GHEA Grapalat"/>
          <w:sz w:val="22"/>
          <w:szCs w:val="22"/>
        </w:rPr>
        <w:t xml:space="preserve"> մլրդ</w:t>
      </w:r>
      <w:r w:rsidR="009C0EDA" w:rsidRPr="00B57DAB">
        <w:rPr>
          <w:rFonts w:ascii="GHEA Grapalat" w:hAnsi="GHEA Grapalat" w:cs="GHEA Grapalat"/>
          <w:sz w:val="22"/>
          <w:szCs w:val="22"/>
        </w:rPr>
        <w:t xml:space="preserve"> դրամի միջոցներ: ՀՀ կառավարության լիազորությունների շրջանակներում կատարված փոփոխությունների և վերաբաշխումների արդյունքում նշված </w:t>
      </w:r>
      <w:r w:rsidR="00FB55F3" w:rsidRPr="00B57DAB">
        <w:rPr>
          <w:rFonts w:ascii="GHEA Grapalat" w:hAnsi="GHEA Grapalat" w:cs="GHEA Grapalat"/>
          <w:sz w:val="22"/>
          <w:szCs w:val="22"/>
        </w:rPr>
        <w:t>ծրագր</w:t>
      </w:r>
      <w:r w:rsidR="009C0EDA" w:rsidRPr="00B57DAB">
        <w:rPr>
          <w:rFonts w:ascii="GHEA Grapalat" w:hAnsi="GHEA Grapalat" w:cs="GHEA Grapalat"/>
          <w:sz w:val="22"/>
          <w:szCs w:val="22"/>
        </w:rPr>
        <w:t xml:space="preserve">երին հատկացված միջոցները </w:t>
      </w:r>
      <w:r w:rsidRPr="00B57DAB">
        <w:rPr>
          <w:rFonts w:ascii="GHEA Grapalat" w:hAnsi="GHEA Grapalat" w:cs="GHEA Grapalat"/>
          <w:sz w:val="22"/>
          <w:szCs w:val="22"/>
        </w:rPr>
        <w:t xml:space="preserve">սահմանված կարգով </w:t>
      </w:r>
      <w:r w:rsidR="009C0EDA" w:rsidRPr="00B57DAB">
        <w:rPr>
          <w:rFonts w:ascii="GHEA Grapalat" w:hAnsi="GHEA Grapalat" w:cs="GHEA Grapalat"/>
          <w:sz w:val="22"/>
          <w:szCs w:val="22"/>
        </w:rPr>
        <w:t>ուղղ</w:t>
      </w:r>
      <w:r w:rsidRPr="00B57DAB">
        <w:rPr>
          <w:rFonts w:ascii="GHEA Grapalat" w:hAnsi="GHEA Grapalat" w:cs="GHEA Grapalat"/>
          <w:sz w:val="22"/>
          <w:szCs w:val="22"/>
        </w:rPr>
        <w:t>վել են ՀՀ 202</w:t>
      </w:r>
      <w:r w:rsidR="00F92EE2" w:rsidRPr="00B57DAB">
        <w:rPr>
          <w:rFonts w:ascii="GHEA Grapalat" w:hAnsi="GHEA Grapalat" w:cs="GHEA Grapalat"/>
          <w:sz w:val="22"/>
          <w:szCs w:val="22"/>
        </w:rPr>
        <w:t>2</w:t>
      </w:r>
      <w:r w:rsidRPr="00B57DAB">
        <w:rPr>
          <w:rFonts w:ascii="GHEA Grapalat" w:hAnsi="GHEA Grapalat" w:cs="GHEA Grapalat"/>
          <w:sz w:val="22"/>
          <w:szCs w:val="22"/>
        </w:rPr>
        <w:t xml:space="preserve"> թվականի պետական բյուջեով նախատեսված ելքերի լրացուցիչ ֆինանսավորմանը՝ հատկացումների չափով ավելացնելով համապատասխան ծրագրերի և միջոցառումների գծով նախատեսված գումարները, ինչպես նաև բյուջեով չնախատեսված ելքերի ֆինանսավորմանը՝ բյուջետային ծախսերի ծրագրային դասակարգման մեջ ավելացնելով նոր ծրագրեր և/կամ միջոցառումներ՝ ելնելով այդ ելքերի ուղղություններից, նպատակներից, ակնկալվող արդյունքներից և դրանց համար պատասխանատու պետական մարմիններից: </w:t>
      </w:r>
      <w:r w:rsidR="00FA561D" w:rsidRPr="00B57DAB">
        <w:rPr>
          <w:rFonts w:ascii="GHEA Grapalat" w:hAnsi="GHEA Grapalat" w:cs="GHEA Grapalat"/>
          <w:sz w:val="22"/>
          <w:szCs w:val="22"/>
        </w:rPr>
        <w:t>ՀՀ կառավարության լիազորությունների շրջանակներում կատարված փոփոխությունների և վ</w:t>
      </w:r>
      <w:r w:rsidRPr="00B57DAB">
        <w:rPr>
          <w:rFonts w:ascii="GHEA Grapalat" w:hAnsi="GHEA Grapalat" w:cs="GHEA Grapalat"/>
          <w:sz w:val="22"/>
          <w:szCs w:val="22"/>
        </w:rPr>
        <w:t>երոհիշյալ սկզբ</w:t>
      </w:r>
      <w:r w:rsidR="00FA561D" w:rsidRPr="00B57DAB">
        <w:rPr>
          <w:rFonts w:ascii="GHEA Grapalat" w:hAnsi="GHEA Grapalat" w:cs="GHEA Grapalat"/>
          <w:sz w:val="22"/>
          <w:szCs w:val="22"/>
        </w:rPr>
        <w:t>ունքով կատարված վերաբաշխումների արդյունքում</w:t>
      </w:r>
      <w:r w:rsidRPr="00B57DAB">
        <w:rPr>
          <w:rFonts w:ascii="GHEA Grapalat" w:hAnsi="GHEA Grapalat" w:cs="GHEA Grapalat"/>
          <w:sz w:val="22"/>
          <w:szCs w:val="22"/>
        </w:rPr>
        <w:t xml:space="preserve"> </w:t>
      </w:r>
      <w:r w:rsidR="00FA561D" w:rsidRPr="00B57DAB">
        <w:rPr>
          <w:rFonts w:ascii="GHEA Grapalat" w:hAnsi="GHEA Grapalat" w:cs="GHEA Grapalat"/>
          <w:sz w:val="22"/>
          <w:szCs w:val="22"/>
        </w:rPr>
        <w:t xml:space="preserve">ՀՀ կառավարության պատասխանատվության ներքո գտնվող </w:t>
      </w:r>
      <w:r w:rsidR="00DF1A2F" w:rsidRPr="00B57DAB">
        <w:rPr>
          <w:rFonts w:ascii="GHEA Grapalat" w:hAnsi="GHEA Grapalat" w:cs="GHEA Grapalat"/>
          <w:sz w:val="22"/>
          <w:szCs w:val="22"/>
        </w:rPr>
        <w:t xml:space="preserve">վերոհիշյալ </w:t>
      </w:r>
      <w:r w:rsidR="00FA561D" w:rsidRPr="00B57DAB">
        <w:rPr>
          <w:rFonts w:ascii="GHEA Grapalat" w:hAnsi="GHEA Grapalat" w:cs="GHEA Grapalat"/>
          <w:sz w:val="22"/>
          <w:szCs w:val="22"/>
        </w:rPr>
        <w:t>ծրագրերի շրջանակներում չօգտագործված միջոցները կազմել են</w:t>
      </w:r>
      <w:r w:rsidRPr="00B57DAB">
        <w:rPr>
          <w:rFonts w:ascii="GHEA Grapalat" w:hAnsi="GHEA Grapalat" w:cs="GHEA Grapalat"/>
          <w:sz w:val="22"/>
          <w:szCs w:val="22"/>
        </w:rPr>
        <w:t xml:space="preserve"> </w:t>
      </w:r>
      <w:r w:rsidR="009C0EDA" w:rsidRPr="00B57DAB">
        <w:rPr>
          <w:rFonts w:ascii="GHEA Grapalat" w:hAnsi="GHEA Grapalat" w:cs="GHEA Grapalat"/>
          <w:sz w:val="22"/>
          <w:szCs w:val="22"/>
        </w:rPr>
        <w:t>3.</w:t>
      </w:r>
      <w:r w:rsidR="00F92EE2" w:rsidRPr="00B57DAB">
        <w:rPr>
          <w:rFonts w:ascii="GHEA Grapalat" w:hAnsi="GHEA Grapalat" w:cs="GHEA Grapalat"/>
          <w:sz w:val="22"/>
          <w:szCs w:val="22"/>
        </w:rPr>
        <w:t>6</w:t>
      </w:r>
      <w:r w:rsidR="009C0EDA" w:rsidRPr="00B57DAB">
        <w:rPr>
          <w:rFonts w:ascii="GHEA Grapalat" w:hAnsi="GHEA Grapalat" w:cs="GHEA Grapalat"/>
          <w:sz w:val="22"/>
          <w:szCs w:val="22"/>
        </w:rPr>
        <w:t xml:space="preserve"> մլրդ</w:t>
      </w:r>
      <w:r w:rsidRPr="00B57DAB">
        <w:rPr>
          <w:rFonts w:ascii="GHEA Grapalat" w:hAnsi="GHEA Grapalat" w:cs="GHEA Grapalat"/>
          <w:sz w:val="22"/>
          <w:szCs w:val="22"/>
        </w:rPr>
        <w:t xml:space="preserve"> դրամ: Մասնավորապես՝ «ՀՀ կառա</w:t>
      </w:r>
      <w:r w:rsidRPr="00B57DAB">
        <w:rPr>
          <w:rFonts w:ascii="GHEA Grapalat" w:hAnsi="GHEA Grapalat" w:cs="GHEA Grapalat"/>
          <w:sz w:val="22"/>
          <w:szCs w:val="22"/>
        </w:rPr>
        <w:softHyphen/>
        <w:t>վա</w:t>
      </w:r>
      <w:r w:rsidRPr="00B57DAB">
        <w:rPr>
          <w:rFonts w:ascii="GHEA Grapalat" w:hAnsi="GHEA Grapalat" w:cs="GHEA Grapalat"/>
          <w:sz w:val="22"/>
          <w:szCs w:val="22"/>
        </w:rPr>
        <w:softHyphen/>
        <w:t xml:space="preserve">րության պահուստային ֆոնդ» ծրագրին հատկացված </w:t>
      </w:r>
      <w:r w:rsidR="009C0EDA" w:rsidRPr="00B57DAB">
        <w:rPr>
          <w:rFonts w:ascii="GHEA Grapalat" w:hAnsi="GHEA Grapalat" w:cs="GHEA Grapalat"/>
          <w:sz w:val="22"/>
          <w:szCs w:val="22"/>
        </w:rPr>
        <w:t>միջոցներից</w:t>
      </w:r>
      <w:r w:rsidRPr="00B57DAB">
        <w:rPr>
          <w:rFonts w:ascii="GHEA Grapalat" w:hAnsi="GHEA Grapalat" w:cs="GHEA Grapalat"/>
          <w:sz w:val="22"/>
          <w:szCs w:val="22"/>
        </w:rPr>
        <w:t xml:space="preserve"> </w:t>
      </w:r>
      <w:r w:rsidR="00FA561D" w:rsidRPr="00B57DAB">
        <w:rPr>
          <w:rFonts w:ascii="GHEA Grapalat" w:hAnsi="GHEA Grapalat" w:cs="GHEA Grapalat"/>
          <w:sz w:val="22"/>
          <w:szCs w:val="22"/>
        </w:rPr>
        <w:t>չի օգտագործվել</w:t>
      </w:r>
      <w:r w:rsidRPr="00B57DAB">
        <w:rPr>
          <w:rFonts w:ascii="GHEA Grapalat" w:hAnsi="GHEA Grapalat" w:cs="GHEA Grapalat"/>
          <w:sz w:val="22"/>
          <w:szCs w:val="22"/>
        </w:rPr>
        <w:t xml:space="preserve"> </w:t>
      </w:r>
      <w:r w:rsidR="00F92EE2" w:rsidRPr="00B57DAB">
        <w:rPr>
          <w:rFonts w:ascii="GHEA Grapalat" w:hAnsi="GHEA Grapalat" w:cs="GHEA Grapalat"/>
          <w:sz w:val="22"/>
          <w:szCs w:val="22"/>
        </w:rPr>
        <w:t xml:space="preserve">մոտ </w:t>
      </w:r>
      <w:r w:rsidR="009C0EDA" w:rsidRPr="00B57DAB">
        <w:rPr>
          <w:rFonts w:ascii="GHEA Grapalat" w:hAnsi="GHEA Grapalat" w:cs="GHEA Grapalat"/>
          <w:sz w:val="22"/>
          <w:szCs w:val="22"/>
        </w:rPr>
        <w:t>3</w:t>
      </w:r>
      <w:r w:rsidR="00F92EE2" w:rsidRPr="00B57DAB">
        <w:rPr>
          <w:rFonts w:ascii="GHEA Grapalat" w:hAnsi="GHEA Grapalat" w:cs="GHEA Grapalat"/>
          <w:sz w:val="22"/>
          <w:szCs w:val="22"/>
        </w:rPr>
        <w:t>.5</w:t>
      </w:r>
      <w:r w:rsidR="009C0EDA" w:rsidRPr="00B57DAB">
        <w:rPr>
          <w:rFonts w:ascii="GHEA Grapalat" w:hAnsi="GHEA Grapalat" w:cs="GHEA Grapalat"/>
          <w:sz w:val="22"/>
          <w:szCs w:val="22"/>
        </w:rPr>
        <w:t xml:space="preserve"> մլրդ</w:t>
      </w:r>
      <w:r w:rsidRPr="00B57DAB">
        <w:rPr>
          <w:rFonts w:ascii="GHEA Grapalat" w:hAnsi="GHEA Grapalat" w:cs="GHEA Grapalat"/>
          <w:sz w:val="22"/>
          <w:szCs w:val="22"/>
        </w:rPr>
        <w:t xml:space="preserve"> դրամը, «Արտասահ</w:t>
      </w:r>
      <w:r w:rsidRPr="00B57DAB">
        <w:rPr>
          <w:rFonts w:ascii="GHEA Grapalat" w:hAnsi="GHEA Grapalat" w:cs="GHEA Grapalat"/>
          <w:sz w:val="22"/>
          <w:szCs w:val="22"/>
        </w:rPr>
        <w:softHyphen/>
        <w:t xml:space="preserve">մանյան պատվիրակությունների ընդունելությունների և պաշտոնական գործուղումների կազմակերպում» ծրագրին հատկացված </w:t>
      </w:r>
      <w:r w:rsidR="009C0EDA" w:rsidRPr="00B57DAB">
        <w:rPr>
          <w:rFonts w:ascii="GHEA Grapalat" w:hAnsi="GHEA Grapalat" w:cs="GHEA Grapalat"/>
          <w:sz w:val="22"/>
          <w:szCs w:val="22"/>
        </w:rPr>
        <w:t>միջոցներից</w:t>
      </w:r>
      <w:r w:rsidRPr="00B57DAB">
        <w:rPr>
          <w:rFonts w:ascii="GHEA Grapalat" w:hAnsi="GHEA Grapalat" w:cs="GHEA Grapalat"/>
          <w:sz w:val="22"/>
          <w:szCs w:val="22"/>
        </w:rPr>
        <w:t xml:space="preserve">՝ </w:t>
      </w:r>
      <w:r w:rsidR="00636B7A" w:rsidRPr="00B57DAB">
        <w:rPr>
          <w:rFonts w:ascii="GHEA Grapalat" w:hAnsi="GHEA Grapalat" w:cs="GHEA Grapalat"/>
          <w:sz w:val="22"/>
          <w:szCs w:val="22"/>
        </w:rPr>
        <w:t>85.7</w:t>
      </w:r>
      <w:r w:rsidRPr="00B57DAB">
        <w:rPr>
          <w:rFonts w:ascii="GHEA Grapalat" w:hAnsi="GHEA Grapalat" w:cs="GHEA Grapalat"/>
          <w:sz w:val="22"/>
          <w:szCs w:val="22"/>
        </w:rPr>
        <w:t xml:space="preserve"> մլն դրամը, «Հա</w:t>
      </w:r>
      <w:r w:rsidRPr="00B57DAB">
        <w:rPr>
          <w:rFonts w:ascii="GHEA Grapalat" w:hAnsi="GHEA Grapalat" w:cs="GHEA Grapalat"/>
          <w:sz w:val="22"/>
          <w:szCs w:val="22"/>
        </w:rPr>
        <w:softHyphen/>
        <w:t>սարակության և պե</w:t>
      </w:r>
      <w:r w:rsidRPr="00B57DAB">
        <w:rPr>
          <w:rFonts w:ascii="GHEA Grapalat" w:hAnsi="GHEA Grapalat" w:cs="GHEA Grapalat"/>
          <w:sz w:val="22"/>
          <w:szCs w:val="22"/>
        </w:rPr>
        <w:softHyphen/>
        <w:t>տության հանդեպ հատուկ ծառա</w:t>
      </w:r>
      <w:r w:rsidRPr="00B57DAB">
        <w:rPr>
          <w:rFonts w:ascii="GHEA Grapalat" w:hAnsi="GHEA Grapalat" w:cs="GHEA Grapalat"/>
          <w:sz w:val="22"/>
          <w:szCs w:val="22"/>
        </w:rPr>
        <w:softHyphen/>
        <w:t>յություններ ունեցած քա</w:t>
      </w:r>
      <w:r w:rsidRPr="00B57DAB">
        <w:rPr>
          <w:rFonts w:ascii="GHEA Grapalat" w:hAnsi="GHEA Grapalat" w:cs="GHEA Grapalat"/>
          <w:sz w:val="22"/>
          <w:szCs w:val="22"/>
        </w:rPr>
        <w:softHyphen/>
        <w:t>ղա</w:t>
      </w:r>
      <w:r w:rsidRPr="00B57DAB">
        <w:rPr>
          <w:rFonts w:ascii="GHEA Grapalat" w:hAnsi="GHEA Grapalat" w:cs="GHEA Grapalat"/>
          <w:sz w:val="22"/>
          <w:szCs w:val="22"/>
        </w:rPr>
        <w:softHyphen/>
        <w:t>քա</w:t>
      </w:r>
      <w:r w:rsidRPr="00B57DAB">
        <w:rPr>
          <w:rFonts w:ascii="GHEA Grapalat" w:hAnsi="GHEA Grapalat" w:cs="GHEA Grapalat"/>
          <w:sz w:val="22"/>
          <w:szCs w:val="22"/>
        </w:rPr>
        <w:softHyphen/>
        <w:t>ցի</w:t>
      </w:r>
      <w:r w:rsidRPr="00B57DAB">
        <w:rPr>
          <w:rFonts w:ascii="GHEA Grapalat" w:hAnsi="GHEA Grapalat" w:cs="GHEA Grapalat"/>
          <w:sz w:val="22"/>
          <w:szCs w:val="22"/>
        </w:rPr>
        <w:softHyphen/>
        <w:t>նե</w:t>
      </w:r>
      <w:r w:rsidRPr="00B57DAB">
        <w:rPr>
          <w:rFonts w:ascii="GHEA Grapalat" w:hAnsi="GHEA Grapalat" w:cs="GHEA Grapalat"/>
          <w:sz w:val="22"/>
          <w:szCs w:val="22"/>
        </w:rPr>
        <w:softHyphen/>
        <w:t xml:space="preserve">րի մահվան դեպքում արարողակարգային միջոցառումների կազմակերպում» ծրագրին հատկացված </w:t>
      </w:r>
      <w:r w:rsidR="00FB55F3" w:rsidRPr="00B57DAB">
        <w:rPr>
          <w:rFonts w:ascii="GHEA Grapalat" w:hAnsi="GHEA Grapalat" w:cs="GHEA Grapalat"/>
          <w:sz w:val="22"/>
          <w:szCs w:val="22"/>
        </w:rPr>
        <w:t>միջոցներից</w:t>
      </w:r>
      <w:r w:rsidRPr="00B57DAB">
        <w:rPr>
          <w:rFonts w:ascii="GHEA Grapalat" w:hAnsi="GHEA Grapalat" w:cs="GHEA Grapalat"/>
          <w:sz w:val="22"/>
          <w:szCs w:val="22"/>
        </w:rPr>
        <w:t xml:space="preserve">՝ </w:t>
      </w:r>
      <w:r w:rsidR="00636B7A" w:rsidRPr="00B57DAB">
        <w:rPr>
          <w:rFonts w:ascii="GHEA Grapalat" w:hAnsi="GHEA Grapalat" w:cs="GHEA Grapalat"/>
          <w:sz w:val="22"/>
          <w:szCs w:val="22"/>
        </w:rPr>
        <w:t>6.6</w:t>
      </w:r>
      <w:r w:rsidRPr="00B57DAB">
        <w:rPr>
          <w:rFonts w:ascii="GHEA Grapalat" w:hAnsi="GHEA Grapalat" w:cs="GHEA Grapalat"/>
          <w:sz w:val="22"/>
          <w:szCs w:val="22"/>
        </w:rPr>
        <w:t xml:space="preserve"> մլն դրամը:</w:t>
      </w:r>
    </w:p>
    <w:p w:rsidR="00C16D1F" w:rsidRPr="00B57DAB" w:rsidRDefault="00C16D1F" w:rsidP="00F92EE2">
      <w:pPr>
        <w:spacing w:line="360" w:lineRule="auto"/>
        <w:ind w:firstLine="561"/>
        <w:jc w:val="both"/>
        <w:rPr>
          <w:rFonts w:ascii="GHEA Grapalat" w:hAnsi="GHEA Grapalat" w:cs="GHEA Grapalat"/>
          <w:sz w:val="22"/>
          <w:szCs w:val="22"/>
        </w:rPr>
        <w:sectPr w:rsidR="00C16D1F" w:rsidRPr="00B57DAB" w:rsidSect="009C41C6">
          <w:pgSz w:w="11907" w:h="16840" w:code="9"/>
          <w:pgMar w:top="1134" w:right="567" w:bottom="567" w:left="1134" w:header="720" w:footer="567" w:gutter="0"/>
          <w:cols w:space="720"/>
        </w:sectPr>
      </w:pPr>
    </w:p>
    <w:p w:rsidR="0045560F" w:rsidRPr="00B57DAB" w:rsidRDefault="0045560F" w:rsidP="0045560F">
      <w:pPr>
        <w:pStyle w:val="Heading1"/>
        <w:overflowPunct/>
        <w:autoSpaceDE/>
        <w:autoSpaceDN/>
        <w:adjustRightInd/>
        <w:ind w:firstLine="0"/>
        <w:jc w:val="left"/>
        <w:textAlignment w:val="auto"/>
        <w:rPr>
          <w:rFonts w:ascii="GHEA Grapalat" w:hAnsi="GHEA Grapalat" w:cs="Sylfaen"/>
          <w:noProof/>
          <w:sz w:val="22"/>
          <w:szCs w:val="22"/>
          <w:lang w:val="hy-AM"/>
        </w:rPr>
      </w:pPr>
      <w:bookmarkStart w:id="71" w:name="_Toc291747250"/>
      <w:bookmarkStart w:id="72" w:name="_Toc291747579"/>
      <w:bookmarkStart w:id="73" w:name="_Toc291747949"/>
      <w:bookmarkStart w:id="74" w:name="_Toc322445737"/>
      <w:bookmarkStart w:id="75" w:name="_Toc322445810"/>
      <w:bookmarkStart w:id="76" w:name="_Toc353882560"/>
      <w:bookmarkStart w:id="77" w:name="_Toc354657517"/>
      <w:bookmarkStart w:id="78" w:name="_Toc354658871"/>
      <w:bookmarkStart w:id="79" w:name="_Toc385937101"/>
      <w:bookmarkStart w:id="80" w:name="_Toc417292114"/>
      <w:bookmarkStart w:id="81" w:name="_Toc448908393"/>
      <w:bookmarkStart w:id="82" w:name="_Toc448912570"/>
      <w:bookmarkStart w:id="83" w:name="_Toc448913299"/>
      <w:bookmarkStart w:id="84" w:name="_Toc511744986"/>
      <w:bookmarkStart w:id="85" w:name="_Toc6389345"/>
      <w:bookmarkStart w:id="86" w:name="_Toc69232236"/>
      <w:bookmarkStart w:id="87" w:name="_Toc100649919"/>
      <w:bookmarkStart w:id="88" w:name="_Toc102759894"/>
      <w:r w:rsidRPr="00B57DAB">
        <w:rPr>
          <w:rFonts w:ascii="GHEA Grapalat" w:hAnsi="GHEA Grapalat" w:cs="Sylfaen"/>
          <w:noProof/>
          <w:sz w:val="22"/>
          <w:szCs w:val="22"/>
          <w:lang w:val="hy-AM"/>
        </w:rPr>
        <w:lastRenderedPageBreak/>
        <w:t>ՀՀ</w:t>
      </w:r>
      <w:r w:rsidRPr="00B57DAB">
        <w:rPr>
          <w:rFonts w:ascii="GHEA Grapalat" w:hAnsi="GHEA Grapalat" w:cs="Sylfaen"/>
          <w:noProof/>
          <w:sz w:val="22"/>
          <w:szCs w:val="22"/>
        </w:rPr>
        <w:t xml:space="preserve"> </w:t>
      </w:r>
      <w:r w:rsidRPr="00B57DAB">
        <w:rPr>
          <w:rFonts w:ascii="GHEA Grapalat" w:hAnsi="GHEA Grapalat" w:cs="Sylfaen"/>
          <w:noProof/>
          <w:sz w:val="22"/>
          <w:szCs w:val="22"/>
          <w:lang w:val="hy-AM"/>
        </w:rPr>
        <w:t>2022 ԹՎԱԿԱՆԻ ԱՌ</w:t>
      </w:r>
      <w:r w:rsidR="0079090C" w:rsidRPr="00B57DAB">
        <w:rPr>
          <w:rFonts w:ascii="GHEA Grapalat" w:hAnsi="GHEA Grapalat" w:cs="Sylfaen"/>
          <w:noProof/>
          <w:sz w:val="22"/>
          <w:szCs w:val="22"/>
          <w:lang w:val="hy-AM"/>
        </w:rPr>
        <w:t xml:space="preserve">ԱՋԻՆ ԵՌԱՄՍՅԱԿԻ ՊԵՏԱԿԱՆ ԲՅՈՒՋԵԻ </w:t>
      </w:r>
      <w:r w:rsidR="0079090C" w:rsidRPr="00B57DAB">
        <w:rPr>
          <w:rFonts w:ascii="GHEA Grapalat" w:hAnsi="GHEA Grapalat" w:cs="Sylfaen"/>
          <w:noProof/>
          <w:sz w:val="22"/>
          <w:szCs w:val="22"/>
        </w:rPr>
        <w:t>ՀԱՎԵԼ</w:t>
      </w:r>
      <w:r w:rsidRPr="00B57DAB">
        <w:rPr>
          <w:rFonts w:ascii="GHEA Grapalat" w:hAnsi="GHEA Grapalat" w:cs="Sylfaen"/>
          <w:noProof/>
          <w:sz w:val="22"/>
          <w:szCs w:val="22"/>
          <w:lang w:val="hy-AM"/>
        </w:rPr>
        <w:t>ՈՒՐԴԸ</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7F71BF" w:rsidRPr="00B57DAB" w:rsidRDefault="001D0E09" w:rsidP="007F71BF">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sz w:val="22"/>
          <w:szCs w:val="22"/>
          <w:lang w:val="hy-AM"/>
        </w:rPr>
        <w:t xml:space="preserve"> </w:t>
      </w:r>
      <w:r w:rsidR="007F71BF" w:rsidRPr="00B57DAB">
        <w:rPr>
          <w:rFonts w:ascii="GHEA Grapalat" w:hAnsi="GHEA Grapalat" w:cs="GHEA Grapalat"/>
          <w:sz w:val="22"/>
          <w:szCs w:val="22"/>
        </w:rPr>
        <w:t xml:space="preserve">2022 թվականի առաջին եռամսյակում ՀՀ պետական բյուջեն կատարվել է 28.7 մլրդ դրամ հավելուրդով՝ առաջին եռամսյակի համար ծրագրված 67.1 մլրդ դրամ և նախորդ տարվա նույն ժամանակահատվածի 55.6 մլրդ դրամ պակասուրդի դիմաց: Բյուջեի հավելուրդը հիմնականում պայմանավորված է ծախսերի համեմատ եկամուտների առավել բարձր կատարողականով, որի արդյունքում ֆինանսավորման ներքին աղբյուրներում նախատեսված բյուջեի ազատ միջոցներն աճել են 87.8 մլրդ դրամով, իսկ արտաքին աջակցությամբ իրականացվող </w:t>
      </w:r>
      <w:r w:rsidR="00BC1257" w:rsidRPr="00B57DAB">
        <w:rPr>
          <w:rFonts w:ascii="GHEA Grapalat" w:hAnsi="GHEA Grapalat" w:cs="GHEA Grapalat"/>
          <w:sz w:val="22"/>
          <w:szCs w:val="22"/>
        </w:rPr>
        <w:t xml:space="preserve">նպատակային </w:t>
      </w:r>
      <w:r w:rsidR="007F71BF" w:rsidRPr="00B57DAB">
        <w:rPr>
          <w:rFonts w:ascii="GHEA Grapalat" w:hAnsi="GHEA Grapalat" w:cs="GHEA Grapalat"/>
          <w:sz w:val="22"/>
          <w:szCs w:val="22"/>
        </w:rPr>
        <w:t>ծրագրերի շրջանակներում ստացվել է նախատեսված վարկային միջոցների 26%-ը՝ 6.3 մլրդ դրամ:</w:t>
      </w:r>
    </w:p>
    <w:p w:rsidR="007F71BF" w:rsidRPr="00B57DAB" w:rsidRDefault="007F71BF" w:rsidP="007F71BF">
      <w:pPr>
        <w:autoSpaceDE w:val="0"/>
        <w:autoSpaceDN w:val="0"/>
        <w:adjustRightInd w:val="0"/>
        <w:ind w:firstLine="567"/>
        <w:jc w:val="both"/>
        <w:rPr>
          <w:rFonts w:ascii="GHEA Grapalat" w:hAnsi="GHEA Grapalat" w:cs="GHEA Grapalat"/>
          <w:sz w:val="22"/>
          <w:szCs w:val="22"/>
        </w:rPr>
      </w:pPr>
    </w:p>
    <w:p w:rsidR="0045560F" w:rsidRPr="00B57DAB" w:rsidRDefault="0045560F" w:rsidP="00770F24">
      <w:pPr>
        <w:pStyle w:val="Caption"/>
        <w:keepNext/>
        <w:numPr>
          <w:ilvl w:val="0"/>
          <w:numId w:val="8"/>
        </w:numPr>
        <w:tabs>
          <w:tab w:val="left" w:pos="1276"/>
        </w:tabs>
        <w:ind w:left="0" w:firstLine="0"/>
        <w:jc w:val="left"/>
        <w:rPr>
          <w:rFonts w:ascii="GHEA Grapalat" w:hAnsi="GHEA Grapalat"/>
          <w:i/>
          <w:sz w:val="18"/>
          <w:szCs w:val="18"/>
          <w:lang w:val="en-US"/>
        </w:rPr>
      </w:pPr>
      <w:r w:rsidRPr="00B57DAB">
        <w:rPr>
          <w:rFonts w:ascii="GHEA Grapalat" w:hAnsi="GHEA Grapalat"/>
          <w:i/>
          <w:sz w:val="18"/>
          <w:szCs w:val="18"/>
          <w:lang w:val="en-US"/>
        </w:rPr>
        <w:t>ՀՀ պետական բյուջեի պակասուրդի ֆինանսավորման աղբյուրները (մլրդ դրամ)</w:t>
      </w:r>
      <w:r w:rsidR="00AE6833" w:rsidRPr="00B57DAB">
        <w:rPr>
          <w:rStyle w:val="FootnoteReference"/>
          <w:rFonts w:ascii="GHEA Grapalat" w:hAnsi="GHEA Grapalat"/>
          <w:i/>
          <w:sz w:val="18"/>
          <w:szCs w:val="18"/>
          <w:lang w:val="en-US"/>
        </w:rPr>
        <w:footnoteReference w:id="34"/>
      </w:r>
    </w:p>
    <w:tbl>
      <w:tblPr>
        <w:tblW w:w="10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134"/>
        <w:gridCol w:w="1134"/>
        <w:gridCol w:w="1134"/>
        <w:gridCol w:w="1559"/>
        <w:gridCol w:w="1707"/>
      </w:tblGrid>
      <w:tr w:rsidR="0045560F" w:rsidRPr="00B57DAB" w:rsidTr="002C57C8">
        <w:trPr>
          <w:trHeight w:val="1439"/>
        </w:trPr>
        <w:tc>
          <w:tcPr>
            <w:tcW w:w="3544" w:type="dxa"/>
            <w:tcBorders>
              <w:top w:val="single" w:sz="4" w:space="0" w:color="auto"/>
              <w:left w:val="single" w:sz="4" w:space="0" w:color="auto"/>
              <w:bottom w:val="single" w:sz="4" w:space="0" w:color="auto"/>
              <w:right w:val="single" w:sz="4" w:space="0" w:color="auto"/>
            </w:tcBorders>
            <w:noWrap/>
            <w:vAlign w:val="bottom"/>
            <w:hideMark/>
          </w:tcPr>
          <w:p w:rsidR="0045560F" w:rsidRPr="00B57DAB" w:rsidRDefault="0045560F" w:rsidP="00F7377C">
            <w:pPr>
              <w:spacing w:line="254" w:lineRule="auto"/>
              <w:rPr>
                <w:rFonts w:ascii="GHEA Grapalat" w:hAnsi="GHEA Grapalat" w:cs="Calibri"/>
                <w:sz w:val="18"/>
                <w:szCs w:val="18"/>
                <w:lang w:val="hy-AM"/>
              </w:rPr>
            </w:pPr>
            <w:r w:rsidRPr="00B57DAB">
              <w:rPr>
                <w:rFonts w:ascii="Courier New" w:hAnsi="Courier New" w:cs="Courier New"/>
                <w:sz w:val="18"/>
                <w:szCs w:val="18"/>
                <w:lang w:val="hy-AM"/>
              </w:rPr>
              <w:t> </w:t>
            </w:r>
          </w:p>
        </w:tc>
        <w:tc>
          <w:tcPr>
            <w:tcW w:w="1134" w:type="dxa"/>
            <w:tcBorders>
              <w:top w:val="single" w:sz="4" w:space="0" w:color="auto"/>
              <w:left w:val="single" w:sz="4" w:space="0" w:color="auto"/>
              <w:bottom w:val="single" w:sz="4" w:space="0" w:color="auto"/>
              <w:right w:val="single" w:sz="4" w:space="0" w:color="auto"/>
            </w:tcBorders>
            <w:hideMark/>
          </w:tcPr>
          <w:p w:rsidR="0045560F" w:rsidRPr="00B57DAB" w:rsidRDefault="0045560F" w:rsidP="00F7377C">
            <w:pPr>
              <w:jc w:val="center"/>
              <w:rPr>
                <w:rFonts w:ascii="GHEA Grapalat" w:hAnsi="GHEA Grapalat" w:cs="Calibri"/>
                <w:b/>
                <w:bCs/>
                <w:sz w:val="18"/>
                <w:szCs w:val="18"/>
                <w:lang w:val="hy-AM"/>
              </w:rPr>
            </w:pPr>
            <w:r w:rsidRPr="00B57DAB">
              <w:rPr>
                <w:rFonts w:ascii="GHEA Grapalat" w:hAnsi="GHEA Grapalat" w:cs="Calibri"/>
                <w:b/>
                <w:bCs/>
                <w:sz w:val="18"/>
                <w:szCs w:val="18"/>
              </w:rPr>
              <w:t>2021թ. առաջին եռամս-յակի փաստ</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45560F" w:rsidRPr="00B57DAB" w:rsidRDefault="0045560F" w:rsidP="00F7377C">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 ճշտված պլան</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45560F" w:rsidRPr="00B57DAB" w:rsidRDefault="0045560F" w:rsidP="00F7377C">
            <w:pPr>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 փաստ</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45560F" w:rsidRPr="00B57DAB" w:rsidRDefault="0045560F" w:rsidP="00F7377C">
            <w:pPr>
              <w:jc w:val="center"/>
              <w:rPr>
                <w:rFonts w:ascii="GHEA Grapalat" w:hAnsi="GHEA Grapalat" w:cs="Calibri"/>
                <w:b/>
                <w:bCs/>
                <w:sz w:val="18"/>
                <w:szCs w:val="18"/>
              </w:rPr>
            </w:pPr>
            <w:r w:rsidRPr="00B57DAB">
              <w:rPr>
                <w:rFonts w:ascii="GHEA Grapalat" w:hAnsi="GHEA Grapalat" w:cs="Calibri"/>
                <w:b/>
                <w:bCs/>
                <w:sz w:val="18"/>
                <w:szCs w:val="18"/>
                <w:lang w:val="hy-AM"/>
              </w:rPr>
              <w:t>Կատարո-ղական</w:t>
            </w:r>
            <w:r w:rsidRPr="00B57DAB">
              <w:rPr>
                <w:rFonts w:ascii="GHEA Grapalat" w:hAnsi="GHEA Grapalat" w:cs="Calibri"/>
                <w:b/>
                <w:bCs/>
                <w:sz w:val="18"/>
                <w:szCs w:val="18"/>
              </w:rPr>
              <w:t>ն առաջին եռամսյակի</w:t>
            </w:r>
            <w:r w:rsidRPr="00B57DAB">
              <w:rPr>
                <w:rFonts w:ascii="GHEA Grapalat" w:hAnsi="GHEA Grapalat" w:cs="Calibri"/>
                <w:b/>
                <w:bCs/>
                <w:sz w:val="18"/>
                <w:szCs w:val="18"/>
                <w:lang w:val="hy-AM"/>
              </w:rPr>
              <w:t xml:space="preserve"> ճշտված պլանի նկատմամբ</w:t>
            </w:r>
            <w:r w:rsidRPr="00B57DAB">
              <w:rPr>
                <w:rFonts w:ascii="GHEA Grapalat" w:hAnsi="GHEA Grapalat" w:cs="Calibri"/>
                <w:b/>
                <w:bCs/>
                <w:sz w:val="18"/>
                <w:szCs w:val="18"/>
              </w:rPr>
              <w:t xml:space="preserve"> (%)</w:t>
            </w:r>
          </w:p>
        </w:tc>
        <w:tc>
          <w:tcPr>
            <w:tcW w:w="1707" w:type="dxa"/>
            <w:tcBorders>
              <w:top w:val="single" w:sz="4" w:space="0" w:color="auto"/>
              <w:left w:val="single" w:sz="4" w:space="0" w:color="auto"/>
              <w:bottom w:val="single" w:sz="4" w:space="0" w:color="auto"/>
              <w:right w:val="single" w:sz="4" w:space="0" w:color="auto"/>
            </w:tcBorders>
            <w:shd w:val="clear" w:color="auto" w:fill="FFFFFF"/>
            <w:hideMark/>
          </w:tcPr>
          <w:p w:rsidR="0045560F" w:rsidRPr="00B57DAB" w:rsidRDefault="0045560F" w:rsidP="00F7377C">
            <w:pPr>
              <w:jc w:val="center"/>
              <w:rPr>
                <w:rFonts w:ascii="GHEA Grapalat" w:hAnsi="GHEA Grapalat" w:cs="Calibri"/>
                <w:b/>
                <w:bCs/>
                <w:sz w:val="18"/>
                <w:szCs w:val="18"/>
              </w:rPr>
            </w:pPr>
            <w:r w:rsidRPr="00B57DAB">
              <w:rPr>
                <w:rFonts w:ascii="GHEA Grapalat" w:hAnsi="GHEA Grapalat" w:cs="Calibri"/>
                <w:b/>
                <w:bCs/>
                <w:sz w:val="18"/>
                <w:szCs w:val="18"/>
              </w:rPr>
              <w:t xml:space="preserve">2022թ. առաջին եռամսյակը 2021թ. </w:t>
            </w:r>
            <w:proofErr w:type="gramStart"/>
            <w:r w:rsidRPr="00B57DAB">
              <w:rPr>
                <w:rFonts w:ascii="GHEA Grapalat" w:hAnsi="GHEA Grapalat" w:cs="Calibri"/>
                <w:b/>
                <w:bCs/>
                <w:sz w:val="18"/>
                <w:szCs w:val="18"/>
              </w:rPr>
              <w:t>առաջին</w:t>
            </w:r>
            <w:proofErr w:type="gramEnd"/>
            <w:r w:rsidRPr="00B57DAB">
              <w:rPr>
                <w:rFonts w:ascii="GHEA Grapalat" w:hAnsi="GHEA Grapalat" w:cs="Calibri"/>
                <w:b/>
                <w:bCs/>
                <w:sz w:val="18"/>
                <w:szCs w:val="18"/>
              </w:rPr>
              <w:t xml:space="preserve"> եռամսյակի նկատմամբ (%)</w:t>
            </w:r>
          </w:p>
        </w:tc>
      </w:tr>
      <w:tr w:rsidR="0045560F" w:rsidRPr="00B57DAB" w:rsidTr="002C57C8">
        <w:trPr>
          <w:trHeight w:val="377"/>
        </w:trPr>
        <w:tc>
          <w:tcPr>
            <w:tcW w:w="3544" w:type="dxa"/>
            <w:tcBorders>
              <w:top w:val="single" w:sz="4" w:space="0" w:color="auto"/>
              <w:left w:val="single" w:sz="4" w:space="0" w:color="auto"/>
              <w:bottom w:val="single" w:sz="4" w:space="0" w:color="auto"/>
              <w:right w:val="single" w:sz="4" w:space="0" w:color="auto"/>
            </w:tcBorders>
            <w:vAlign w:val="bottom"/>
            <w:hideMark/>
          </w:tcPr>
          <w:p w:rsidR="0045560F" w:rsidRPr="00B57DAB" w:rsidRDefault="0045560F" w:rsidP="0045560F">
            <w:pPr>
              <w:spacing w:line="254" w:lineRule="auto"/>
              <w:rPr>
                <w:rFonts w:ascii="GHEA Grapalat" w:hAnsi="GHEA Grapalat" w:cs="Calibri"/>
                <w:b/>
                <w:bCs/>
                <w:sz w:val="18"/>
                <w:szCs w:val="18"/>
              </w:rPr>
            </w:pPr>
            <w:r w:rsidRPr="00B57DAB">
              <w:rPr>
                <w:rFonts w:ascii="GHEA Grapalat" w:hAnsi="GHEA Grapalat" w:cs="Calibri"/>
                <w:b/>
                <w:color w:val="000000"/>
                <w:sz w:val="18"/>
                <w:szCs w:val="18"/>
              </w:rPr>
              <w:t xml:space="preserve">Պակասուրդ </w:t>
            </w:r>
            <w:r w:rsidRPr="00B57DAB">
              <w:rPr>
                <w:rFonts w:ascii="GHEA Grapalat" w:hAnsi="GHEA Grapalat" w:cs="Calibri"/>
                <w:b/>
                <w:color w:val="000000"/>
                <w:sz w:val="18"/>
                <w:szCs w:val="18"/>
                <w:lang w:val="hy-AM"/>
              </w:rPr>
              <w:t>(</w:t>
            </w:r>
            <w:r w:rsidRPr="00B57DAB">
              <w:rPr>
                <w:rFonts w:ascii="GHEA Grapalat" w:hAnsi="GHEA Grapalat" w:cs="Calibri"/>
                <w:b/>
                <w:color w:val="000000"/>
                <w:sz w:val="18"/>
                <w:szCs w:val="18"/>
              </w:rPr>
              <w:t>հավելուրդ)</w:t>
            </w:r>
          </w:p>
        </w:tc>
        <w:tc>
          <w:tcPr>
            <w:tcW w:w="1134" w:type="dxa"/>
            <w:tcBorders>
              <w:top w:val="single" w:sz="4" w:space="0" w:color="auto"/>
              <w:left w:val="single" w:sz="4" w:space="0" w:color="auto"/>
              <w:bottom w:val="single" w:sz="4" w:space="0" w:color="auto"/>
              <w:right w:val="single" w:sz="4" w:space="0" w:color="auto"/>
            </w:tcBorders>
            <w:vAlign w:val="bottom"/>
            <w:hideMark/>
          </w:tcPr>
          <w:p w:rsidR="0045560F" w:rsidRPr="00B57DAB" w:rsidRDefault="0045560F" w:rsidP="00F7377C">
            <w:pPr>
              <w:spacing w:line="254" w:lineRule="auto"/>
              <w:jc w:val="right"/>
              <w:rPr>
                <w:rFonts w:ascii="GHEA Grapalat" w:hAnsi="GHEA Grapalat" w:cs="Calibri"/>
                <w:b/>
                <w:bCs/>
                <w:sz w:val="18"/>
                <w:szCs w:val="18"/>
              </w:rPr>
            </w:pPr>
            <w:r w:rsidRPr="00B57DAB">
              <w:rPr>
                <w:rFonts w:ascii="GHEA Grapalat" w:hAnsi="GHEA Grapalat" w:cs="Calibri"/>
                <w:b/>
                <w:bCs/>
                <w:sz w:val="18"/>
                <w:szCs w:val="18"/>
              </w:rPr>
              <w:t>55.6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5560F" w:rsidRPr="00B57DAB" w:rsidRDefault="0045560F" w:rsidP="00F7377C">
            <w:pPr>
              <w:spacing w:line="254" w:lineRule="auto"/>
              <w:jc w:val="right"/>
              <w:rPr>
                <w:rFonts w:ascii="GHEA Grapalat" w:hAnsi="GHEA Grapalat" w:cs="Calibri"/>
                <w:b/>
                <w:bCs/>
                <w:sz w:val="18"/>
                <w:szCs w:val="18"/>
              </w:rPr>
            </w:pPr>
            <w:r w:rsidRPr="00B57DAB">
              <w:rPr>
                <w:rFonts w:ascii="GHEA Grapalat" w:hAnsi="GHEA Grapalat" w:cs="Calibri"/>
                <w:b/>
                <w:bCs/>
                <w:sz w:val="18"/>
                <w:szCs w:val="18"/>
              </w:rPr>
              <w:t>67.1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5560F" w:rsidRPr="00B57DAB" w:rsidRDefault="0045560F" w:rsidP="00F7377C">
            <w:pPr>
              <w:spacing w:line="254" w:lineRule="auto"/>
              <w:jc w:val="right"/>
              <w:rPr>
                <w:rFonts w:ascii="GHEA Grapalat" w:hAnsi="GHEA Grapalat" w:cs="Calibri"/>
                <w:b/>
                <w:bCs/>
                <w:sz w:val="18"/>
                <w:szCs w:val="18"/>
              </w:rPr>
            </w:pPr>
            <w:r w:rsidRPr="00B57DAB">
              <w:rPr>
                <w:rFonts w:ascii="GHEA Grapalat" w:hAnsi="GHEA Grapalat" w:cs="Calibri"/>
                <w:b/>
                <w:bCs/>
                <w:sz w:val="18"/>
                <w:szCs w:val="18"/>
              </w:rPr>
              <w:t>(28.7)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5560F" w:rsidRPr="00B57DAB" w:rsidRDefault="0045560F" w:rsidP="00F7377C">
            <w:pPr>
              <w:spacing w:line="254" w:lineRule="auto"/>
              <w:jc w:val="right"/>
              <w:rPr>
                <w:rFonts w:ascii="GHEA Grapalat" w:hAnsi="GHEA Grapalat" w:cs="Calibri"/>
                <w:b/>
                <w:bCs/>
                <w:sz w:val="18"/>
                <w:szCs w:val="18"/>
              </w:rPr>
            </w:pPr>
            <w:r w:rsidRPr="00B57DAB">
              <w:rPr>
                <w:rFonts w:ascii="GHEA Grapalat" w:hAnsi="GHEA Grapalat" w:cs="Calibri"/>
                <w:b/>
                <w:bCs/>
                <w:sz w:val="18"/>
                <w:szCs w:val="18"/>
              </w:rPr>
              <w:t>(42.7)</w:t>
            </w:r>
          </w:p>
        </w:tc>
        <w:tc>
          <w:tcPr>
            <w:tcW w:w="1707" w:type="dxa"/>
            <w:tcBorders>
              <w:top w:val="single" w:sz="4" w:space="0" w:color="auto"/>
              <w:left w:val="single" w:sz="4" w:space="0" w:color="auto"/>
              <w:bottom w:val="single" w:sz="4" w:space="0" w:color="auto"/>
              <w:right w:val="single" w:sz="4" w:space="0" w:color="auto"/>
            </w:tcBorders>
            <w:vAlign w:val="bottom"/>
            <w:hideMark/>
          </w:tcPr>
          <w:p w:rsidR="0045560F" w:rsidRPr="00B57DAB" w:rsidRDefault="0045560F" w:rsidP="00F7377C">
            <w:pPr>
              <w:spacing w:line="254" w:lineRule="auto"/>
              <w:jc w:val="right"/>
              <w:rPr>
                <w:rFonts w:ascii="GHEA Grapalat" w:hAnsi="GHEA Grapalat" w:cs="Calibri"/>
                <w:b/>
                <w:bCs/>
                <w:sz w:val="18"/>
                <w:szCs w:val="18"/>
              </w:rPr>
            </w:pPr>
            <w:r w:rsidRPr="00B57DAB">
              <w:rPr>
                <w:rFonts w:ascii="GHEA Grapalat" w:hAnsi="GHEA Grapalat" w:cs="Calibri"/>
                <w:b/>
                <w:bCs/>
                <w:sz w:val="18"/>
                <w:szCs w:val="18"/>
              </w:rPr>
              <w:t>(51.6)</w:t>
            </w:r>
          </w:p>
        </w:tc>
      </w:tr>
      <w:tr w:rsidR="0045560F" w:rsidRPr="00B57DAB" w:rsidTr="00BC1257">
        <w:trPr>
          <w:trHeight w:val="175"/>
        </w:trPr>
        <w:tc>
          <w:tcPr>
            <w:tcW w:w="3544" w:type="dxa"/>
            <w:tcBorders>
              <w:top w:val="single" w:sz="4" w:space="0" w:color="auto"/>
              <w:left w:val="single" w:sz="4" w:space="0" w:color="auto"/>
              <w:bottom w:val="single" w:sz="4" w:space="0" w:color="auto"/>
              <w:right w:val="single" w:sz="4" w:space="0" w:color="auto"/>
            </w:tcBorders>
            <w:vAlign w:val="bottom"/>
            <w:hideMark/>
          </w:tcPr>
          <w:p w:rsidR="0045560F" w:rsidRPr="00B57DAB" w:rsidRDefault="0045560F" w:rsidP="0045560F">
            <w:pPr>
              <w:spacing w:line="254" w:lineRule="auto"/>
              <w:rPr>
                <w:rFonts w:ascii="GHEA Grapalat" w:hAnsi="GHEA Grapalat" w:cs="Calibri"/>
                <w:color w:val="000000"/>
                <w:sz w:val="18"/>
                <w:szCs w:val="18"/>
              </w:rPr>
            </w:pPr>
            <w:r w:rsidRPr="00B57DAB">
              <w:rPr>
                <w:rFonts w:ascii="GHEA Grapalat" w:hAnsi="GHEA Grapalat" w:cs="Calibri"/>
                <w:color w:val="000000"/>
                <w:sz w:val="18"/>
                <w:szCs w:val="18"/>
              </w:rPr>
              <w:t>Ներքին աղբյուրներ, այդ թվում`</w:t>
            </w:r>
          </w:p>
        </w:tc>
        <w:tc>
          <w:tcPr>
            <w:tcW w:w="1134" w:type="dxa"/>
            <w:tcBorders>
              <w:top w:val="single" w:sz="4" w:space="0" w:color="auto"/>
              <w:left w:val="single" w:sz="4" w:space="0" w:color="auto"/>
              <w:bottom w:val="single" w:sz="4" w:space="0" w:color="auto"/>
              <w:right w:val="single" w:sz="4" w:space="0" w:color="auto"/>
            </w:tcBorders>
            <w:vAlign w:val="bottom"/>
            <w:hideMark/>
          </w:tcPr>
          <w:p w:rsidR="0045560F" w:rsidRPr="00B57DAB" w:rsidRDefault="0045560F" w:rsidP="00F7377C">
            <w:pPr>
              <w:spacing w:line="254" w:lineRule="auto"/>
              <w:jc w:val="right"/>
              <w:rPr>
                <w:rFonts w:ascii="GHEA Grapalat" w:hAnsi="GHEA Grapalat" w:cs="Calibri"/>
                <w:bCs/>
                <w:sz w:val="18"/>
                <w:szCs w:val="18"/>
              </w:rPr>
            </w:pPr>
            <w:r w:rsidRPr="00B57DAB">
              <w:rPr>
                <w:rFonts w:ascii="GHEA Grapalat" w:hAnsi="GHEA Grapalat" w:cs="Calibri"/>
                <w:bCs/>
                <w:sz w:val="18"/>
                <w:szCs w:val="18"/>
              </w:rPr>
              <w:t>(272.2)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5560F" w:rsidRPr="00B57DAB" w:rsidRDefault="0045560F" w:rsidP="00F7377C">
            <w:pPr>
              <w:spacing w:line="254" w:lineRule="auto"/>
              <w:jc w:val="right"/>
              <w:rPr>
                <w:rFonts w:ascii="GHEA Grapalat" w:hAnsi="GHEA Grapalat" w:cs="Calibri"/>
                <w:bCs/>
                <w:sz w:val="18"/>
                <w:szCs w:val="18"/>
              </w:rPr>
            </w:pPr>
            <w:r w:rsidRPr="00B57DAB">
              <w:rPr>
                <w:rFonts w:ascii="GHEA Grapalat" w:hAnsi="GHEA Grapalat" w:cs="Calibri"/>
                <w:bCs/>
                <w:sz w:val="18"/>
                <w:szCs w:val="18"/>
              </w:rPr>
              <w:t>73.9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5560F" w:rsidRPr="00B57DAB" w:rsidRDefault="0045560F" w:rsidP="00F7377C">
            <w:pPr>
              <w:spacing w:line="254" w:lineRule="auto"/>
              <w:jc w:val="right"/>
              <w:rPr>
                <w:rFonts w:ascii="GHEA Grapalat" w:hAnsi="GHEA Grapalat" w:cs="Calibri"/>
                <w:bCs/>
                <w:sz w:val="18"/>
                <w:szCs w:val="18"/>
              </w:rPr>
            </w:pPr>
            <w:r w:rsidRPr="00B57DAB">
              <w:rPr>
                <w:rFonts w:ascii="GHEA Grapalat" w:hAnsi="GHEA Grapalat" w:cs="Calibri"/>
                <w:bCs/>
                <w:sz w:val="18"/>
                <w:szCs w:val="18"/>
              </w:rPr>
              <w:t>(6.4)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5560F" w:rsidRPr="00B57DAB" w:rsidRDefault="0045560F" w:rsidP="00F7377C">
            <w:pPr>
              <w:spacing w:line="254" w:lineRule="auto"/>
              <w:jc w:val="right"/>
              <w:rPr>
                <w:rFonts w:ascii="GHEA Grapalat" w:hAnsi="GHEA Grapalat" w:cs="Calibri"/>
                <w:bCs/>
                <w:sz w:val="18"/>
                <w:szCs w:val="18"/>
              </w:rPr>
            </w:pPr>
            <w:r w:rsidRPr="00B57DAB">
              <w:rPr>
                <w:rFonts w:ascii="GHEA Grapalat" w:hAnsi="GHEA Grapalat" w:cs="Calibri"/>
                <w:bCs/>
                <w:sz w:val="18"/>
                <w:szCs w:val="18"/>
              </w:rPr>
              <w:t>(8.7)</w:t>
            </w:r>
          </w:p>
        </w:tc>
        <w:tc>
          <w:tcPr>
            <w:tcW w:w="1707" w:type="dxa"/>
            <w:tcBorders>
              <w:top w:val="single" w:sz="4" w:space="0" w:color="auto"/>
              <w:left w:val="single" w:sz="4" w:space="0" w:color="auto"/>
              <w:bottom w:val="single" w:sz="4" w:space="0" w:color="auto"/>
              <w:right w:val="single" w:sz="4" w:space="0" w:color="auto"/>
            </w:tcBorders>
            <w:vAlign w:val="bottom"/>
            <w:hideMark/>
          </w:tcPr>
          <w:p w:rsidR="0045560F" w:rsidRPr="00B57DAB" w:rsidRDefault="0045560F" w:rsidP="00F7377C">
            <w:pPr>
              <w:spacing w:line="254" w:lineRule="auto"/>
              <w:jc w:val="right"/>
              <w:rPr>
                <w:rFonts w:ascii="GHEA Grapalat" w:hAnsi="GHEA Grapalat" w:cs="Calibri"/>
                <w:bCs/>
                <w:sz w:val="18"/>
                <w:szCs w:val="18"/>
              </w:rPr>
            </w:pPr>
            <w:r w:rsidRPr="00B57DAB">
              <w:rPr>
                <w:rFonts w:ascii="GHEA Grapalat" w:hAnsi="GHEA Grapalat" w:cs="Calibri"/>
                <w:bCs/>
                <w:sz w:val="18"/>
                <w:szCs w:val="18"/>
              </w:rPr>
              <w:t>2.4</w:t>
            </w:r>
          </w:p>
        </w:tc>
      </w:tr>
      <w:tr w:rsidR="0045560F" w:rsidRPr="00B57DAB" w:rsidTr="00BC1257">
        <w:trPr>
          <w:trHeight w:val="224"/>
        </w:trPr>
        <w:tc>
          <w:tcPr>
            <w:tcW w:w="3544" w:type="dxa"/>
            <w:tcBorders>
              <w:top w:val="single" w:sz="4" w:space="0" w:color="auto"/>
              <w:left w:val="single" w:sz="4" w:space="0" w:color="auto"/>
              <w:bottom w:val="single" w:sz="4" w:space="0" w:color="auto"/>
              <w:right w:val="single" w:sz="4" w:space="0" w:color="auto"/>
            </w:tcBorders>
            <w:vAlign w:val="bottom"/>
            <w:hideMark/>
          </w:tcPr>
          <w:p w:rsidR="0045560F" w:rsidRPr="00B57DAB" w:rsidRDefault="0045560F" w:rsidP="00770F24">
            <w:pPr>
              <w:pStyle w:val="ListParagraph"/>
              <w:numPr>
                <w:ilvl w:val="0"/>
                <w:numId w:val="10"/>
              </w:numPr>
              <w:ind w:left="426" w:hanging="156"/>
              <w:rPr>
                <w:rFonts w:ascii="GHEA Grapalat" w:hAnsi="GHEA Grapalat" w:cs="Calibri"/>
                <w:sz w:val="18"/>
                <w:szCs w:val="18"/>
                <w:lang w:val="hy-AM"/>
              </w:rPr>
            </w:pPr>
            <w:r w:rsidRPr="00B57DAB">
              <w:rPr>
                <w:rFonts w:ascii="GHEA Grapalat" w:hAnsi="GHEA Grapalat" w:cs="Calibri"/>
                <w:sz w:val="18"/>
                <w:szCs w:val="18"/>
                <w:lang w:val="hy-AM"/>
              </w:rPr>
              <w:t>Փոխառու միջոցներ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45560F" w:rsidRPr="00B57DAB" w:rsidRDefault="0045560F" w:rsidP="00F7377C">
            <w:pPr>
              <w:spacing w:line="254" w:lineRule="auto"/>
              <w:jc w:val="right"/>
              <w:rPr>
                <w:rFonts w:ascii="GHEA Grapalat" w:hAnsi="GHEA Grapalat" w:cs="Calibri"/>
                <w:bCs/>
                <w:sz w:val="18"/>
                <w:szCs w:val="18"/>
              </w:rPr>
            </w:pPr>
            <w:r w:rsidRPr="00B57DAB">
              <w:rPr>
                <w:rFonts w:ascii="GHEA Grapalat" w:hAnsi="GHEA Grapalat" w:cs="Calibri"/>
                <w:bCs/>
                <w:sz w:val="18"/>
                <w:szCs w:val="18"/>
              </w:rPr>
              <w:t>18.5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5560F" w:rsidRPr="00B57DAB" w:rsidRDefault="0045560F" w:rsidP="00F7377C">
            <w:pPr>
              <w:spacing w:line="254" w:lineRule="auto"/>
              <w:jc w:val="right"/>
              <w:rPr>
                <w:rFonts w:ascii="GHEA Grapalat" w:hAnsi="GHEA Grapalat" w:cs="Calibri"/>
                <w:bCs/>
                <w:sz w:val="18"/>
                <w:szCs w:val="18"/>
              </w:rPr>
            </w:pPr>
            <w:r w:rsidRPr="00B57DAB">
              <w:rPr>
                <w:rFonts w:ascii="GHEA Grapalat" w:hAnsi="GHEA Grapalat" w:cs="Calibri"/>
                <w:bCs/>
                <w:sz w:val="18"/>
                <w:szCs w:val="18"/>
              </w:rPr>
              <w:t>77.0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5560F" w:rsidRPr="00B57DAB" w:rsidRDefault="0045560F" w:rsidP="00F7377C">
            <w:pPr>
              <w:spacing w:line="254" w:lineRule="auto"/>
              <w:jc w:val="right"/>
              <w:rPr>
                <w:rFonts w:ascii="GHEA Grapalat" w:hAnsi="GHEA Grapalat" w:cs="Calibri"/>
                <w:bCs/>
                <w:sz w:val="18"/>
                <w:szCs w:val="18"/>
              </w:rPr>
            </w:pPr>
            <w:r w:rsidRPr="00B57DAB">
              <w:rPr>
                <w:rFonts w:ascii="GHEA Grapalat" w:hAnsi="GHEA Grapalat" w:cs="Calibri"/>
                <w:bCs/>
                <w:sz w:val="18"/>
                <w:szCs w:val="18"/>
              </w:rPr>
              <w:t>73.2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5560F" w:rsidRPr="00B57DAB" w:rsidRDefault="0045560F" w:rsidP="00F7377C">
            <w:pPr>
              <w:spacing w:line="254" w:lineRule="auto"/>
              <w:jc w:val="right"/>
              <w:rPr>
                <w:rFonts w:ascii="GHEA Grapalat" w:hAnsi="GHEA Grapalat" w:cs="Calibri"/>
                <w:bCs/>
                <w:sz w:val="18"/>
                <w:szCs w:val="18"/>
              </w:rPr>
            </w:pPr>
            <w:r w:rsidRPr="00B57DAB">
              <w:rPr>
                <w:rFonts w:ascii="GHEA Grapalat" w:hAnsi="GHEA Grapalat" w:cs="Calibri"/>
                <w:bCs/>
                <w:sz w:val="18"/>
                <w:szCs w:val="18"/>
              </w:rPr>
              <w:t>95.1</w:t>
            </w:r>
          </w:p>
        </w:tc>
        <w:tc>
          <w:tcPr>
            <w:tcW w:w="1707" w:type="dxa"/>
            <w:tcBorders>
              <w:top w:val="single" w:sz="4" w:space="0" w:color="auto"/>
              <w:left w:val="single" w:sz="4" w:space="0" w:color="auto"/>
              <w:bottom w:val="single" w:sz="4" w:space="0" w:color="auto"/>
              <w:right w:val="single" w:sz="4" w:space="0" w:color="auto"/>
            </w:tcBorders>
            <w:vAlign w:val="bottom"/>
            <w:hideMark/>
          </w:tcPr>
          <w:p w:rsidR="0045560F" w:rsidRPr="00B57DAB" w:rsidRDefault="0045560F" w:rsidP="00F7377C">
            <w:pPr>
              <w:spacing w:line="254" w:lineRule="auto"/>
              <w:jc w:val="right"/>
              <w:rPr>
                <w:rFonts w:ascii="GHEA Grapalat" w:hAnsi="GHEA Grapalat" w:cs="Calibri"/>
                <w:bCs/>
                <w:sz w:val="18"/>
                <w:szCs w:val="18"/>
              </w:rPr>
            </w:pPr>
            <w:r w:rsidRPr="00B57DAB">
              <w:rPr>
                <w:rFonts w:ascii="GHEA Grapalat" w:hAnsi="GHEA Grapalat" w:cs="Calibri"/>
                <w:bCs/>
                <w:sz w:val="18"/>
                <w:szCs w:val="18"/>
              </w:rPr>
              <w:t>396.0</w:t>
            </w:r>
          </w:p>
        </w:tc>
      </w:tr>
      <w:tr w:rsidR="0045560F" w:rsidRPr="00B57DAB" w:rsidTr="00BC1257">
        <w:trPr>
          <w:trHeight w:val="244"/>
        </w:trPr>
        <w:tc>
          <w:tcPr>
            <w:tcW w:w="3544" w:type="dxa"/>
            <w:tcBorders>
              <w:top w:val="single" w:sz="4" w:space="0" w:color="auto"/>
              <w:left w:val="single" w:sz="4" w:space="0" w:color="auto"/>
              <w:bottom w:val="single" w:sz="4" w:space="0" w:color="auto"/>
              <w:right w:val="single" w:sz="4" w:space="0" w:color="auto"/>
            </w:tcBorders>
            <w:vAlign w:val="bottom"/>
            <w:hideMark/>
          </w:tcPr>
          <w:p w:rsidR="0045560F" w:rsidRPr="00B57DAB" w:rsidRDefault="0045560F" w:rsidP="00770F24">
            <w:pPr>
              <w:pStyle w:val="ListParagraph"/>
              <w:numPr>
                <w:ilvl w:val="0"/>
                <w:numId w:val="10"/>
              </w:numPr>
              <w:ind w:left="426" w:hanging="156"/>
              <w:rPr>
                <w:rFonts w:ascii="GHEA Grapalat" w:hAnsi="GHEA Grapalat" w:cs="Calibri"/>
                <w:sz w:val="18"/>
                <w:szCs w:val="18"/>
                <w:lang w:val="hy-AM"/>
              </w:rPr>
            </w:pPr>
            <w:r w:rsidRPr="00B57DAB">
              <w:rPr>
                <w:rFonts w:ascii="GHEA Grapalat" w:hAnsi="GHEA Grapalat" w:cs="Calibri"/>
                <w:sz w:val="18"/>
                <w:szCs w:val="18"/>
                <w:lang w:val="hy-AM"/>
              </w:rPr>
              <w:t>Ֆինանսական զուտ ակտիվներ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45560F" w:rsidRPr="00B57DAB" w:rsidRDefault="0045560F" w:rsidP="00F7377C">
            <w:pPr>
              <w:spacing w:line="254" w:lineRule="auto"/>
              <w:jc w:val="right"/>
              <w:rPr>
                <w:rFonts w:ascii="GHEA Grapalat" w:hAnsi="GHEA Grapalat" w:cs="Calibri"/>
                <w:bCs/>
                <w:sz w:val="18"/>
                <w:szCs w:val="18"/>
              </w:rPr>
            </w:pPr>
            <w:r w:rsidRPr="00B57DAB">
              <w:rPr>
                <w:rFonts w:ascii="GHEA Grapalat" w:hAnsi="GHEA Grapalat" w:cs="Calibri"/>
                <w:bCs/>
                <w:sz w:val="18"/>
                <w:szCs w:val="18"/>
              </w:rPr>
              <w:t>(290.7)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5560F" w:rsidRPr="00B57DAB" w:rsidRDefault="0045560F" w:rsidP="00F7377C">
            <w:pPr>
              <w:spacing w:line="254" w:lineRule="auto"/>
              <w:jc w:val="right"/>
              <w:rPr>
                <w:rFonts w:ascii="GHEA Grapalat" w:hAnsi="GHEA Grapalat" w:cs="Calibri"/>
                <w:bCs/>
                <w:sz w:val="18"/>
                <w:szCs w:val="18"/>
              </w:rPr>
            </w:pPr>
            <w:r w:rsidRPr="00B57DAB">
              <w:rPr>
                <w:rFonts w:ascii="GHEA Grapalat" w:hAnsi="GHEA Grapalat" w:cs="Calibri"/>
                <w:bCs/>
                <w:sz w:val="18"/>
                <w:szCs w:val="18"/>
              </w:rPr>
              <w:t>(3.0)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5560F" w:rsidRPr="00B57DAB" w:rsidRDefault="0045560F" w:rsidP="00F7377C">
            <w:pPr>
              <w:spacing w:line="254" w:lineRule="auto"/>
              <w:jc w:val="right"/>
              <w:rPr>
                <w:rFonts w:ascii="GHEA Grapalat" w:hAnsi="GHEA Grapalat" w:cs="Calibri"/>
                <w:bCs/>
                <w:sz w:val="18"/>
                <w:szCs w:val="18"/>
              </w:rPr>
            </w:pPr>
            <w:r w:rsidRPr="00B57DAB">
              <w:rPr>
                <w:rFonts w:ascii="GHEA Grapalat" w:hAnsi="GHEA Grapalat" w:cs="Calibri"/>
                <w:bCs/>
                <w:sz w:val="18"/>
                <w:szCs w:val="18"/>
              </w:rPr>
              <w:t>(79.6)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5560F" w:rsidRPr="00B57DAB" w:rsidRDefault="0045560F" w:rsidP="00F7377C">
            <w:pPr>
              <w:spacing w:line="254" w:lineRule="auto"/>
              <w:jc w:val="right"/>
              <w:rPr>
                <w:rFonts w:ascii="GHEA Grapalat" w:hAnsi="GHEA Grapalat" w:cs="Calibri"/>
                <w:bCs/>
                <w:sz w:val="18"/>
                <w:szCs w:val="18"/>
              </w:rPr>
            </w:pPr>
            <w:r w:rsidRPr="00B57DAB">
              <w:rPr>
                <w:rFonts w:ascii="GHEA Grapalat" w:hAnsi="GHEA Grapalat" w:cs="Calibri"/>
                <w:bCs/>
                <w:sz w:val="18"/>
                <w:szCs w:val="18"/>
              </w:rPr>
              <w:t>2627.7</w:t>
            </w:r>
          </w:p>
        </w:tc>
        <w:tc>
          <w:tcPr>
            <w:tcW w:w="1707" w:type="dxa"/>
            <w:tcBorders>
              <w:top w:val="single" w:sz="4" w:space="0" w:color="auto"/>
              <w:left w:val="single" w:sz="4" w:space="0" w:color="auto"/>
              <w:bottom w:val="single" w:sz="4" w:space="0" w:color="auto"/>
              <w:right w:val="single" w:sz="4" w:space="0" w:color="auto"/>
            </w:tcBorders>
            <w:vAlign w:val="bottom"/>
            <w:hideMark/>
          </w:tcPr>
          <w:p w:rsidR="0045560F" w:rsidRPr="00B57DAB" w:rsidRDefault="0045560F" w:rsidP="00F7377C">
            <w:pPr>
              <w:spacing w:line="254" w:lineRule="auto"/>
              <w:jc w:val="right"/>
              <w:rPr>
                <w:rFonts w:ascii="GHEA Grapalat" w:hAnsi="GHEA Grapalat" w:cs="Calibri"/>
                <w:bCs/>
                <w:sz w:val="18"/>
                <w:szCs w:val="18"/>
              </w:rPr>
            </w:pPr>
            <w:r w:rsidRPr="00B57DAB">
              <w:rPr>
                <w:rFonts w:ascii="GHEA Grapalat" w:hAnsi="GHEA Grapalat" w:cs="Calibri"/>
                <w:bCs/>
                <w:sz w:val="18"/>
                <w:szCs w:val="18"/>
              </w:rPr>
              <w:t>27.4</w:t>
            </w:r>
          </w:p>
        </w:tc>
      </w:tr>
      <w:tr w:rsidR="0045560F" w:rsidRPr="00B57DAB" w:rsidTr="00BC1257">
        <w:trPr>
          <w:trHeight w:val="230"/>
        </w:trPr>
        <w:tc>
          <w:tcPr>
            <w:tcW w:w="3544" w:type="dxa"/>
            <w:tcBorders>
              <w:top w:val="single" w:sz="4" w:space="0" w:color="auto"/>
              <w:left w:val="single" w:sz="4" w:space="0" w:color="auto"/>
              <w:bottom w:val="single" w:sz="4" w:space="0" w:color="auto"/>
              <w:right w:val="single" w:sz="4" w:space="0" w:color="auto"/>
            </w:tcBorders>
            <w:vAlign w:val="bottom"/>
            <w:hideMark/>
          </w:tcPr>
          <w:p w:rsidR="0045560F" w:rsidRPr="00B57DAB" w:rsidRDefault="0045560F" w:rsidP="0045560F">
            <w:pPr>
              <w:spacing w:line="254" w:lineRule="auto"/>
              <w:rPr>
                <w:rFonts w:ascii="GHEA Grapalat" w:hAnsi="GHEA Grapalat" w:cs="Calibri"/>
                <w:color w:val="000000"/>
                <w:sz w:val="18"/>
                <w:szCs w:val="18"/>
              </w:rPr>
            </w:pPr>
            <w:r w:rsidRPr="00B57DAB">
              <w:rPr>
                <w:rFonts w:ascii="GHEA Grapalat" w:hAnsi="GHEA Grapalat" w:cs="Calibri"/>
                <w:color w:val="000000"/>
                <w:sz w:val="18"/>
                <w:szCs w:val="18"/>
              </w:rPr>
              <w:t>Արտաքին աղբյուրներ, այդ թվում`</w:t>
            </w:r>
          </w:p>
        </w:tc>
        <w:tc>
          <w:tcPr>
            <w:tcW w:w="1134" w:type="dxa"/>
            <w:tcBorders>
              <w:top w:val="single" w:sz="4" w:space="0" w:color="auto"/>
              <w:left w:val="single" w:sz="4" w:space="0" w:color="auto"/>
              <w:bottom w:val="single" w:sz="4" w:space="0" w:color="auto"/>
              <w:right w:val="single" w:sz="4" w:space="0" w:color="auto"/>
            </w:tcBorders>
            <w:vAlign w:val="bottom"/>
            <w:hideMark/>
          </w:tcPr>
          <w:p w:rsidR="0045560F" w:rsidRPr="00B57DAB" w:rsidRDefault="0045560F" w:rsidP="00F7377C">
            <w:pPr>
              <w:spacing w:line="254" w:lineRule="auto"/>
              <w:jc w:val="right"/>
              <w:rPr>
                <w:rFonts w:ascii="GHEA Grapalat" w:hAnsi="GHEA Grapalat" w:cs="Calibri"/>
                <w:bCs/>
                <w:sz w:val="18"/>
                <w:szCs w:val="18"/>
              </w:rPr>
            </w:pPr>
            <w:r w:rsidRPr="00B57DAB">
              <w:rPr>
                <w:rFonts w:ascii="GHEA Grapalat" w:hAnsi="GHEA Grapalat" w:cs="Calibri"/>
                <w:bCs/>
                <w:sz w:val="18"/>
                <w:szCs w:val="18"/>
              </w:rPr>
              <w:t>327.8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5560F" w:rsidRPr="00B57DAB" w:rsidRDefault="0045560F" w:rsidP="00F7377C">
            <w:pPr>
              <w:spacing w:line="254" w:lineRule="auto"/>
              <w:jc w:val="right"/>
              <w:rPr>
                <w:rFonts w:ascii="GHEA Grapalat" w:hAnsi="GHEA Grapalat" w:cs="Calibri"/>
                <w:bCs/>
                <w:sz w:val="18"/>
                <w:szCs w:val="18"/>
              </w:rPr>
            </w:pPr>
            <w:r w:rsidRPr="00B57DAB">
              <w:rPr>
                <w:rFonts w:ascii="GHEA Grapalat" w:hAnsi="GHEA Grapalat" w:cs="Calibri"/>
                <w:bCs/>
                <w:sz w:val="18"/>
                <w:szCs w:val="18"/>
              </w:rPr>
              <w:t>(6.8)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5560F" w:rsidRPr="00B57DAB" w:rsidRDefault="0045560F" w:rsidP="00F7377C">
            <w:pPr>
              <w:spacing w:line="254" w:lineRule="auto"/>
              <w:jc w:val="right"/>
              <w:rPr>
                <w:rFonts w:ascii="GHEA Grapalat" w:hAnsi="GHEA Grapalat" w:cs="Calibri"/>
                <w:bCs/>
                <w:sz w:val="18"/>
                <w:szCs w:val="18"/>
              </w:rPr>
            </w:pPr>
            <w:r w:rsidRPr="00B57DAB">
              <w:rPr>
                <w:rFonts w:ascii="GHEA Grapalat" w:hAnsi="GHEA Grapalat" w:cs="Calibri"/>
                <w:bCs/>
                <w:sz w:val="18"/>
                <w:szCs w:val="18"/>
              </w:rPr>
              <w:t>(22.2)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5560F" w:rsidRPr="00B57DAB" w:rsidRDefault="0045560F" w:rsidP="00F7377C">
            <w:pPr>
              <w:spacing w:line="254" w:lineRule="auto"/>
              <w:jc w:val="right"/>
              <w:rPr>
                <w:rFonts w:ascii="GHEA Grapalat" w:hAnsi="GHEA Grapalat" w:cs="Calibri"/>
                <w:bCs/>
                <w:sz w:val="18"/>
                <w:szCs w:val="18"/>
              </w:rPr>
            </w:pPr>
            <w:r w:rsidRPr="00B57DAB">
              <w:rPr>
                <w:rFonts w:ascii="GHEA Grapalat" w:hAnsi="GHEA Grapalat" w:cs="Calibri"/>
                <w:bCs/>
                <w:sz w:val="18"/>
                <w:szCs w:val="18"/>
              </w:rPr>
              <w:t>326.5</w:t>
            </w:r>
          </w:p>
        </w:tc>
        <w:tc>
          <w:tcPr>
            <w:tcW w:w="1707" w:type="dxa"/>
            <w:tcBorders>
              <w:top w:val="single" w:sz="4" w:space="0" w:color="auto"/>
              <w:left w:val="single" w:sz="4" w:space="0" w:color="auto"/>
              <w:bottom w:val="single" w:sz="4" w:space="0" w:color="auto"/>
              <w:right w:val="single" w:sz="4" w:space="0" w:color="auto"/>
            </w:tcBorders>
            <w:vAlign w:val="bottom"/>
            <w:hideMark/>
          </w:tcPr>
          <w:p w:rsidR="0045560F" w:rsidRPr="00B57DAB" w:rsidRDefault="0045560F" w:rsidP="00F7377C">
            <w:pPr>
              <w:spacing w:line="254" w:lineRule="auto"/>
              <w:jc w:val="right"/>
              <w:rPr>
                <w:rFonts w:ascii="GHEA Grapalat" w:hAnsi="GHEA Grapalat" w:cs="Calibri"/>
                <w:bCs/>
                <w:sz w:val="18"/>
                <w:szCs w:val="18"/>
              </w:rPr>
            </w:pPr>
            <w:r w:rsidRPr="00B57DAB">
              <w:rPr>
                <w:rFonts w:ascii="GHEA Grapalat" w:hAnsi="GHEA Grapalat" w:cs="Calibri"/>
                <w:bCs/>
                <w:sz w:val="18"/>
                <w:szCs w:val="18"/>
              </w:rPr>
              <w:t>(6.8)</w:t>
            </w:r>
          </w:p>
        </w:tc>
      </w:tr>
      <w:tr w:rsidR="0045560F" w:rsidRPr="00B57DAB" w:rsidTr="00BC1257">
        <w:trPr>
          <w:trHeight w:val="183"/>
        </w:trPr>
        <w:tc>
          <w:tcPr>
            <w:tcW w:w="3544" w:type="dxa"/>
            <w:tcBorders>
              <w:top w:val="single" w:sz="4" w:space="0" w:color="auto"/>
              <w:left w:val="single" w:sz="4" w:space="0" w:color="auto"/>
              <w:bottom w:val="single" w:sz="4" w:space="0" w:color="auto"/>
              <w:right w:val="single" w:sz="4" w:space="0" w:color="auto"/>
            </w:tcBorders>
            <w:vAlign w:val="bottom"/>
            <w:hideMark/>
          </w:tcPr>
          <w:p w:rsidR="0045560F" w:rsidRPr="00B57DAB" w:rsidRDefault="0045560F" w:rsidP="00770F24">
            <w:pPr>
              <w:pStyle w:val="ListParagraph"/>
              <w:numPr>
                <w:ilvl w:val="0"/>
                <w:numId w:val="10"/>
              </w:numPr>
              <w:ind w:left="426" w:hanging="156"/>
              <w:rPr>
                <w:rFonts w:ascii="GHEA Grapalat" w:hAnsi="GHEA Grapalat" w:cs="Calibri"/>
                <w:sz w:val="18"/>
                <w:szCs w:val="18"/>
                <w:lang w:val="hy-AM"/>
              </w:rPr>
            </w:pPr>
            <w:r w:rsidRPr="00B57DAB">
              <w:rPr>
                <w:rFonts w:ascii="GHEA Grapalat" w:hAnsi="GHEA Grapalat" w:cs="Calibri"/>
                <w:sz w:val="18"/>
                <w:szCs w:val="18"/>
                <w:lang w:val="hy-AM"/>
              </w:rPr>
              <w:t>Փոխառու միջոցներ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45560F" w:rsidRPr="00B57DAB" w:rsidRDefault="0045560F" w:rsidP="00F7377C">
            <w:pPr>
              <w:spacing w:line="254" w:lineRule="auto"/>
              <w:jc w:val="right"/>
              <w:rPr>
                <w:rFonts w:ascii="GHEA Grapalat" w:hAnsi="GHEA Grapalat" w:cs="Calibri"/>
                <w:bCs/>
                <w:sz w:val="18"/>
                <w:szCs w:val="18"/>
              </w:rPr>
            </w:pPr>
            <w:r w:rsidRPr="00B57DAB">
              <w:rPr>
                <w:rFonts w:ascii="GHEA Grapalat" w:hAnsi="GHEA Grapalat" w:cs="Calibri"/>
                <w:bCs/>
                <w:sz w:val="18"/>
                <w:szCs w:val="18"/>
              </w:rPr>
              <w:t>357.7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5560F" w:rsidRPr="00B57DAB" w:rsidRDefault="0045560F" w:rsidP="00F7377C">
            <w:pPr>
              <w:spacing w:line="254" w:lineRule="auto"/>
              <w:jc w:val="right"/>
              <w:rPr>
                <w:rFonts w:ascii="GHEA Grapalat" w:hAnsi="GHEA Grapalat" w:cs="Calibri"/>
                <w:bCs/>
                <w:sz w:val="18"/>
                <w:szCs w:val="18"/>
              </w:rPr>
            </w:pPr>
            <w:r w:rsidRPr="00B57DAB">
              <w:rPr>
                <w:rFonts w:ascii="GHEA Grapalat" w:hAnsi="GHEA Grapalat" w:cs="Calibri"/>
                <w:bCs/>
                <w:sz w:val="18"/>
                <w:szCs w:val="18"/>
              </w:rPr>
              <w:t>31.8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5560F" w:rsidRPr="00B57DAB" w:rsidRDefault="0045560F" w:rsidP="0035191B">
            <w:pPr>
              <w:spacing w:line="254" w:lineRule="auto"/>
              <w:jc w:val="right"/>
              <w:rPr>
                <w:rFonts w:ascii="GHEA Grapalat" w:hAnsi="GHEA Grapalat" w:cs="Calibri"/>
                <w:bCs/>
                <w:sz w:val="18"/>
                <w:szCs w:val="18"/>
              </w:rPr>
            </w:pPr>
            <w:r w:rsidRPr="00B57DAB">
              <w:rPr>
                <w:rFonts w:ascii="GHEA Grapalat" w:hAnsi="GHEA Grapalat" w:cs="Calibri"/>
                <w:bCs/>
                <w:sz w:val="18"/>
                <w:szCs w:val="18"/>
              </w:rPr>
              <w:t>15.</w:t>
            </w:r>
            <w:r w:rsidR="0035191B" w:rsidRPr="00B57DAB">
              <w:rPr>
                <w:rFonts w:ascii="GHEA Grapalat" w:hAnsi="GHEA Grapalat" w:cs="Calibri"/>
                <w:bCs/>
                <w:sz w:val="18"/>
                <w:szCs w:val="18"/>
              </w:rPr>
              <w:t>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5560F" w:rsidRPr="00B57DAB" w:rsidRDefault="0045560F" w:rsidP="0035191B">
            <w:pPr>
              <w:spacing w:line="254" w:lineRule="auto"/>
              <w:jc w:val="right"/>
              <w:rPr>
                <w:rFonts w:ascii="GHEA Grapalat" w:hAnsi="GHEA Grapalat" w:cs="Calibri"/>
                <w:bCs/>
                <w:sz w:val="18"/>
                <w:szCs w:val="18"/>
              </w:rPr>
            </w:pPr>
            <w:r w:rsidRPr="00B57DAB">
              <w:rPr>
                <w:rFonts w:ascii="GHEA Grapalat" w:hAnsi="GHEA Grapalat" w:cs="Calibri"/>
                <w:bCs/>
                <w:sz w:val="18"/>
                <w:szCs w:val="18"/>
              </w:rPr>
              <w:t>48.</w:t>
            </w:r>
            <w:r w:rsidR="0035191B" w:rsidRPr="00B57DAB">
              <w:rPr>
                <w:rFonts w:ascii="GHEA Grapalat" w:hAnsi="GHEA Grapalat" w:cs="Calibri"/>
                <w:bCs/>
                <w:sz w:val="18"/>
                <w:szCs w:val="18"/>
              </w:rPr>
              <w:t>8</w:t>
            </w:r>
          </w:p>
        </w:tc>
        <w:tc>
          <w:tcPr>
            <w:tcW w:w="1707" w:type="dxa"/>
            <w:tcBorders>
              <w:top w:val="single" w:sz="4" w:space="0" w:color="auto"/>
              <w:left w:val="single" w:sz="4" w:space="0" w:color="auto"/>
              <w:bottom w:val="single" w:sz="4" w:space="0" w:color="auto"/>
              <w:right w:val="single" w:sz="4" w:space="0" w:color="auto"/>
            </w:tcBorders>
            <w:vAlign w:val="bottom"/>
            <w:hideMark/>
          </w:tcPr>
          <w:p w:rsidR="0045560F" w:rsidRPr="00B57DAB" w:rsidRDefault="0035191B" w:rsidP="00F7377C">
            <w:pPr>
              <w:spacing w:line="254" w:lineRule="auto"/>
              <w:jc w:val="right"/>
              <w:rPr>
                <w:rFonts w:ascii="GHEA Grapalat" w:hAnsi="GHEA Grapalat" w:cs="Calibri"/>
                <w:bCs/>
                <w:sz w:val="18"/>
                <w:szCs w:val="18"/>
              </w:rPr>
            </w:pPr>
            <w:r w:rsidRPr="00B57DAB">
              <w:rPr>
                <w:rFonts w:ascii="GHEA Grapalat" w:hAnsi="GHEA Grapalat" w:cs="Calibri"/>
                <w:bCs/>
                <w:sz w:val="18"/>
                <w:szCs w:val="18"/>
              </w:rPr>
              <w:t>4.3</w:t>
            </w:r>
          </w:p>
        </w:tc>
      </w:tr>
      <w:tr w:rsidR="0045560F" w:rsidRPr="00B57DAB" w:rsidTr="00BC1257">
        <w:trPr>
          <w:trHeight w:val="202"/>
        </w:trPr>
        <w:tc>
          <w:tcPr>
            <w:tcW w:w="3544" w:type="dxa"/>
            <w:tcBorders>
              <w:top w:val="single" w:sz="4" w:space="0" w:color="auto"/>
              <w:left w:val="single" w:sz="4" w:space="0" w:color="auto"/>
              <w:bottom w:val="single" w:sz="4" w:space="0" w:color="auto"/>
              <w:right w:val="single" w:sz="4" w:space="0" w:color="auto"/>
            </w:tcBorders>
            <w:vAlign w:val="bottom"/>
            <w:hideMark/>
          </w:tcPr>
          <w:p w:rsidR="0045560F" w:rsidRPr="00B57DAB" w:rsidRDefault="0045560F" w:rsidP="00770F24">
            <w:pPr>
              <w:pStyle w:val="ListParagraph"/>
              <w:numPr>
                <w:ilvl w:val="0"/>
                <w:numId w:val="10"/>
              </w:numPr>
              <w:ind w:left="426" w:hanging="156"/>
              <w:rPr>
                <w:rFonts w:ascii="GHEA Grapalat" w:hAnsi="GHEA Grapalat" w:cs="Calibri"/>
                <w:sz w:val="18"/>
                <w:szCs w:val="18"/>
                <w:lang w:val="hy-AM"/>
              </w:rPr>
            </w:pPr>
            <w:r w:rsidRPr="00B57DAB">
              <w:rPr>
                <w:rFonts w:ascii="GHEA Grapalat" w:hAnsi="GHEA Grapalat" w:cs="Calibri"/>
                <w:sz w:val="18"/>
                <w:szCs w:val="18"/>
                <w:lang w:val="hy-AM"/>
              </w:rPr>
              <w:t>Ֆինանսական զուտ ակտիվներ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45560F" w:rsidRPr="00B57DAB" w:rsidRDefault="0045560F" w:rsidP="00F7377C">
            <w:pPr>
              <w:spacing w:line="254" w:lineRule="auto"/>
              <w:jc w:val="right"/>
              <w:rPr>
                <w:rFonts w:ascii="GHEA Grapalat" w:hAnsi="GHEA Grapalat" w:cs="Calibri"/>
                <w:bCs/>
                <w:sz w:val="18"/>
                <w:szCs w:val="18"/>
              </w:rPr>
            </w:pPr>
            <w:r w:rsidRPr="00B57DAB">
              <w:rPr>
                <w:rFonts w:ascii="GHEA Grapalat" w:hAnsi="GHEA Grapalat" w:cs="Calibri"/>
                <w:bCs/>
                <w:sz w:val="18"/>
                <w:szCs w:val="18"/>
              </w:rPr>
              <w:t>(29.9)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5560F" w:rsidRPr="00B57DAB" w:rsidRDefault="0045560F" w:rsidP="00F7377C">
            <w:pPr>
              <w:spacing w:line="254" w:lineRule="auto"/>
              <w:jc w:val="right"/>
              <w:rPr>
                <w:rFonts w:ascii="GHEA Grapalat" w:hAnsi="GHEA Grapalat" w:cs="Calibri"/>
                <w:bCs/>
                <w:sz w:val="18"/>
                <w:szCs w:val="18"/>
              </w:rPr>
            </w:pPr>
            <w:r w:rsidRPr="00B57DAB">
              <w:rPr>
                <w:rFonts w:ascii="GHEA Grapalat" w:hAnsi="GHEA Grapalat" w:cs="Calibri"/>
                <w:bCs/>
                <w:sz w:val="18"/>
                <w:szCs w:val="18"/>
              </w:rPr>
              <w:t>(38.6)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5560F" w:rsidRPr="00B57DAB" w:rsidRDefault="0045560F" w:rsidP="00F7377C">
            <w:pPr>
              <w:spacing w:line="254" w:lineRule="auto"/>
              <w:jc w:val="right"/>
              <w:rPr>
                <w:rFonts w:ascii="GHEA Grapalat" w:hAnsi="GHEA Grapalat" w:cs="Calibri"/>
                <w:bCs/>
                <w:sz w:val="18"/>
                <w:szCs w:val="18"/>
              </w:rPr>
            </w:pPr>
            <w:r w:rsidRPr="00B57DAB">
              <w:rPr>
                <w:rFonts w:ascii="GHEA Grapalat" w:hAnsi="GHEA Grapalat" w:cs="Calibri"/>
                <w:bCs/>
                <w:sz w:val="18"/>
                <w:szCs w:val="18"/>
              </w:rPr>
              <w:t>(37.8)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5560F" w:rsidRPr="00B57DAB" w:rsidRDefault="0045560F" w:rsidP="00F7377C">
            <w:pPr>
              <w:spacing w:line="254" w:lineRule="auto"/>
              <w:jc w:val="right"/>
              <w:rPr>
                <w:rFonts w:ascii="GHEA Grapalat" w:hAnsi="GHEA Grapalat" w:cs="Calibri"/>
                <w:bCs/>
                <w:sz w:val="18"/>
                <w:szCs w:val="18"/>
              </w:rPr>
            </w:pPr>
            <w:r w:rsidRPr="00B57DAB">
              <w:rPr>
                <w:rFonts w:ascii="GHEA Grapalat" w:hAnsi="GHEA Grapalat" w:cs="Calibri"/>
                <w:bCs/>
                <w:sz w:val="18"/>
                <w:szCs w:val="18"/>
              </w:rPr>
              <w:t>97.8</w:t>
            </w:r>
          </w:p>
        </w:tc>
        <w:tc>
          <w:tcPr>
            <w:tcW w:w="1707" w:type="dxa"/>
            <w:tcBorders>
              <w:top w:val="single" w:sz="4" w:space="0" w:color="auto"/>
              <w:left w:val="single" w:sz="4" w:space="0" w:color="auto"/>
              <w:bottom w:val="single" w:sz="4" w:space="0" w:color="auto"/>
              <w:right w:val="single" w:sz="4" w:space="0" w:color="auto"/>
            </w:tcBorders>
            <w:vAlign w:val="bottom"/>
            <w:hideMark/>
          </w:tcPr>
          <w:p w:rsidR="0045560F" w:rsidRPr="00B57DAB" w:rsidRDefault="0045560F" w:rsidP="00F7377C">
            <w:pPr>
              <w:spacing w:line="254" w:lineRule="auto"/>
              <w:jc w:val="right"/>
              <w:rPr>
                <w:rFonts w:ascii="GHEA Grapalat" w:hAnsi="GHEA Grapalat" w:cs="Calibri"/>
                <w:bCs/>
                <w:sz w:val="18"/>
                <w:szCs w:val="18"/>
              </w:rPr>
            </w:pPr>
            <w:r w:rsidRPr="00B57DAB">
              <w:rPr>
                <w:rFonts w:ascii="GHEA Grapalat" w:hAnsi="GHEA Grapalat" w:cs="Calibri"/>
                <w:bCs/>
                <w:sz w:val="18"/>
                <w:szCs w:val="18"/>
              </w:rPr>
              <w:t>126.5</w:t>
            </w:r>
          </w:p>
        </w:tc>
      </w:tr>
    </w:tbl>
    <w:p w:rsidR="007F71BF" w:rsidRPr="00B57DAB" w:rsidRDefault="007F71BF" w:rsidP="007F71BF">
      <w:pPr>
        <w:autoSpaceDE w:val="0"/>
        <w:autoSpaceDN w:val="0"/>
        <w:adjustRightInd w:val="0"/>
        <w:spacing w:line="360" w:lineRule="auto"/>
        <w:ind w:firstLine="567"/>
        <w:jc w:val="both"/>
        <w:rPr>
          <w:rFonts w:ascii="GHEA Grapalat" w:hAnsi="GHEA Grapalat"/>
          <w:sz w:val="22"/>
          <w:szCs w:val="22"/>
          <w:lang w:val="nb-NO"/>
        </w:rPr>
      </w:pPr>
    </w:p>
    <w:p w:rsidR="007F71BF" w:rsidRPr="00B57DAB" w:rsidRDefault="007F71BF" w:rsidP="007F71BF">
      <w:pPr>
        <w:autoSpaceDE w:val="0"/>
        <w:autoSpaceDN w:val="0"/>
        <w:adjustRightInd w:val="0"/>
        <w:spacing w:line="360" w:lineRule="auto"/>
        <w:ind w:firstLine="567"/>
        <w:jc w:val="both"/>
        <w:rPr>
          <w:rFonts w:ascii="GHEA Grapalat" w:hAnsi="GHEA Grapalat"/>
          <w:sz w:val="22"/>
          <w:szCs w:val="22"/>
          <w:lang w:val="nb-NO"/>
        </w:rPr>
      </w:pPr>
      <w:r w:rsidRPr="00B57DAB">
        <w:rPr>
          <w:rFonts w:ascii="GHEA Grapalat" w:hAnsi="GHEA Grapalat"/>
          <w:sz w:val="22"/>
          <w:szCs w:val="22"/>
          <w:lang w:val="nb-NO"/>
        </w:rPr>
        <w:t xml:space="preserve">Հաշվետու ժամանակահատվածում </w:t>
      </w:r>
      <w:r w:rsidRPr="00B57DAB">
        <w:rPr>
          <w:rFonts w:ascii="GHEA Grapalat" w:hAnsi="GHEA Grapalat"/>
          <w:sz w:val="22"/>
          <w:szCs w:val="22"/>
        </w:rPr>
        <w:t xml:space="preserve">ներքին փոխառու միջոցներից պետական բյուջեն ֆինանսավորվել է գանձապետական պարտատոմսերի տեղաբաշխումից զուտ մուտքերի հաշվին, որոնք կազմել են 73.2 մլրդ դրամ՝ նախատեսված 77 մլրդ դրամի դիմաց: </w:t>
      </w:r>
      <w:r w:rsidR="0079090C" w:rsidRPr="00B57DAB">
        <w:rPr>
          <w:rFonts w:ascii="GHEA Grapalat" w:hAnsi="GHEA Grapalat"/>
          <w:sz w:val="22"/>
          <w:szCs w:val="22"/>
        </w:rPr>
        <w:t>Ծրագրային ցուցանիշից շեղ</w:t>
      </w:r>
      <w:r w:rsidRPr="00B57DAB">
        <w:rPr>
          <w:rFonts w:ascii="GHEA Grapalat" w:hAnsi="GHEA Grapalat"/>
          <w:sz w:val="22"/>
          <w:szCs w:val="22"/>
        </w:rPr>
        <w:t>ումը պայմանավորված է տոկոսադրու</w:t>
      </w:r>
      <w:r w:rsidR="00BC1257" w:rsidRPr="00B57DAB">
        <w:rPr>
          <w:rFonts w:ascii="GHEA Grapalat" w:hAnsi="GHEA Grapalat"/>
          <w:sz w:val="22"/>
          <w:szCs w:val="22"/>
        </w:rPr>
        <w:t>յ</w:t>
      </w:r>
      <w:r w:rsidRPr="00B57DAB">
        <w:rPr>
          <w:rFonts w:ascii="GHEA Grapalat" w:hAnsi="GHEA Grapalat"/>
          <w:sz w:val="22"/>
          <w:szCs w:val="22"/>
        </w:rPr>
        <w:t>քի բարձրացման պայմաններում կանխատեսածի համեմատ տեղաբաշխման փաստացի եկամտաբերության տարբերությամբ: 2022 թվականի առաջին եռամսյակի ընթացքում ընդհանուր առմամբ տեղաբաշխվել են</w:t>
      </w:r>
      <w:r w:rsidR="004B7FB8" w:rsidRPr="00B57DAB">
        <w:rPr>
          <w:rFonts w:ascii="GHEA Grapalat" w:hAnsi="GHEA Grapalat"/>
          <w:sz w:val="22"/>
          <w:szCs w:val="22"/>
        </w:rPr>
        <w:t xml:space="preserve"> </w:t>
      </w:r>
      <w:r w:rsidRPr="00B57DAB">
        <w:rPr>
          <w:rFonts w:ascii="GHEA Grapalat" w:hAnsi="GHEA Grapalat"/>
          <w:sz w:val="22"/>
          <w:szCs w:val="22"/>
        </w:rPr>
        <w:t>109,954.52 մլն դրամի պարտատոմսեր, և տեղաբաշխումից ստացված մուտքը կազմել է</w:t>
      </w:r>
      <w:r w:rsidR="004B7FB8" w:rsidRPr="00B57DAB">
        <w:rPr>
          <w:rFonts w:ascii="GHEA Grapalat" w:hAnsi="GHEA Grapalat"/>
          <w:sz w:val="22"/>
          <w:szCs w:val="22"/>
        </w:rPr>
        <w:t xml:space="preserve"> </w:t>
      </w:r>
      <w:r w:rsidRPr="00B57DAB">
        <w:rPr>
          <w:rFonts w:ascii="GHEA Grapalat" w:hAnsi="GHEA Grapalat"/>
          <w:sz w:val="22"/>
          <w:szCs w:val="22"/>
        </w:rPr>
        <w:t>99,188.88 մլն դրամ, իսկ պարտատոմսերի մարմանը/հետգնմանն ուղղվել է 26,002.63 մլն դրամ: Հաշվետու ժամանակահատվածի ընթացքում տեղաբաշխվել են 813.5 մլն դրամի խնայողական արժեկտրոնային պարտատոմսեր, որոնցից մուտքը կազմել է</w:t>
      </w:r>
      <w:r w:rsidR="004B7FB8" w:rsidRPr="00B57DAB">
        <w:rPr>
          <w:rFonts w:ascii="GHEA Grapalat" w:hAnsi="GHEA Grapalat"/>
          <w:sz w:val="22"/>
          <w:szCs w:val="22"/>
        </w:rPr>
        <w:t xml:space="preserve"> </w:t>
      </w:r>
      <w:r w:rsidRPr="00B57DAB">
        <w:rPr>
          <w:rFonts w:ascii="GHEA Grapalat" w:hAnsi="GHEA Grapalat"/>
          <w:sz w:val="22"/>
          <w:szCs w:val="22"/>
        </w:rPr>
        <w:t>821.31 մլն դրամ:</w:t>
      </w:r>
      <w:r w:rsidR="004B7FB8" w:rsidRPr="00B57DAB">
        <w:rPr>
          <w:rFonts w:ascii="GHEA Grapalat" w:hAnsi="GHEA Grapalat"/>
          <w:sz w:val="22"/>
          <w:szCs w:val="22"/>
        </w:rPr>
        <w:t xml:space="preserve"> </w:t>
      </w:r>
    </w:p>
    <w:p w:rsidR="007F71BF" w:rsidRPr="00B57DAB" w:rsidRDefault="007F71BF" w:rsidP="007F71BF">
      <w:pPr>
        <w:autoSpaceDE w:val="0"/>
        <w:autoSpaceDN w:val="0"/>
        <w:adjustRightInd w:val="0"/>
        <w:spacing w:line="360" w:lineRule="auto"/>
        <w:ind w:firstLine="567"/>
        <w:jc w:val="both"/>
        <w:rPr>
          <w:rFonts w:ascii="GHEA Grapalat" w:hAnsi="GHEA Grapalat"/>
          <w:sz w:val="22"/>
          <w:szCs w:val="22"/>
          <w:lang w:val="nb-NO"/>
        </w:rPr>
      </w:pPr>
      <w:proofErr w:type="gramStart"/>
      <w:r w:rsidRPr="00B57DAB">
        <w:rPr>
          <w:rFonts w:ascii="GHEA Grapalat" w:hAnsi="GHEA Grapalat"/>
          <w:sz w:val="22"/>
          <w:szCs w:val="22"/>
        </w:rPr>
        <w:t>Կատարված</w:t>
      </w:r>
      <w:r w:rsidRPr="00B57DAB">
        <w:rPr>
          <w:rFonts w:ascii="GHEA Grapalat" w:hAnsi="GHEA Grapalat"/>
          <w:sz w:val="22"/>
          <w:szCs w:val="22"/>
          <w:lang w:val="nb-NO"/>
        </w:rPr>
        <w:t xml:space="preserve"> </w:t>
      </w:r>
      <w:r w:rsidRPr="00B57DAB">
        <w:rPr>
          <w:rFonts w:ascii="GHEA Grapalat" w:hAnsi="GHEA Grapalat"/>
          <w:sz w:val="22"/>
          <w:szCs w:val="22"/>
        </w:rPr>
        <w:t>գործառնությունների</w:t>
      </w:r>
      <w:r w:rsidRPr="00B57DAB">
        <w:rPr>
          <w:rFonts w:ascii="GHEA Grapalat" w:hAnsi="GHEA Grapalat"/>
          <w:sz w:val="22"/>
          <w:szCs w:val="22"/>
          <w:lang w:val="nb-NO"/>
        </w:rPr>
        <w:t xml:space="preserve"> </w:t>
      </w:r>
      <w:r w:rsidRPr="00B57DAB">
        <w:rPr>
          <w:rFonts w:ascii="GHEA Grapalat" w:hAnsi="GHEA Grapalat"/>
          <w:sz w:val="22"/>
          <w:szCs w:val="22"/>
        </w:rPr>
        <w:t>արդյունքում</w:t>
      </w:r>
      <w:r w:rsidRPr="00B57DAB">
        <w:rPr>
          <w:rFonts w:ascii="GHEA Grapalat" w:hAnsi="GHEA Grapalat"/>
          <w:sz w:val="22"/>
          <w:szCs w:val="22"/>
          <w:lang w:val="nb-NO"/>
        </w:rPr>
        <w:t xml:space="preserve">` </w:t>
      </w:r>
      <w:r w:rsidRPr="00B57DAB">
        <w:rPr>
          <w:rFonts w:ascii="GHEA Grapalat" w:hAnsi="GHEA Grapalat"/>
          <w:sz w:val="22"/>
          <w:szCs w:val="22"/>
        </w:rPr>
        <w:t>20</w:t>
      </w:r>
      <w:r w:rsidRPr="00B57DAB">
        <w:rPr>
          <w:rFonts w:ascii="GHEA Grapalat" w:hAnsi="GHEA Grapalat"/>
          <w:sz w:val="22"/>
          <w:szCs w:val="22"/>
          <w:lang w:val="nb-NO"/>
        </w:rPr>
        <w:t xml:space="preserve">22 </w:t>
      </w:r>
      <w:r w:rsidRPr="00B57DAB">
        <w:rPr>
          <w:rFonts w:ascii="GHEA Grapalat" w:hAnsi="GHEA Grapalat"/>
          <w:sz w:val="22"/>
          <w:szCs w:val="22"/>
        </w:rPr>
        <w:t>թվականի</w:t>
      </w:r>
      <w:r w:rsidRPr="00B57DAB">
        <w:rPr>
          <w:rFonts w:ascii="GHEA Grapalat" w:hAnsi="GHEA Grapalat"/>
          <w:sz w:val="22"/>
          <w:szCs w:val="22"/>
          <w:lang w:val="nb-NO"/>
        </w:rPr>
        <w:t xml:space="preserve"> </w:t>
      </w:r>
      <w:r w:rsidRPr="00B57DAB">
        <w:rPr>
          <w:rFonts w:ascii="GHEA Grapalat" w:hAnsi="GHEA Grapalat"/>
          <w:sz w:val="22"/>
          <w:szCs w:val="22"/>
        </w:rPr>
        <w:t>մարտի</w:t>
      </w:r>
      <w:r w:rsidRPr="00B57DAB">
        <w:rPr>
          <w:rFonts w:ascii="GHEA Grapalat" w:hAnsi="GHEA Grapalat"/>
          <w:sz w:val="22"/>
          <w:szCs w:val="22"/>
          <w:lang w:val="nb-NO"/>
        </w:rPr>
        <w:t xml:space="preserve"> 31-</w:t>
      </w:r>
      <w:r w:rsidRPr="00B57DAB">
        <w:rPr>
          <w:rFonts w:ascii="GHEA Grapalat" w:hAnsi="GHEA Grapalat"/>
          <w:sz w:val="22"/>
          <w:szCs w:val="22"/>
        </w:rPr>
        <w:t>ի</w:t>
      </w:r>
      <w:r w:rsidRPr="00B57DAB">
        <w:rPr>
          <w:rFonts w:ascii="GHEA Grapalat" w:hAnsi="GHEA Grapalat"/>
          <w:sz w:val="22"/>
          <w:szCs w:val="22"/>
          <w:lang w:val="nb-NO"/>
        </w:rPr>
        <w:t xml:space="preserve"> </w:t>
      </w:r>
      <w:r w:rsidRPr="00B57DAB">
        <w:rPr>
          <w:rFonts w:ascii="GHEA Grapalat" w:hAnsi="GHEA Grapalat"/>
          <w:sz w:val="22"/>
          <w:szCs w:val="22"/>
        </w:rPr>
        <w:t>դրությամբ</w:t>
      </w:r>
      <w:r w:rsidRPr="00B57DAB">
        <w:rPr>
          <w:rFonts w:ascii="GHEA Grapalat" w:hAnsi="GHEA Grapalat"/>
          <w:sz w:val="22"/>
          <w:szCs w:val="22"/>
          <w:lang w:val="nb-NO"/>
        </w:rPr>
        <w:t xml:space="preserve"> </w:t>
      </w:r>
      <w:r w:rsidRPr="00B57DAB">
        <w:rPr>
          <w:rFonts w:ascii="GHEA Grapalat" w:hAnsi="GHEA Grapalat"/>
          <w:sz w:val="22"/>
          <w:szCs w:val="22"/>
        </w:rPr>
        <w:t>պետական</w:t>
      </w:r>
      <w:r w:rsidRPr="00B57DAB">
        <w:rPr>
          <w:rFonts w:ascii="GHEA Grapalat" w:hAnsi="GHEA Grapalat"/>
          <w:sz w:val="22"/>
          <w:szCs w:val="22"/>
          <w:lang w:val="nb-NO"/>
        </w:rPr>
        <w:t xml:space="preserve"> </w:t>
      </w:r>
      <w:r w:rsidRPr="00B57DAB">
        <w:rPr>
          <w:rFonts w:ascii="GHEA Grapalat" w:hAnsi="GHEA Grapalat"/>
          <w:sz w:val="22"/>
          <w:szCs w:val="22"/>
        </w:rPr>
        <w:t>գանձապետական</w:t>
      </w:r>
      <w:r w:rsidRPr="00B57DAB">
        <w:rPr>
          <w:rFonts w:ascii="GHEA Grapalat" w:hAnsi="GHEA Grapalat"/>
          <w:sz w:val="22"/>
          <w:szCs w:val="22"/>
          <w:lang w:val="nb-NO"/>
        </w:rPr>
        <w:t xml:space="preserve"> </w:t>
      </w:r>
      <w:r w:rsidRPr="00B57DAB">
        <w:rPr>
          <w:rFonts w:ascii="GHEA Grapalat" w:hAnsi="GHEA Grapalat"/>
          <w:sz w:val="22"/>
          <w:szCs w:val="22"/>
        </w:rPr>
        <w:t>պարտատոմսերը բնութագրող ցուցանիշները եղել</w:t>
      </w:r>
      <w:r w:rsidRPr="00B57DAB">
        <w:rPr>
          <w:rFonts w:ascii="GHEA Grapalat" w:hAnsi="GHEA Grapalat"/>
          <w:sz w:val="22"/>
          <w:szCs w:val="22"/>
          <w:lang w:val="nb-NO"/>
        </w:rPr>
        <w:t xml:space="preserve"> </w:t>
      </w:r>
      <w:r w:rsidRPr="00B57DAB">
        <w:rPr>
          <w:rFonts w:ascii="GHEA Grapalat" w:hAnsi="GHEA Grapalat"/>
          <w:sz w:val="22"/>
          <w:szCs w:val="22"/>
        </w:rPr>
        <w:t>են</w:t>
      </w:r>
      <w:r w:rsidRPr="00B57DAB">
        <w:rPr>
          <w:rFonts w:ascii="GHEA Grapalat" w:hAnsi="GHEA Grapalat"/>
          <w:sz w:val="22"/>
          <w:szCs w:val="22"/>
          <w:lang w:val="nb-NO"/>
        </w:rPr>
        <w:t xml:space="preserve"> </w:t>
      </w:r>
      <w:r w:rsidRPr="00B57DAB">
        <w:rPr>
          <w:rFonts w:ascii="GHEA Grapalat" w:hAnsi="GHEA Grapalat"/>
          <w:sz w:val="22"/>
          <w:szCs w:val="22"/>
        </w:rPr>
        <w:t>հետևյալը.</w:t>
      </w:r>
      <w:proofErr w:type="gramEnd"/>
    </w:p>
    <w:p w:rsidR="007F71BF" w:rsidRPr="00B57DAB" w:rsidRDefault="007F71BF" w:rsidP="007F71BF">
      <w:pPr>
        <w:numPr>
          <w:ilvl w:val="0"/>
          <w:numId w:val="1"/>
        </w:numPr>
        <w:tabs>
          <w:tab w:val="left" w:pos="851"/>
        </w:tabs>
        <w:spacing w:line="360" w:lineRule="auto"/>
        <w:ind w:left="0" w:firstLine="567"/>
        <w:jc w:val="both"/>
        <w:rPr>
          <w:rFonts w:ascii="GHEA Grapalat" w:hAnsi="GHEA Grapalat" w:cs="GHEA Grapalat"/>
          <w:sz w:val="22"/>
          <w:szCs w:val="22"/>
        </w:rPr>
      </w:pPr>
      <w:r w:rsidRPr="00B57DAB">
        <w:rPr>
          <w:rFonts w:ascii="GHEA Grapalat" w:hAnsi="GHEA Grapalat" w:cs="GHEA Grapalat"/>
          <w:sz w:val="22"/>
          <w:szCs w:val="22"/>
        </w:rPr>
        <w:lastRenderedPageBreak/>
        <w:t xml:space="preserve">միջին կշռված եկամտաբերությունը կազմել է </w:t>
      </w:r>
      <w:r w:rsidRPr="00B57DAB">
        <w:rPr>
          <w:rFonts w:ascii="GHEA Grapalat" w:hAnsi="GHEA Grapalat" w:cs="GHEA Grapalat"/>
          <w:sz w:val="22"/>
          <w:szCs w:val="22"/>
          <w:lang w:val="nb-NO"/>
        </w:rPr>
        <w:t>10.14% (</w:t>
      </w:r>
      <w:bookmarkStart w:id="89" w:name="_Hlk101883052"/>
      <w:r w:rsidRPr="00B57DAB">
        <w:rPr>
          <w:rFonts w:ascii="GHEA Grapalat" w:hAnsi="GHEA Grapalat" w:cs="GHEA Grapalat"/>
          <w:sz w:val="22"/>
          <w:szCs w:val="22"/>
          <w:lang w:val="nb-NO"/>
        </w:rPr>
        <w:t>2021</w:t>
      </w:r>
      <w:r w:rsidRPr="00B57DAB">
        <w:rPr>
          <w:rFonts w:ascii="GHEA Grapalat" w:hAnsi="GHEA Grapalat" w:cs="GHEA Grapalat"/>
          <w:sz w:val="22"/>
          <w:szCs w:val="22"/>
        </w:rPr>
        <w:t>թ</w:t>
      </w:r>
      <w:r w:rsidRPr="00B57DAB">
        <w:rPr>
          <w:rFonts w:ascii="GHEA Grapalat" w:hAnsi="GHEA Grapalat" w:cs="GHEA Grapalat"/>
          <w:sz w:val="22"/>
          <w:szCs w:val="22"/>
          <w:lang w:val="nb-NO"/>
        </w:rPr>
        <w:t>. նույն ժամանակահատվածում</w:t>
      </w:r>
      <w:bookmarkEnd w:id="89"/>
      <w:r w:rsidRPr="00B57DAB">
        <w:rPr>
          <w:rFonts w:ascii="GHEA Grapalat" w:hAnsi="GHEA Grapalat" w:cs="GHEA Grapalat"/>
          <w:sz w:val="22"/>
          <w:szCs w:val="22"/>
          <w:lang w:val="nb-NO"/>
        </w:rPr>
        <w:t>` 10.22%):</w:t>
      </w:r>
      <w:r w:rsidRPr="00B57DAB">
        <w:rPr>
          <w:lang w:val="nb-NO"/>
        </w:rPr>
        <w:t xml:space="preserve"> </w:t>
      </w:r>
      <w:r w:rsidRPr="00B57DAB">
        <w:rPr>
          <w:rFonts w:ascii="GHEA Grapalat" w:hAnsi="GHEA Grapalat" w:cs="GHEA Grapalat"/>
          <w:sz w:val="22"/>
          <w:szCs w:val="22"/>
          <w:lang w:val="nb-NO"/>
        </w:rPr>
        <w:t>Եկամտաբերության նվազումը պայմանավորված է եղել 2021 թվականի ապրիլից մինչև 2022 թվականի հաշվետու ժամանակահատվածը բարձր եկամտաբերություն ունեցող պետական գանձապետական պարտատոմսերի մարումներով և հետգնումներով,</w:t>
      </w:r>
    </w:p>
    <w:p w:rsidR="007F71BF" w:rsidRPr="00B57DAB" w:rsidRDefault="007F71BF" w:rsidP="007F71BF">
      <w:pPr>
        <w:numPr>
          <w:ilvl w:val="0"/>
          <w:numId w:val="1"/>
        </w:numPr>
        <w:tabs>
          <w:tab w:val="left" w:pos="851"/>
        </w:tabs>
        <w:spacing w:line="360" w:lineRule="auto"/>
        <w:ind w:left="0" w:firstLine="567"/>
        <w:jc w:val="both"/>
        <w:rPr>
          <w:rFonts w:ascii="GHEA Grapalat" w:hAnsi="GHEA Grapalat" w:cs="GHEA Grapalat"/>
          <w:sz w:val="22"/>
          <w:szCs w:val="22"/>
        </w:rPr>
      </w:pPr>
      <w:proofErr w:type="gramStart"/>
      <w:r w:rsidRPr="00B57DAB">
        <w:rPr>
          <w:rFonts w:ascii="GHEA Grapalat" w:hAnsi="GHEA Grapalat" w:cs="GHEA Grapalat"/>
          <w:sz w:val="22"/>
          <w:szCs w:val="22"/>
        </w:rPr>
        <w:t>մինչև</w:t>
      </w:r>
      <w:proofErr w:type="gramEnd"/>
      <w:r w:rsidRPr="00B57DAB">
        <w:rPr>
          <w:rFonts w:ascii="GHEA Grapalat" w:hAnsi="GHEA Grapalat" w:cs="GHEA Grapalat"/>
          <w:sz w:val="22"/>
          <w:szCs w:val="22"/>
        </w:rPr>
        <w:t xml:space="preserve"> մարումը մնացած միջին ժամկետայնությունը` 3,608 օր (2021թ. նույն ժամանակահատվածում ՝ 3,865 օր).</w:t>
      </w:r>
    </w:p>
    <w:p w:rsidR="007F71BF" w:rsidRPr="00B57DAB" w:rsidRDefault="007F71BF" w:rsidP="007F71BF">
      <w:pPr>
        <w:numPr>
          <w:ilvl w:val="0"/>
          <w:numId w:val="1"/>
        </w:numPr>
        <w:tabs>
          <w:tab w:val="left" w:pos="851"/>
        </w:tabs>
        <w:spacing w:line="360" w:lineRule="auto"/>
        <w:ind w:left="0" w:firstLine="567"/>
        <w:jc w:val="both"/>
        <w:rPr>
          <w:rFonts w:ascii="GHEA Grapalat" w:hAnsi="GHEA Grapalat" w:cs="GHEA Grapalat"/>
          <w:sz w:val="22"/>
          <w:szCs w:val="22"/>
        </w:rPr>
      </w:pPr>
      <w:proofErr w:type="gramStart"/>
      <w:r w:rsidRPr="00B57DAB">
        <w:rPr>
          <w:rFonts w:ascii="GHEA Grapalat" w:hAnsi="GHEA Grapalat" w:cs="GHEA Grapalat"/>
          <w:sz w:val="22"/>
          <w:szCs w:val="22"/>
        </w:rPr>
        <w:t>մարման</w:t>
      </w:r>
      <w:proofErr w:type="gramEnd"/>
      <w:r w:rsidRPr="00B57DAB">
        <w:rPr>
          <w:rFonts w:ascii="GHEA Grapalat" w:hAnsi="GHEA Grapalat" w:cs="GHEA Grapalat"/>
          <w:sz w:val="22"/>
          <w:szCs w:val="22"/>
        </w:rPr>
        <w:t xml:space="preserve"> բեռի բաշխվածությունը մինչև 2050 թվականն է.</w:t>
      </w:r>
    </w:p>
    <w:p w:rsidR="007F71BF" w:rsidRPr="00B57DAB" w:rsidRDefault="007F71BF" w:rsidP="007F71BF">
      <w:pPr>
        <w:numPr>
          <w:ilvl w:val="0"/>
          <w:numId w:val="1"/>
        </w:numPr>
        <w:tabs>
          <w:tab w:val="left" w:pos="851"/>
        </w:tabs>
        <w:spacing w:line="360" w:lineRule="auto"/>
        <w:ind w:left="0" w:firstLine="567"/>
        <w:jc w:val="both"/>
        <w:rPr>
          <w:rFonts w:ascii="GHEA Grapalat" w:hAnsi="GHEA Grapalat" w:cs="GHEA Grapalat"/>
          <w:sz w:val="22"/>
          <w:szCs w:val="22"/>
        </w:rPr>
      </w:pPr>
      <w:r w:rsidRPr="00B57DAB">
        <w:rPr>
          <w:rFonts w:ascii="GHEA Grapalat" w:hAnsi="GHEA Grapalat" w:cs="GHEA Grapalat"/>
          <w:sz w:val="22"/>
          <w:szCs w:val="22"/>
        </w:rPr>
        <w:t>շրջանառության մեջ գտնվող պարտատոմսերի ծավալն անվանական արժեքով կազմել է 1,291.8 մլրդ դրամ</w:t>
      </w:r>
      <w:r w:rsidRPr="00B57DAB">
        <w:rPr>
          <w:rFonts w:ascii="GHEA Grapalat" w:hAnsi="GHEA Grapalat" w:cs="GHEA Grapalat"/>
          <w:sz w:val="22"/>
          <w:szCs w:val="22"/>
          <w:lang w:val="nb-NO"/>
        </w:rPr>
        <w:t xml:space="preserve"> (</w:t>
      </w:r>
      <w:r w:rsidRPr="00B57DAB">
        <w:rPr>
          <w:rFonts w:ascii="GHEA Grapalat" w:hAnsi="GHEA Grapalat" w:cs="GHEA Grapalat"/>
          <w:sz w:val="22"/>
          <w:szCs w:val="22"/>
        </w:rPr>
        <w:t xml:space="preserve">2021թ. նույն ժամանակահատվածում </w:t>
      </w:r>
      <w:r w:rsidRPr="00B57DAB">
        <w:rPr>
          <w:rFonts w:ascii="GHEA Grapalat" w:hAnsi="GHEA Grapalat" w:cs="GHEA Grapalat"/>
          <w:sz w:val="22"/>
          <w:szCs w:val="22"/>
          <w:lang w:val="nb-NO"/>
        </w:rPr>
        <w:t>՝ 980.3</w:t>
      </w:r>
      <w:r w:rsidRPr="00B57DAB">
        <w:rPr>
          <w:rFonts w:ascii="GHEA Grapalat" w:hAnsi="GHEA Grapalat" w:cs="GHEA Grapalat"/>
          <w:sz w:val="22"/>
          <w:szCs w:val="22"/>
        </w:rPr>
        <w:t xml:space="preserve"> </w:t>
      </w:r>
      <w:r w:rsidRPr="00B57DAB">
        <w:rPr>
          <w:rFonts w:ascii="GHEA Grapalat" w:hAnsi="GHEA Grapalat" w:cs="GHEA Grapalat"/>
          <w:sz w:val="22"/>
          <w:szCs w:val="22"/>
          <w:lang w:val="nb-NO"/>
        </w:rPr>
        <w:t>մլրդ դրամ)</w:t>
      </w:r>
      <w:r w:rsidRPr="00B57DAB">
        <w:rPr>
          <w:rFonts w:ascii="GHEA Grapalat" w:hAnsi="GHEA Grapalat" w:cs="GHEA Grapalat"/>
          <w:sz w:val="22"/>
          <w:szCs w:val="22"/>
        </w:rPr>
        <w:t xml:space="preserve">, </w:t>
      </w:r>
      <w:r w:rsidRPr="00B57DAB">
        <w:rPr>
          <w:rFonts w:ascii="GHEA Grapalat" w:hAnsi="GHEA Grapalat" w:cs="GHEA Grapalat"/>
          <w:sz w:val="22"/>
          <w:szCs w:val="22"/>
          <w:lang w:val="nb-NO"/>
        </w:rPr>
        <w:t>որի 3.7%-ը (48.15</w:t>
      </w:r>
      <w:r w:rsidRPr="00B57DAB">
        <w:rPr>
          <w:rFonts w:ascii="Courier New" w:hAnsi="Courier New" w:cs="Courier New"/>
          <w:sz w:val="22"/>
          <w:szCs w:val="22"/>
        </w:rPr>
        <w:t> </w:t>
      </w:r>
      <w:r w:rsidRPr="00B57DAB">
        <w:rPr>
          <w:rFonts w:ascii="GHEA Grapalat" w:hAnsi="GHEA Grapalat" w:cs="GHEA Grapalat"/>
          <w:sz w:val="22"/>
          <w:szCs w:val="22"/>
        </w:rPr>
        <w:t>մլրդ դրամը) կազմել են կարճաժամկետ պարտատոմսերը, 31.8%-ը (410.73 մլրդ դրամը)՝ միջնաժամկետ պարտատոմսերը, 64%-ը (826.99 մլրդ դրամը)՝ երկարաժամկետ պարտատոմսերը և 0.5%-ը (5.96</w:t>
      </w:r>
      <w:r w:rsidRPr="00B57DAB">
        <w:rPr>
          <w:rFonts w:ascii="Courier New" w:hAnsi="Courier New" w:cs="Courier New"/>
          <w:sz w:val="22"/>
          <w:szCs w:val="22"/>
        </w:rPr>
        <w:t> </w:t>
      </w:r>
      <w:r w:rsidRPr="00B57DAB">
        <w:rPr>
          <w:rFonts w:ascii="GHEA Grapalat" w:hAnsi="GHEA Grapalat" w:cs="GHEA Grapalat"/>
          <w:sz w:val="22"/>
          <w:szCs w:val="22"/>
        </w:rPr>
        <w:t>մլրդ դրամը)՝ խնայողական պարտատոմսերը:</w:t>
      </w:r>
    </w:p>
    <w:p w:rsidR="007F71BF" w:rsidRPr="00B57DAB" w:rsidRDefault="007F71BF" w:rsidP="007F71BF">
      <w:pPr>
        <w:autoSpaceDE w:val="0"/>
        <w:autoSpaceDN w:val="0"/>
        <w:adjustRightInd w:val="0"/>
        <w:spacing w:line="360" w:lineRule="auto"/>
        <w:ind w:firstLine="567"/>
        <w:jc w:val="both"/>
        <w:rPr>
          <w:rFonts w:ascii="GHEA Grapalat" w:hAnsi="GHEA Grapalat" w:cs="GHEA Grapalat"/>
          <w:sz w:val="22"/>
          <w:szCs w:val="22"/>
          <w:lang w:val="af-ZA"/>
        </w:rPr>
      </w:pPr>
      <w:r w:rsidRPr="00B57DAB">
        <w:rPr>
          <w:rFonts w:ascii="GHEA Grapalat" w:hAnsi="GHEA Grapalat" w:cs="GHEA Grapalat"/>
          <w:sz w:val="22"/>
          <w:szCs w:val="22"/>
          <w:lang w:val="af-ZA"/>
        </w:rPr>
        <w:t xml:space="preserve">2022 թվականի մարտի 31-ի դրությամբ շրջանառության մեջ գտնվող գանձապետական պարտատոմսերի 95.3%-ը (1,230.89 մլրդ դրամ) ձեռք </w:t>
      </w:r>
      <w:r w:rsidR="00BC1257" w:rsidRPr="00B57DAB">
        <w:rPr>
          <w:rFonts w:ascii="GHEA Grapalat" w:hAnsi="GHEA Grapalat" w:cs="GHEA Grapalat"/>
          <w:sz w:val="22"/>
          <w:szCs w:val="22"/>
          <w:lang w:val="af-ZA"/>
        </w:rPr>
        <w:t>է</w:t>
      </w:r>
      <w:r w:rsidRPr="00B57DAB">
        <w:rPr>
          <w:rFonts w:ascii="GHEA Grapalat" w:hAnsi="GHEA Grapalat" w:cs="GHEA Grapalat"/>
          <w:sz w:val="22"/>
          <w:szCs w:val="22"/>
          <w:lang w:val="af-ZA"/>
        </w:rPr>
        <w:t xml:space="preserve"> բերվել ռեզիդենտների կողմից, իսկ մնացած ծավալը 4.7%-ը (60.94 մլրդ դրամ)` ոչ ռեզիդենտների կողմից:</w:t>
      </w:r>
    </w:p>
    <w:p w:rsidR="007F71BF" w:rsidRPr="00B57DAB" w:rsidRDefault="007F71BF" w:rsidP="007F71BF">
      <w:pPr>
        <w:autoSpaceDE w:val="0"/>
        <w:autoSpaceDN w:val="0"/>
        <w:adjustRightInd w:val="0"/>
        <w:spacing w:line="360" w:lineRule="auto"/>
        <w:ind w:firstLine="567"/>
        <w:jc w:val="both"/>
        <w:rPr>
          <w:rFonts w:ascii="GHEA Grapalat" w:hAnsi="GHEA Grapalat"/>
          <w:sz w:val="22"/>
          <w:szCs w:val="22"/>
        </w:rPr>
      </w:pPr>
      <w:r w:rsidRPr="00B57DAB">
        <w:rPr>
          <w:rFonts w:ascii="GHEA Grapalat" w:hAnsi="GHEA Grapalat"/>
          <w:sz w:val="22"/>
          <w:szCs w:val="22"/>
        </w:rPr>
        <w:t xml:space="preserve">Նախատեսված 3.4 մլն դրամի մուրհակների մարումը չի իրականացվել, քանի որ </w:t>
      </w:r>
      <w:r w:rsidR="008110DF" w:rsidRPr="00B57DAB">
        <w:rPr>
          <w:rFonts w:ascii="GHEA Grapalat" w:hAnsi="GHEA Grapalat"/>
          <w:sz w:val="22"/>
          <w:szCs w:val="22"/>
        </w:rPr>
        <w:t xml:space="preserve">դրանք </w:t>
      </w:r>
      <w:r w:rsidRPr="00B57DAB">
        <w:rPr>
          <w:rFonts w:ascii="GHEA Grapalat" w:hAnsi="GHEA Grapalat"/>
          <w:sz w:val="22"/>
          <w:szCs w:val="22"/>
        </w:rPr>
        <w:t>մուրհակատերերի կողմից չեն ներկայացվել մարման։</w:t>
      </w:r>
    </w:p>
    <w:p w:rsidR="007F71BF" w:rsidRPr="00B57DAB" w:rsidRDefault="007F71BF" w:rsidP="007F71BF">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lang w:val="nb-NO"/>
        </w:rPr>
        <w:t xml:space="preserve">2022 թվականի առաջին եռամսյակի </w:t>
      </w:r>
      <w:r w:rsidRPr="00B57DAB">
        <w:rPr>
          <w:rFonts w:ascii="GHEA Grapalat" w:hAnsi="GHEA Grapalat" w:cs="GHEA Grapalat"/>
          <w:sz w:val="22"/>
          <w:szCs w:val="22"/>
        </w:rPr>
        <w:t>ընթացքում</w:t>
      </w:r>
      <w:r w:rsidRPr="00B57DAB">
        <w:rPr>
          <w:rFonts w:ascii="GHEA Grapalat" w:hAnsi="GHEA Grapalat" w:cs="GHEA Grapalat"/>
          <w:sz w:val="22"/>
          <w:szCs w:val="22"/>
          <w:lang w:val="nb-NO"/>
        </w:rPr>
        <w:t xml:space="preserve"> </w:t>
      </w:r>
      <w:r w:rsidRPr="00B57DAB">
        <w:rPr>
          <w:rFonts w:ascii="GHEA Grapalat" w:hAnsi="GHEA Grapalat" w:cs="GHEA Grapalat"/>
          <w:sz w:val="22"/>
          <w:szCs w:val="22"/>
        </w:rPr>
        <w:t xml:space="preserve">պետական բյուջեի ֆինանսավորումը ներքին ֆինանսական զուտ ակտիվների հաշվին կազմել է </w:t>
      </w:r>
      <w:r w:rsidRPr="00B57DAB">
        <w:rPr>
          <w:rFonts w:ascii="GHEA Grapalat" w:hAnsi="GHEA Grapalat" w:cs="GHEA Grapalat"/>
          <w:sz w:val="22"/>
          <w:szCs w:val="22"/>
        </w:rPr>
        <w:noBreakHyphen/>
        <w:t>79.6 մլրդ դրամ՝ նախատեսված -3 մլրդ դրամի դիմաց</w:t>
      </w:r>
      <w:r w:rsidR="0079090C" w:rsidRPr="00B57DAB">
        <w:rPr>
          <w:rFonts w:ascii="GHEA Grapalat" w:hAnsi="GHEA Grapalat" w:cs="GHEA Grapalat"/>
          <w:sz w:val="22"/>
          <w:szCs w:val="22"/>
        </w:rPr>
        <w:t>,</w:t>
      </w:r>
      <w:r w:rsidRPr="00B57DAB">
        <w:t xml:space="preserve"> </w:t>
      </w:r>
      <w:r w:rsidRPr="00B57DAB">
        <w:rPr>
          <w:rFonts w:ascii="GHEA Grapalat" w:hAnsi="GHEA Grapalat" w:cs="GHEA Grapalat"/>
          <w:sz w:val="22"/>
          <w:szCs w:val="22"/>
        </w:rPr>
        <w:t>որը հիմնականում պայմանավորված է ֆինանսավորման ներքին աղբյուրներում բյուջեի ազատ միջոցների՝ ծրագրված 6 մլրդ դրամի փոխարեն 87.8 մլրդ դրամ աճով:</w:t>
      </w:r>
      <w:r w:rsidR="004B7FB8" w:rsidRPr="00B57DAB">
        <w:rPr>
          <w:rFonts w:ascii="GHEA Grapalat" w:hAnsi="GHEA Grapalat" w:cs="GHEA Grapalat"/>
          <w:sz w:val="22"/>
          <w:szCs w:val="22"/>
        </w:rPr>
        <w:t xml:space="preserve"> </w:t>
      </w:r>
    </w:p>
    <w:p w:rsidR="007F71BF" w:rsidRPr="00B57DAB" w:rsidRDefault="007F71BF" w:rsidP="007F71BF">
      <w:pPr>
        <w:autoSpaceDE w:val="0"/>
        <w:autoSpaceDN w:val="0"/>
        <w:adjustRightInd w:val="0"/>
        <w:spacing w:line="360" w:lineRule="auto"/>
        <w:ind w:firstLine="567"/>
        <w:jc w:val="both"/>
        <w:rPr>
          <w:rFonts w:ascii="GHEA Grapalat" w:hAnsi="GHEA Grapalat" w:cs="GHEA Grapalat"/>
          <w:sz w:val="22"/>
          <w:szCs w:val="22"/>
        </w:rPr>
      </w:pPr>
    </w:p>
    <w:p w:rsidR="007F71BF" w:rsidRPr="00B57DAB" w:rsidRDefault="007F71BF" w:rsidP="00770F24">
      <w:pPr>
        <w:pStyle w:val="Caption"/>
        <w:keepNext/>
        <w:numPr>
          <w:ilvl w:val="0"/>
          <w:numId w:val="8"/>
        </w:numPr>
        <w:tabs>
          <w:tab w:val="left" w:pos="1276"/>
        </w:tabs>
        <w:ind w:left="0" w:firstLine="0"/>
        <w:jc w:val="left"/>
        <w:rPr>
          <w:rFonts w:ascii="GHEA Grapalat" w:hAnsi="GHEA Grapalat"/>
          <w:i/>
          <w:sz w:val="18"/>
          <w:szCs w:val="18"/>
          <w:lang w:val="en-US"/>
        </w:rPr>
      </w:pPr>
      <w:r w:rsidRPr="00B57DAB">
        <w:rPr>
          <w:rFonts w:ascii="GHEA Grapalat" w:hAnsi="GHEA Grapalat"/>
          <w:i/>
          <w:sz w:val="18"/>
          <w:szCs w:val="18"/>
          <w:lang w:val="en-US"/>
        </w:rPr>
        <w:t xml:space="preserve"> Ներքին ֆինանսական ակտիվների հաշվին դեֆիցիտի ֆինանսավորումը (մլրդ դրամ)</w:t>
      </w:r>
    </w:p>
    <w:tbl>
      <w:tblPr>
        <w:tblW w:w="10206" w:type="dxa"/>
        <w:tblInd w:w="108" w:type="dxa"/>
        <w:tblLayout w:type="fixed"/>
        <w:tblLook w:val="04A0" w:firstRow="1" w:lastRow="0" w:firstColumn="1" w:lastColumn="0" w:noHBand="0" w:noVBand="1"/>
      </w:tblPr>
      <w:tblGrid>
        <w:gridCol w:w="4838"/>
        <w:gridCol w:w="1261"/>
        <w:gridCol w:w="1261"/>
        <w:gridCol w:w="1261"/>
        <w:gridCol w:w="1585"/>
      </w:tblGrid>
      <w:tr w:rsidR="007F71BF" w:rsidRPr="00B57DAB" w:rsidTr="002D1CA3">
        <w:trPr>
          <w:trHeight w:val="855"/>
        </w:trPr>
        <w:tc>
          <w:tcPr>
            <w:tcW w:w="4838" w:type="dxa"/>
            <w:tcBorders>
              <w:top w:val="single" w:sz="4" w:space="0" w:color="auto"/>
              <w:left w:val="single" w:sz="4" w:space="0" w:color="auto"/>
              <w:bottom w:val="single" w:sz="4" w:space="0" w:color="auto"/>
              <w:right w:val="single" w:sz="4" w:space="0" w:color="auto"/>
            </w:tcBorders>
            <w:noWrap/>
            <w:vAlign w:val="bottom"/>
            <w:hideMark/>
          </w:tcPr>
          <w:p w:rsidR="007F71BF" w:rsidRPr="00B57DAB" w:rsidRDefault="007F71BF" w:rsidP="00F7377C">
            <w:pPr>
              <w:spacing w:line="256" w:lineRule="auto"/>
              <w:rPr>
                <w:rFonts w:ascii="GHEA Grapalat" w:hAnsi="GHEA Grapalat" w:cs="Calibri"/>
                <w:sz w:val="18"/>
                <w:szCs w:val="18"/>
              </w:rPr>
            </w:pPr>
            <w:bookmarkStart w:id="90" w:name="_Hlk86747269"/>
            <w:r w:rsidRPr="00B57DAB">
              <w:rPr>
                <w:rFonts w:ascii="Courier New" w:hAnsi="Courier New" w:cs="Courier New"/>
                <w:sz w:val="18"/>
                <w:szCs w:val="18"/>
              </w:rPr>
              <w:t> </w:t>
            </w:r>
          </w:p>
        </w:tc>
        <w:tc>
          <w:tcPr>
            <w:tcW w:w="1261" w:type="dxa"/>
            <w:tcBorders>
              <w:top w:val="single" w:sz="4" w:space="0" w:color="auto"/>
              <w:left w:val="nil"/>
              <w:bottom w:val="single" w:sz="4" w:space="0" w:color="auto"/>
              <w:right w:val="single" w:sz="4" w:space="0" w:color="auto"/>
            </w:tcBorders>
            <w:vAlign w:val="center"/>
            <w:hideMark/>
          </w:tcPr>
          <w:p w:rsidR="007F71BF" w:rsidRPr="00B57DAB" w:rsidRDefault="007F71BF" w:rsidP="00F7377C">
            <w:pPr>
              <w:jc w:val="center"/>
              <w:rPr>
                <w:rFonts w:ascii="GHEA Grapalat" w:hAnsi="GHEA Grapalat" w:cs="Calibri"/>
                <w:b/>
                <w:bCs/>
                <w:color w:val="000000"/>
                <w:sz w:val="18"/>
                <w:szCs w:val="18"/>
              </w:rPr>
            </w:pPr>
            <w:r w:rsidRPr="00B57DAB">
              <w:rPr>
                <w:rFonts w:ascii="GHEA Grapalat" w:hAnsi="GHEA Grapalat" w:cs="Calibri"/>
                <w:b/>
                <w:bCs/>
                <w:color w:val="000000"/>
                <w:sz w:val="18"/>
                <w:szCs w:val="18"/>
              </w:rPr>
              <w:t>2021թ. առաջին եռամսյակիփաստ</w:t>
            </w: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F71BF" w:rsidRPr="00B57DAB" w:rsidRDefault="007F71BF" w:rsidP="00F7377C">
            <w:pPr>
              <w:jc w:val="center"/>
              <w:rPr>
                <w:rFonts w:ascii="GHEA Grapalat" w:hAnsi="GHEA Grapalat" w:cs="Calibri"/>
                <w:b/>
                <w:bCs/>
                <w:color w:val="000000"/>
                <w:sz w:val="18"/>
                <w:szCs w:val="18"/>
              </w:rPr>
            </w:pPr>
            <w:r w:rsidRPr="00B57DAB">
              <w:rPr>
                <w:rFonts w:ascii="GHEA Grapalat" w:hAnsi="GHEA Grapalat" w:cs="Calibri"/>
                <w:b/>
                <w:bCs/>
                <w:color w:val="000000"/>
                <w:sz w:val="18"/>
                <w:szCs w:val="18"/>
              </w:rPr>
              <w:t>2022թ. առաջին եռամսյակիճշտված պլան</w:t>
            </w:r>
          </w:p>
        </w:tc>
        <w:tc>
          <w:tcPr>
            <w:tcW w:w="1261" w:type="dxa"/>
            <w:tcBorders>
              <w:top w:val="single" w:sz="4" w:space="0" w:color="auto"/>
              <w:left w:val="nil"/>
              <w:bottom w:val="single" w:sz="4" w:space="0" w:color="auto"/>
              <w:right w:val="single" w:sz="4" w:space="0" w:color="auto"/>
            </w:tcBorders>
            <w:shd w:val="clear" w:color="auto" w:fill="FFFFFF"/>
            <w:vAlign w:val="center"/>
            <w:hideMark/>
          </w:tcPr>
          <w:p w:rsidR="007F71BF" w:rsidRPr="00B57DAB" w:rsidRDefault="007F71BF" w:rsidP="00F7377C">
            <w:pPr>
              <w:jc w:val="center"/>
              <w:rPr>
                <w:rFonts w:ascii="GHEA Grapalat" w:hAnsi="GHEA Grapalat" w:cs="Calibri"/>
                <w:b/>
                <w:bCs/>
                <w:color w:val="000000"/>
                <w:sz w:val="18"/>
                <w:szCs w:val="18"/>
              </w:rPr>
            </w:pPr>
            <w:r w:rsidRPr="00B57DAB">
              <w:rPr>
                <w:rFonts w:ascii="GHEA Grapalat" w:hAnsi="GHEA Grapalat" w:cs="Calibri"/>
                <w:b/>
                <w:bCs/>
                <w:color w:val="000000"/>
                <w:sz w:val="18"/>
                <w:szCs w:val="18"/>
              </w:rPr>
              <w:t>2022թ. առաջին եռամսյակի փաստ</w:t>
            </w:r>
          </w:p>
        </w:tc>
        <w:tc>
          <w:tcPr>
            <w:tcW w:w="1585" w:type="dxa"/>
            <w:tcBorders>
              <w:top w:val="single" w:sz="4" w:space="0" w:color="auto"/>
              <w:left w:val="nil"/>
              <w:bottom w:val="single" w:sz="4" w:space="0" w:color="auto"/>
              <w:right w:val="single" w:sz="4" w:space="0" w:color="auto"/>
            </w:tcBorders>
            <w:shd w:val="clear" w:color="auto" w:fill="FFFFFF"/>
            <w:vAlign w:val="center"/>
            <w:hideMark/>
          </w:tcPr>
          <w:p w:rsidR="007F71BF" w:rsidRPr="00B57DAB" w:rsidRDefault="007F71BF" w:rsidP="00F7377C">
            <w:pPr>
              <w:jc w:val="center"/>
              <w:rPr>
                <w:rFonts w:ascii="GHEA Grapalat" w:hAnsi="GHEA Grapalat" w:cs="Calibri"/>
                <w:b/>
                <w:bCs/>
                <w:sz w:val="18"/>
                <w:szCs w:val="18"/>
              </w:rPr>
            </w:pPr>
            <w:r w:rsidRPr="00B57DAB">
              <w:rPr>
                <w:rFonts w:ascii="GHEA Grapalat" w:hAnsi="GHEA Grapalat" w:cs="Calibri"/>
                <w:b/>
                <w:bCs/>
                <w:sz w:val="18"/>
                <w:szCs w:val="18"/>
              </w:rPr>
              <w:t>Կատարո-ղականն առաջին եռամսյակի ճշտված պլանի նկատմամբ (%)</w:t>
            </w:r>
          </w:p>
        </w:tc>
      </w:tr>
      <w:tr w:rsidR="007F71BF" w:rsidRPr="00B57DAB" w:rsidTr="002D1CA3">
        <w:trPr>
          <w:trHeight w:val="377"/>
        </w:trPr>
        <w:tc>
          <w:tcPr>
            <w:tcW w:w="4838" w:type="dxa"/>
            <w:tcBorders>
              <w:top w:val="nil"/>
              <w:left w:val="single" w:sz="4" w:space="0" w:color="auto"/>
              <w:bottom w:val="single" w:sz="4" w:space="0" w:color="auto"/>
              <w:right w:val="single" w:sz="4" w:space="0" w:color="auto"/>
            </w:tcBorders>
            <w:vAlign w:val="bottom"/>
            <w:hideMark/>
          </w:tcPr>
          <w:p w:rsidR="007F71BF" w:rsidRPr="00B57DAB" w:rsidRDefault="007F71BF" w:rsidP="002D1CA3">
            <w:pPr>
              <w:spacing w:line="256" w:lineRule="auto"/>
              <w:rPr>
                <w:rFonts w:ascii="GHEA Grapalat" w:hAnsi="GHEA Grapalat" w:cs="Calibri"/>
                <w:b/>
                <w:color w:val="000000"/>
                <w:sz w:val="18"/>
                <w:szCs w:val="18"/>
              </w:rPr>
            </w:pPr>
            <w:r w:rsidRPr="00B57DAB">
              <w:rPr>
                <w:rFonts w:ascii="GHEA Grapalat" w:hAnsi="GHEA Grapalat" w:cs="Calibri"/>
                <w:b/>
                <w:color w:val="000000"/>
                <w:sz w:val="18"/>
                <w:szCs w:val="18"/>
              </w:rPr>
              <w:t>Ֆինանսական զուտ ակտիվներ</w:t>
            </w:r>
          </w:p>
        </w:tc>
        <w:tc>
          <w:tcPr>
            <w:tcW w:w="1261" w:type="dxa"/>
            <w:tcBorders>
              <w:top w:val="single" w:sz="4" w:space="0" w:color="auto"/>
              <w:left w:val="single" w:sz="4" w:space="0" w:color="auto"/>
              <w:bottom w:val="single" w:sz="4" w:space="0" w:color="auto"/>
              <w:right w:val="single" w:sz="4" w:space="0" w:color="auto"/>
            </w:tcBorders>
            <w:vAlign w:val="bottom"/>
            <w:hideMark/>
          </w:tcPr>
          <w:p w:rsidR="007F71BF" w:rsidRPr="00B57DAB" w:rsidRDefault="007F71BF" w:rsidP="002D1CA3">
            <w:pPr>
              <w:spacing w:line="256" w:lineRule="auto"/>
              <w:jc w:val="right"/>
              <w:rPr>
                <w:rFonts w:ascii="GHEA Grapalat" w:hAnsi="GHEA Grapalat" w:cs="Calibri"/>
                <w:b/>
                <w:sz w:val="18"/>
                <w:szCs w:val="18"/>
              </w:rPr>
            </w:pPr>
            <w:r w:rsidRPr="00B57DAB">
              <w:rPr>
                <w:rFonts w:ascii="GHEA Grapalat" w:hAnsi="GHEA Grapalat" w:cs="Calibri"/>
                <w:b/>
                <w:sz w:val="18"/>
                <w:szCs w:val="18"/>
              </w:rPr>
              <w:t>(290.7)</w:t>
            </w:r>
          </w:p>
        </w:tc>
        <w:tc>
          <w:tcPr>
            <w:tcW w:w="1261" w:type="dxa"/>
            <w:tcBorders>
              <w:top w:val="nil"/>
              <w:left w:val="single" w:sz="4" w:space="0" w:color="auto"/>
              <w:bottom w:val="single" w:sz="4" w:space="0" w:color="auto"/>
              <w:right w:val="single" w:sz="4" w:space="0" w:color="auto"/>
            </w:tcBorders>
            <w:noWrap/>
            <w:vAlign w:val="bottom"/>
            <w:hideMark/>
          </w:tcPr>
          <w:p w:rsidR="007F71BF" w:rsidRPr="00B57DAB" w:rsidRDefault="007F71BF" w:rsidP="002D1CA3">
            <w:pPr>
              <w:spacing w:line="256" w:lineRule="auto"/>
              <w:jc w:val="right"/>
              <w:rPr>
                <w:rFonts w:ascii="GHEA Grapalat" w:hAnsi="GHEA Grapalat" w:cs="Calibri"/>
                <w:b/>
                <w:sz w:val="18"/>
                <w:szCs w:val="18"/>
              </w:rPr>
            </w:pPr>
            <w:r w:rsidRPr="00B57DAB">
              <w:rPr>
                <w:rFonts w:ascii="GHEA Grapalat" w:hAnsi="GHEA Grapalat" w:cs="Calibri"/>
                <w:b/>
                <w:sz w:val="18"/>
                <w:szCs w:val="18"/>
              </w:rPr>
              <w:t>(3.0)</w:t>
            </w:r>
          </w:p>
        </w:tc>
        <w:tc>
          <w:tcPr>
            <w:tcW w:w="1261" w:type="dxa"/>
            <w:tcBorders>
              <w:top w:val="nil"/>
              <w:left w:val="single" w:sz="4" w:space="0" w:color="auto"/>
              <w:bottom w:val="single" w:sz="4" w:space="0" w:color="auto"/>
              <w:right w:val="single" w:sz="4" w:space="0" w:color="auto"/>
            </w:tcBorders>
            <w:noWrap/>
            <w:vAlign w:val="bottom"/>
            <w:hideMark/>
          </w:tcPr>
          <w:p w:rsidR="007F71BF" w:rsidRPr="00B57DAB" w:rsidRDefault="007F71BF" w:rsidP="002D1CA3">
            <w:pPr>
              <w:spacing w:line="256" w:lineRule="auto"/>
              <w:jc w:val="right"/>
              <w:rPr>
                <w:rFonts w:ascii="GHEA Grapalat" w:hAnsi="GHEA Grapalat" w:cs="Calibri"/>
                <w:b/>
                <w:sz w:val="18"/>
                <w:szCs w:val="18"/>
              </w:rPr>
            </w:pPr>
            <w:r w:rsidRPr="00B57DAB">
              <w:rPr>
                <w:rFonts w:ascii="GHEA Grapalat" w:hAnsi="GHEA Grapalat" w:cs="Calibri"/>
                <w:b/>
                <w:sz w:val="18"/>
                <w:szCs w:val="18"/>
              </w:rPr>
              <w:t>(79.6)</w:t>
            </w:r>
          </w:p>
        </w:tc>
        <w:tc>
          <w:tcPr>
            <w:tcW w:w="1585" w:type="dxa"/>
            <w:tcBorders>
              <w:top w:val="nil"/>
              <w:left w:val="nil"/>
              <w:bottom w:val="single" w:sz="4" w:space="0" w:color="auto"/>
              <w:right w:val="single" w:sz="4" w:space="0" w:color="auto"/>
            </w:tcBorders>
            <w:noWrap/>
            <w:vAlign w:val="bottom"/>
            <w:hideMark/>
          </w:tcPr>
          <w:p w:rsidR="007F71BF" w:rsidRPr="00B57DAB" w:rsidRDefault="007F71BF" w:rsidP="002D1CA3">
            <w:pPr>
              <w:spacing w:line="256" w:lineRule="auto"/>
              <w:jc w:val="right"/>
              <w:rPr>
                <w:rFonts w:ascii="GHEA Grapalat" w:hAnsi="GHEA Grapalat" w:cs="Calibri"/>
                <w:b/>
                <w:sz w:val="18"/>
                <w:szCs w:val="18"/>
              </w:rPr>
            </w:pPr>
            <w:r w:rsidRPr="00B57DAB">
              <w:rPr>
                <w:rFonts w:ascii="GHEA Grapalat" w:hAnsi="GHEA Grapalat" w:cs="Calibri"/>
                <w:b/>
                <w:sz w:val="18"/>
                <w:szCs w:val="18"/>
              </w:rPr>
              <w:t>2627.7</w:t>
            </w:r>
          </w:p>
        </w:tc>
      </w:tr>
      <w:tr w:rsidR="007F71BF" w:rsidRPr="00B57DAB" w:rsidTr="002D1CA3">
        <w:trPr>
          <w:trHeight w:val="377"/>
        </w:trPr>
        <w:tc>
          <w:tcPr>
            <w:tcW w:w="4838" w:type="dxa"/>
            <w:tcBorders>
              <w:top w:val="nil"/>
              <w:left w:val="single" w:sz="4" w:space="0" w:color="auto"/>
              <w:bottom w:val="single" w:sz="4" w:space="0" w:color="auto"/>
              <w:right w:val="single" w:sz="4" w:space="0" w:color="auto"/>
            </w:tcBorders>
            <w:vAlign w:val="bottom"/>
            <w:hideMark/>
          </w:tcPr>
          <w:p w:rsidR="007F71BF" w:rsidRPr="00B57DAB" w:rsidRDefault="007F71BF" w:rsidP="0079090C">
            <w:pPr>
              <w:spacing w:line="256" w:lineRule="auto"/>
              <w:rPr>
                <w:rFonts w:ascii="GHEA Grapalat" w:hAnsi="GHEA Grapalat" w:cs="Calibri"/>
                <w:b/>
                <w:bCs/>
                <w:sz w:val="18"/>
                <w:szCs w:val="18"/>
              </w:rPr>
            </w:pPr>
            <w:r w:rsidRPr="00B57DAB">
              <w:rPr>
                <w:rFonts w:ascii="GHEA Grapalat" w:hAnsi="GHEA Grapalat" w:cs="Calibri"/>
                <w:bCs/>
                <w:iCs/>
                <w:color w:val="000000"/>
                <w:sz w:val="18"/>
                <w:szCs w:val="18"/>
              </w:rPr>
              <w:t>Վարկերի և փոխատվությունների տրամադրում</w:t>
            </w:r>
            <w:r w:rsidR="0079090C" w:rsidRPr="00B57DAB">
              <w:rPr>
                <w:rFonts w:ascii="GHEA Grapalat" w:hAnsi="GHEA Grapalat" w:cs="Calibri"/>
                <w:bCs/>
                <w:iCs/>
                <w:color w:val="000000"/>
                <w:sz w:val="18"/>
                <w:szCs w:val="18"/>
              </w:rPr>
              <w:t xml:space="preserve"> (</w:t>
            </w:r>
            <w:r w:rsidR="00FA5724" w:rsidRPr="00B57DAB">
              <w:rPr>
                <w:rFonts w:ascii="GHEA Grapalat" w:hAnsi="GHEA Grapalat" w:cs="Calibri"/>
                <w:bCs/>
                <w:iCs/>
                <w:color w:val="000000"/>
                <w:sz w:val="18"/>
                <w:szCs w:val="18"/>
              </w:rPr>
              <w:t xml:space="preserve">արտաքին աջակցությամբ իրականացվող </w:t>
            </w:r>
            <w:r w:rsidR="0079090C" w:rsidRPr="00B57DAB">
              <w:rPr>
                <w:rFonts w:ascii="GHEA Grapalat" w:hAnsi="GHEA Grapalat" w:cs="Calibri"/>
                <w:sz w:val="18"/>
                <w:szCs w:val="18"/>
              </w:rPr>
              <w:t>նպատակային ծրագրերի շրջանակներում)</w:t>
            </w:r>
          </w:p>
        </w:tc>
        <w:tc>
          <w:tcPr>
            <w:tcW w:w="1261" w:type="dxa"/>
            <w:tcBorders>
              <w:top w:val="single" w:sz="4" w:space="0" w:color="auto"/>
              <w:left w:val="single" w:sz="4" w:space="0" w:color="auto"/>
              <w:bottom w:val="single" w:sz="4" w:space="0" w:color="auto"/>
              <w:right w:val="single" w:sz="4" w:space="0" w:color="auto"/>
            </w:tcBorders>
            <w:vAlign w:val="bottom"/>
            <w:hideMark/>
          </w:tcPr>
          <w:p w:rsidR="007F71BF" w:rsidRPr="00B57DAB" w:rsidRDefault="007F71BF" w:rsidP="002D1CA3">
            <w:pPr>
              <w:spacing w:line="256" w:lineRule="auto"/>
              <w:jc w:val="right"/>
              <w:rPr>
                <w:rFonts w:ascii="GHEA Grapalat" w:hAnsi="GHEA Grapalat" w:cs="Calibri"/>
                <w:iCs/>
                <w:sz w:val="18"/>
                <w:szCs w:val="18"/>
              </w:rPr>
            </w:pPr>
            <w:r w:rsidRPr="00B57DAB">
              <w:rPr>
                <w:rFonts w:ascii="GHEA Grapalat" w:hAnsi="GHEA Grapalat" w:cs="Calibri"/>
                <w:iCs/>
                <w:sz w:val="18"/>
                <w:szCs w:val="18"/>
              </w:rPr>
              <w:t>(0.9)</w:t>
            </w:r>
          </w:p>
        </w:tc>
        <w:tc>
          <w:tcPr>
            <w:tcW w:w="1261" w:type="dxa"/>
            <w:tcBorders>
              <w:top w:val="nil"/>
              <w:left w:val="single" w:sz="4" w:space="0" w:color="auto"/>
              <w:bottom w:val="single" w:sz="4" w:space="0" w:color="auto"/>
              <w:right w:val="single" w:sz="4" w:space="0" w:color="auto"/>
            </w:tcBorders>
            <w:noWrap/>
            <w:vAlign w:val="bottom"/>
            <w:hideMark/>
          </w:tcPr>
          <w:p w:rsidR="007F71BF" w:rsidRPr="00B57DAB" w:rsidRDefault="007F71BF" w:rsidP="002D1CA3">
            <w:pPr>
              <w:spacing w:line="256" w:lineRule="auto"/>
              <w:jc w:val="right"/>
              <w:rPr>
                <w:rFonts w:ascii="GHEA Grapalat" w:hAnsi="GHEA Grapalat" w:cs="Calibri"/>
                <w:iCs/>
                <w:sz w:val="18"/>
                <w:szCs w:val="18"/>
              </w:rPr>
            </w:pPr>
            <w:r w:rsidRPr="00B57DAB">
              <w:rPr>
                <w:rFonts w:ascii="GHEA Grapalat" w:hAnsi="GHEA Grapalat" w:cs="Calibri"/>
                <w:iCs/>
                <w:sz w:val="18"/>
                <w:szCs w:val="18"/>
              </w:rPr>
              <w:t>(4.7)</w:t>
            </w:r>
          </w:p>
        </w:tc>
        <w:tc>
          <w:tcPr>
            <w:tcW w:w="1261" w:type="dxa"/>
            <w:tcBorders>
              <w:top w:val="nil"/>
              <w:left w:val="nil"/>
              <w:bottom w:val="single" w:sz="4" w:space="0" w:color="auto"/>
              <w:right w:val="single" w:sz="4" w:space="0" w:color="auto"/>
            </w:tcBorders>
            <w:noWrap/>
            <w:vAlign w:val="bottom"/>
            <w:hideMark/>
          </w:tcPr>
          <w:p w:rsidR="007F71BF" w:rsidRPr="00B57DAB" w:rsidRDefault="007F71BF" w:rsidP="002D1CA3">
            <w:pPr>
              <w:spacing w:line="256" w:lineRule="auto"/>
              <w:jc w:val="right"/>
              <w:rPr>
                <w:rFonts w:ascii="GHEA Grapalat" w:hAnsi="GHEA Grapalat" w:cs="Calibri"/>
                <w:iCs/>
                <w:sz w:val="18"/>
                <w:szCs w:val="18"/>
              </w:rPr>
            </w:pPr>
            <w:r w:rsidRPr="00B57DAB">
              <w:rPr>
                <w:rFonts w:ascii="GHEA Grapalat" w:hAnsi="GHEA Grapalat" w:cs="Calibri"/>
                <w:iCs/>
                <w:sz w:val="18"/>
                <w:szCs w:val="18"/>
              </w:rPr>
              <w:t>(0.3)</w:t>
            </w:r>
          </w:p>
        </w:tc>
        <w:tc>
          <w:tcPr>
            <w:tcW w:w="1585" w:type="dxa"/>
            <w:tcBorders>
              <w:top w:val="nil"/>
              <w:left w:val="nil"/>
              <w:bottom w:val="single" w:sz="4" w:space="0" w:color="auto"/>
              <w:right w:val="single" w:sz="4" w:space="0" w:color="auto"/>
            </w:tcBorders>
            <w:noWrap/>
            <w:vAlign w:val="bottom"/>
            <w:hideMark/>
          </w:tcPr>
          <w:p w:rsidR="007F71BF" w:rsidRPr="00B57DAB" w:rsidRDefault="007F71BF" w:rsidP="002D1CA3">
            <w:pPr>
              <w:spacing w:line="256" w:lineRule="auto"/>
              <w:jc w:val="right"/>
              <w:rPr>
                <w:rFonts w:ascii="GHEA Grapalat" w:hAnsi="GHEA Grapalat" w:cs="Calibri"/>
                <w:iCs/>
                <w:sz w:val="18"/>
                <w:szCs w:val="18"/>
              </w:rPr>
            </w:pPr>
            <w:r w:rsidRPr="00B57DAB">
              <w:rPr>
                <w:rFonts w:ascii="GHEA Grapalat" w:hAnsi="GHEA Grapalat" w:cs="Calibri"/>
                <w:iCs/>
                <w:sz w:val="18"/>
                <w:szCs w:val="18"/>
              </w:rPr>
              <w:t>6.0</w:t>
            </w:r>
          </w:p>
        </w:tc>
      </w:tr>
      <w:bookmarkEnd w:id="90"/>
      <w:tr w:rsidR="007F71BF" w:rsidRPr="00B57DAB" w:rsidTr="002D1CA3">
        <w:trPr>
          <w:trHeight w:val="327"/>
        </w:trPr>
        <w:tc>
          <w:tcPr>
            <w:tcW w:w="4838" w:type="dxa"/>
            <w:tcBorders>
              <w:top w:val="nil"/>
              <w:left w:val="single" w:sz="4" w:space="0" w:color="auto"/>
              <w:bottom w:val="single" w:sz="4" w:space="0" w:color="auto"/>
              <w:right w:val="single" w:sz="4" w:space="0" w:color="auto"/>
            </w:tcBorders>
            <w:noWrap/>
            <w:vAlign w:val="bottom"/>
            <w:hideMark/>
          </w:tcPr>
          <w:p w:rsidR="007F71BF" w:rsidRPr="00B57DAB" w:rsidRDefault="007F71BF" w:rsidP="002D1CA3">
            <w:pPr>
              <w:spacing w:line="256" w:lineRule="auto"/>
              <w:rPr>
                <w:rFonts w:ascii="GHEA Grapalat" w:hAnsi="GHEA Grapalat" w:cs="Calibri"/>
                <w:bCs/>
                <w:iCs/>
                <w:color w:val="000000"/>
                <w:sz w:val="18"/>
                <w:szCs w:val="18"/>
              </w:rPr>
            </w:pPr>
            <w:r w:rsidRPr="00B57DAB">
              <w:rPr>
                <w:rFonts w:ascii="GHEA Grapalat" w:hAnsi="GHEA Grapalat" w:cs="Calibri"/>
                <w:bCs/>
                <w:iCs/>
                <w:color w:val="000000"/>
                <w:sz w:val="18"/>
                <w:szCs w:val="18"/>
              </w:rPr>
              <w:t>Տրամադրված վարկերի և փոխատվությունների վերադարձից մուտքեր</w:t>
            </w:r>
          </w:p>
        </w:tc>
        <w:tc>
          <w:tcPr>
            <w:tcW w:w="1261" w:type="dxa"/>
            <w:tcBorders>
              <w:top w:val="nil"/>
              <w:left w:val="single" w:sz="4" w:space="0" w:color="auto"/>
              <w:bottom w:val="single" w:sz="4" w:space="0" w:color="auto"/>
              <w:right w:val="single" w:sz="4" w:space="0" w:color="auto"/>
            </w:tcBorders>
            <w:vAlign w:val="bottom"/>
            <w:hideMark/>
          </w:tcPr>
          <w:p w:rsidR="007F71BF" w:rsidRPr="00B57DAB" w:rsidRDefault="007F71BF" w:rsidP="002D1CA3">
            <w:pPr>
              <w:spacing w:line="256" w:lineRule="auto"/>
              <w:jc w:val="right"/>
              <w:rPr>
                <w:rFonts w:ascii="GHEA Grapalat" w:hAnsi="GHEA Grapalat" w:cs="Calibri"/>
                <w:iCs/>
                <w:sz w:val="18"/>
                <w:szCs w:val="18"/>
              </w:rPr>
            </w:pPr>
            <w:r w:rsidRPr="00B57DAB">
              <w:rPr>
                <w:rFonts w:ascii="GHEA Grapalat" w:hAnsi="GHEA Grapalat" w:cs="Calibri"/>
                <w:iCs/>
                <w:sz w:val="18"/>
                <w:szCs w:val="18"/>
              </w:rPr>
              <w:t>9.0</w:t>
            </w:r>
          </w:p>
        </w:tc>
        <w:tc>
          <w:tcPr>
            <w:tcW w:w="1261" w:type="dxa"/>
            <w:tcBorders>
              <w:top w:val="nil"/>
              <w:left w:val="single" w:sz="4" w:space="0" w:color="auto"/>
              <w:bottom w:val="single" w:sz="4" w:space="0" w:color="auto"/>
              <w:right w:val="single" w:sz="4" w:space="0" w:color="auto"/>
            </w:tcBorders>
            <w:noWrap/>
            <w:vAlign w:val="bottom"/>
            <w:hideMark/>
          </w:tcPr>
          <w:p w:rsidR="007F71BF" w:rsidRPr="00B57DAB" w:rsidRDefault="007F71BF" w:rsidP="002D1CA3">
            <w:pPr>
              <w:spacing w:line="256" w:lineRule="auto"/>
              <w:jc w:val="right"/>
              <w:rPr>
                <w:rFonts w:ascii="GHEA Grapalat" w:hAnsi="GHEA Grapalat" w:cs="Calibri"/>
                <w:iCs/>
                <w:sz w:val="18"/>
                <w:szCs w:val="18"/>
              </w:rPr>
            </w:pPr>
            <w:r w:rsidRPr="00B57DAB">
              <w:rPr>
                <w:rFonts w:ascii="GHEA Grapalat" w:hAnsi="GHEA Grapalat" w:cs="Calibri"/>
                <w:iCs/>
                <w:sz w:val="18"/>
                <w:szCs w:val="18"/>
              </w:rPr>
              <w:t>7.6</w:t>
            </w:r>
          </w:p>
        </w:tc>
        <w:tc>
          <w:tcPr>
            <w:tcW w:w="1261" w:type="dxa"/>
            <w:tcBorders>
              <w:top w:val="nil"/>
              <w:left w:val="nil"/>
              <w:bottom w:val="single" w:sz="4" w:space="0" w:color="auto"/>
              <w:right w:val="single" w:sz="4" w:space="0" w:color="auto"/>
            </w:tcBorders>
            <w:noWrap/>
            <w:vAlign w:val="bottom"/>
            <w:hideMark/>
          </w:tcPr>
          <w:p w:rsidR="007F71BF" w:rsidRPr="00B57DAB" w:rsidRDefault="007F71BF" w:rsidP="002D1CA3">
            <w:pPr>
              <w:spacing w:line="256" w:lineRule="auto"/>
              <w:jc w:val="right"/>
              <w:rPr>
                <w:rFonts w:ascii="GHEA Grapalat" w:hAnsi="GHEA Grapalat" w:cs="Calibri"/>
                <w:iCs/>
                <w:sz w:val="18"/>
                <w:szCs w:val="18"/>
              </w:rPr>
            </w:pPr>
            <w:r w:rsidRPr="00B57DAB">
              <w:rPr>
                <w:rFonts w:ascii="GHEA Grapalat" w:hAnsi="GHEA Grapalat" w:cs="Calibri"/>
                <w:iCs/>
                <w:sz w:val="18"/>
                <w:szCs w:val="18"/>
              </w:rPr>
              <w:t>8.5</w:t>
            </w:r>
          </w:p>
        </w:tc>
        <w:tc>
          <w:tcPr>
            <w:tcW w:w="1585" w:type="dxa"/>
            <w:tcBorders>
              <w:top w:val="nil"/>
              <w:left w:val="nil"/>
              <w:bottom w:val="single" w:sz="4" w:space="0" w:color="auto"/>
              <w:right w:val="single" w:sz="4" w:space="0" w:color="auto"/>
            </w:tcBorders>
            <w:noWrap/>
            <w:vAlign w:val="bottom"/>
            <w:hideMark/>
          </w:tcPr>
          <w:p w:rsidR="007F71BF" w:rsidRPr="00B57DAB" w:rsidRDefault="007F71BF" w:rsidP="002D1CA3">
            <w:pPr>
              <w:spacing w:line="256" w:lineRule="auto"/>
              <w:jc w:val="right"/>
              <w:rPr>
                <w:rFonts w:ascii="GHEA Grapalat" w:hAnsi="GHEA Grapalat" w:cs="Calibri"/>
                <w:iCs/>
                <w:sz w:val="18"/>
                <w:szCs w:val="18"/>
              </w:rPr>
            </w:pPr>
            <w:r w:rsidRPr="00B57DAB">
              <w:rPr>
                <w:rFonts w:ascii="GHEA Grapalat" w:hAnsi="GHEA Grapalat" w:cs="Calibri"/>
                <w:iCs/>
                <w:sz w:val="18"/>
                <w:szCs w:val="18"/>
              </w:rPr>
              <w:t>111.2</w:t>
            </w:r>
          </w:p>
        </w:tc>
      </w:tr>
      <w:tr w:rsidR="007F71BF" w:rsidRPr="00B57DAB" w:rsidTr="002D1CA3">
        <w:trPr>
          <w:trHeight w:val="327"/>
        </w:trPr>
        <w:tc>
          <w:tcPr>
            <w:tcW w:w="4838" w:type="dxa"/>
            <w:tcBorders>
              <w:top w:val="nil"/>
              <w:left w:val="single" w:sz="4" w:space="0" w:color="auto"/>
              <w:bottom w:val="single" w:sz="4" w:space="0" w:color="auto"/>
              <w:right w:val="single" w:sz="4" w:space="0" w:color="auto"/>
            </w:tcBorders>
            <w:noWrap/>
            <w:vAlign w:val="bottom"/>
            <w:hideMark/>
          </w:tcPr>
          <w:p w:rsidR="007F71BF" w:rsidRPr="00B57DAB" w:rsidRDefault="007F71BF" w:rsidP="002D1CA3">
            <w:pPr>
              <w:spacing w:line="256" w:lineRule="auto"/>
              <w:rPr>
                <w:rFonts w:ascii="GHEA Grapalat" w:hAnsi="GHEA Grapalat" w:cs="Calibri"/>
                <w:bCs/>
                <w:iCs/>
                <w:color w:val="000000"/>
                <w:sz w:val="18"/>
                <w:szCs w:val="18"/>
              </w:rPr>
            </w:pPr>
            <w:r w:rsidRPr="00B57DAB">
              <w:rPr>
                <w:rFonts w:ascii="GHEA Grapalat" w:hAnsi="GHEA Grapalat" w:cs="Calibri"/>
                <w:bCs/>
                <w:iCs/>
                <w:color w:val="000000"/>
                <w:sz w:val="18"/>
                <w:szCs w:val="18"/>
              </w:rPr>
              <w:t>Այլ ֆինանսական ակտիվներ</w:t>
            </w:r>
          </w:p>
        </w:tc>
        <w:tc>
          <w:tcPr>
            <w:tcW w:w="1261" w:type="dxa"/>
            <w:tcBorders>
              <w:top w:val="nil"/>
              <w:left w:val="single" w:sz="4" w:space="0" w:color="auto"/>
              <w:bottom w:val="single" w:sz="4" w:space="0" w:color="auto"/>
              <w:right w:val="single" w:sz="4" w:space="0" w:color="auto"/>
            </w:tcBorders>
            <w:vAlign w:val="bottom"/>
            <w:hideMark/>
          </w:tcPr>
          <w:p w:rsidR="007F71BF" w:rsidRPr="00B57DAB" w:rsidRDefault="007F71BF" w:rsidP="002D1CA3">
            <w:pPr>
              <w:spacing w:line="256" w:lineRule="auto"/>
              <w:jc w:val="right"/>
              <w:rPr>
                <w:rFonts w:ascii="GHEA Grapalat" w:hAnsi="GHEA Grapalat" w:cs="Calibri"/>
                <w:bCs/>
                <w:iCs/>
                <w:color w:val="000000"/>
                <w:sz w:val="18"/>
                <w:szCs w:val="18"/>
              </w:rPr>
            </w:pPr>
            <w:r w:rsidRPr="00B57DAB">
              <w:rPr>
                <w:rFonts w:ascii="GHEA Grapalat" w:hAnsi="GHEA Grapalat" w:cs="Calibri"/>
                <w:bCs/>
                <w:iCs/>
                <w:color w:val="000000"/>
                <w:sz w:val="18"/>
                <w:szCs w:val="18"/>
              </w:rPr>
              <w:t>(298.8)</w:t>
            </w:r>
          </w:p>
        </w:tc>
        <w:tc>
          <w:tcPr>
            <w:tcW w:w="1261" w:type="dxa"/>
            <w:tcBorders>
              <w:top w:val="nil"/>
              <w:left w:val="single" w:sz="4" w:space="0" w:color="auto"/>
              <w:bottom w:val="single" w:sz="4" w:space="0" w:color="auto"/>
              <w:right w:val="single" w:sz="4" w:space="0" w:color="auto"/>
            </w:tcBorders>
            <w:noWrap/>
            <w:vAlign w:val="bottom"/>
            <w:hideMark/>
          </w:tcPr>
          <w:p w:rsidR="007F71BF" w:rsidRPr="00B57DAB" w:rsidRDefault="007F71BF" w:rsidP="002D1CA3">
            <w:pPr>
              <w:spacing w:line="256" w:lineRule="auto"/>
              <w:jc w:val="right"/>
              <w:rPr>
                <w:rFonts w:ascii="GHEA Grapalat" w:hAnsi="GHEA Grapalat" w:cs="Calibri"/>
                <w:bCs/>
                <w:iCs/>
                <w:color w:val="000000"/>
                <w:sz w:val="18"/>
                <w:szCs w:val="18"/>
              </w:rPr>
            </w:pPr>
            <w:r w:rsidRPr="00B57DAB">
              <w:rPr>
                <w:rFonts w:ascii="GHEA Grapalat" w:hAnsi="GHEA Grapalat" w:cs="Calibri"/>
                <w:bCs/>
                <w:iCs/>
                <w:color w:val="000000"/>
                <w:sz w:val="18"/>
                <w:szCs w:val="18"/>
              </w:rPr>
              <w:t>(6.0)</w:t>
            </w:r>
          </w:p>
        </w:tc>
        <w:tc>
          <w:tcPr>
            <w:tcW w:w="1261" w:type="dxa"/>
            <w:tcBorders>
              <w:top w:val="nil"/>
              <w:left w:val="nil"/>
              <w:bottom w:val="single" w:sz="4" w:space="0" w:color="auto"/>
              <w:right w:val="single" w:sz="4" w:space="0" w:color="auto"/>
            </w:tcBorders>
            <w:noWrap/>
            <w:vAlign w:val="bottom"/>
            <w:hideMark/>
          </w:tcPr>
          <w:p w:rsidR="007F71BF" w:rsidRPr="00B57DAB" w:rsidRDefault="007F71BF" w:rsidP="002D1CA3">
            <w:pPr>
              <w:spacing w:line="256" w:lineRule="auto"/>
              <w:jc w:val="right"/>
              <w:rPr>
                <w:rFonts w:ascii="GHEA Grapalat" w:hAnsi="GHEA Grapalat" w:cs="Calibri"/>
                <w:bCs/>
                <w:iCs/>
                <w:color w:val="000000"/>
                <w:sz w:val="18"/>
                <w:szCs w:val="18"/>
              </w:rPr>
            </w:pPr>
            <w:r w:rsidRPr="00B57DAB">
              <w:rPr>
                <w:rFonts w:ascii="GHEA Grapalat" w:hAnsi="GHEA Grapalat" w:cs="Calibri"/>
                <w:bCs/>
                <w:iCs/>
                <w:color w:val="000000"/>
                <w:sz w:val="18"/>
                <w:szCs w:val="18"/>
              </w:rPr>
              <w:t>(87.8)</w:t>
            </w:r>
          </w:p>
        </w:tc>
        <w:tc>
          <w:tcPr>
            <w:tcW w:w="1585" w:type="dxa"/>
            <w:tcBorders>
              <w:top w:val="nil"/>
              <w:left w:val="nil"/>
              <w:bottom w:val="single" w:sz="4" w:space="0" w:color="auto"/>
              <w:right w:val="single" w:sz="4" w:space="0" w:color="auto"/>
            </w:tcBorders>
            <w:noWrap/>
            <w:vAlign w:val="bottom"/>
            <w:hideMark/>
          </w:tcPr>
          <w:p w:rsidR="007F71BF" w:rsidRPr="00B57DAB" w:rsidRDefault="007F71BF" w:rsidP="002D1CA3">
            <w:pPr>
              <w:spacing w:line="256" w:lineRule="auto"/>
              <w:jc w:val="right"/>
              <w:rPr>
                <w:rFonts w:ascii="GHEA Grapalat" w:hAnsi="GHEA Grapalat" w:cs="Calibri"/>
                <w:bCs/>
                <w:iCs/>
                <w:color w:val="000000"/>
                <w:sz w:val="18"/>
                <w:szCs w:val="18"/>
              </w:rPr>
            </w:pPr>
            <w:r w:rsidRPr="00B57DAB">
              <w:rPr>
                <w:rFonts w:ascii="GHEA Grapalat" w:hAnsi="GHEA Grapalat" w:cs="Calibri"/>
                <w:bCs/>
                <w:iCs/>
                <w:color w:val="000000"/>
                <w:sz w:val="18"/>
                <w:szCs w:val="18"/>
              </w:rPr>
              <w:t>1466.5</w:t>
            </w:r>
          </w:p>
        </w:tc>
      </w:tr>
    </w:tbl>
    <w:p w:rsidR="007F71BF" w:rsidRPr="00B57DAB" w:rsidRDefault="007F71BF" w:rsidP="007F71BF">
      <w:pPr>
        <w:autoSpaceDE w:val="0"/>
        <w:autoSpaceDN w:val="0"/>
        <w:adjustRightInd w:val="0"/>
        <w:spacing w:line="360" w:lineRule="auto"/>
        <w:ind w:firstLine="567"/>
        <w:jc w:val="both"/>
        <w:rPr>
          <w:rFonts w:ascii="GHEA Grapalat" w:hAnsi="GHEA Grapalat" w:cs="GHEA Grapalat"/>
          <w:sz w:val="22"/>
          <w:szCs w:val="22"/>
        </w:rPr>
      </w:pPr>
    </w:p>
    <w:p w:rsidR="002D1CA3" w:rsidRPr="00B57DAB" w:rsidRDefault="007F71BF" w:rsidP="007F71BF">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lastRenderedPageBreak/>
        <w:t xml:space="preserve">Հաշվետու ժամանակահատվածում նախատեսվել է արտաքին աջակցությամբ իրականացվող </w:t>
      </w:r>
      <w:r w:rsidR="0079090C" w:rsidRPr="00B57DAB">
        <w:rPr>
          <w:rFonts w:ascii="GHEA Grapalat" w:hAnsi="GHEA Grapalat" w:cs="GHEA Grapalat"/>
          <w:sz w:val="22"/>
          <w:szCs w:val="22"/>
        </w:rPr>
        <w:t xml:space="preserve">նպատակային </w:t>
      </w:r>
      <w:r w:rsidRPr="00B57DAB">
        <w:rPr>
          <w:rFonts w:ascii="GHEA Grapalat" w:hAnsi="GHEA Grapalat" w:cs="GHEA Grapalat"/>
          <w:sz w:val="22"/>
          <w:szCs w:val="22"/>
        </w:rPr>
        <w:t>ծրագրերի շրջանակներում շուրջ 4.7 մլրդ դրամ վարկերի տրամադրում ՀՀ ռեզիդենտներին, որի դիմաց փաստացի տրամադրվել է 277.4 մլն դրամ</w:t>
      </w:r>
      <w:r w:rsidR="002D1CA3" w:rsidRPr="00B57DAB">
        <w:rPr>
          <w:rFonts w:ascii="GHEA Grapalat" w:hAnsi="GHEA Grapalat" w:cs="GHEA Grapalat"/>
          <w:sz w:val="22"/>
          <w:szCs w:val="22"/>
        </w:rPr>
        <w:t>:</w:t>
      </w:r>
    </w:p>
    <w:p w:rsidR="007F71BF" w:rsidRPr="00B57DAB" w:rsidRDefault="002D1CA3" w:rsidP="007F71BF">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Վ</w:t>
      </w:r>
      <w:r w:rsidR="007F71BF" w:rsidRPr="00B57DAB">
        <w:rPr>
          <w:rFonts w:ascii="GHEA Grapalat" w:hAnsi="GHEA Grapalat" w:cs="GHEA Grapalat"/>
          <w:sz w:val="22"/>
          <w:szCs w:val="22"/>
        </w:rPr>
        <w:t xml:space="preserve">արկերի զգալի մասը՝ 131.1 մլն դրամը, տրամադրվել է Էլեկտրաէներգետիկ համակարգի զարգացման ծրագրի շրջանակներում՝ կազմելով ծրագրված ցուցանիշի 13.1%-ը: Մասնավորապես Վերակառուցման և զարգացման միջազգային բանկի աջակցությամբ իրականացվող էլեկտրամատակարարման հուսալիության ծրագրի լրացուցիչ ֆինանսավորման ծրագրի շրջանակներում «Բարձրավոլտ էլեկտրացանցեր» ՓԲԸ-ին նախատեսված 268.8 մլն դրամից տրամադրվել է 20.1 մլն դրամը, ինչը պայմանավորված է նրանով, որ </w:t>
      </w:r>
      <w:r w:rsidRPr="00B57DAB">
        <w:rPr>
          <w:rFonts w:ascii="GHEA Grapalat" w:hAnsi="GHEA Grapalat" w:cs="GHEA Grapalat"/>
          <w:sz w:val="22"/>
          <w:szCs w:val="22"/>
        </w:rPr>
        <w:t>«Վանաձոր</w:t>
      </w:r>
      <w:r w:rsidRPr="00B57DAB">
        <w:rPr>
          <w:rFonts w:ascii="GHEA Grapalat" w:hAnsi="GHEA Grapalat" w:cs="GHEA Grapalat"/>
          <w:sz w:val="22"/>
          <w:szCs w:val="22"/>
        </w:rPr>
        <w:noBreakHyphen/>
      </w:r>
      <w:r w:rsidR="007F71BF" w:rsidRPr="00B57DAB">
        <w:rPr>
          <w:rFonts w:ascii="GHEA Grapalat" w:hAnsi="GHEA Grapalat" w:cs="GHEA Grapalat"/>
          <w:sz w:val="22"/>
          <w:szCs w:val="22"/>
        </w:rPr>
        <w:t xml:space="preserve">1» </w:t>
      </w:r>
      <w:bookmarkStart w:id="91" w:name="_Hlk101945145"/>
      <w:r w:rsidR="007F71BF" w:rsidRPr="00B57DAB">
        <w:rPr>
          <w:rFonts w:ascii="GHEA Grapalat" w:hAnsi="GHEA Grapalat" w:cs="GHEA Grapalat"/>
          <w:sz w:val="22"/>
          <w:szCs w:val="22"/>
        </w:rPr>
        <w:t xml:space="preserve">ենթակայանի վերակառուցման շրջանակներում </w:t>
      </w:r>
      <w:bookmarkEnd w:id="91"/>
      <w:r w:rsidR="007F71BF" w:rsidRPr="00B57DAB">
        <w:rPr>
          <w:rFonts w:ascii="GHEA Grapalat" w:hAnsi="GHEA Grapalat" w:cs="GHEA Grapalat"/>
          <w:sz w:val="22"/>
          <w:szCs w:val="22"/>
        </w:rPr>
        <w:t xml:space="preserve">իրականացվող կարգաբերման և էլեկտրամոնտաժման աշխատանքների դիմաց կապալառուի կողմից հաշիվ ապրանքագրեր չեն ներկայացվել, իսկ «Չարենցավան» ենթակայանի վերակառուցման շրջանակներում մարտի 25-ին մատակարարվել են սարքավորումներ, որոնց դիմաց վճարումները տեղափոխվել են հաջորդ եռամսյակ: Վերակառուցման և զարգացման միջազգային բանկի աջակցությամբ իրականացվող «Աշնակ» և «Արարատ» ենթակայանների վերակառուցման ծրագրի շրջանակներում «Բարձրավոլտ էլեկտրացանցեր» ՓԲԸ-ին տրամադրվել է 2 մլն դրամ ենթավարկ՝ նախատեսված 319.3 մլն դրամի դիմաց: </w:t>
      </w:r>
      <w:r w:rsidR="00E55727" w:rsidRPr="00B57DAB">
        <w:rPr>
          <w:rFonts w:ascii="GHEA Grapalat" w:hAnsi="GHEA Grapalat" w:cs="GHEA Grapalat"/>
          <w:sz w:val="22"/>
          <w:szCs w:val="22"/>
        </w:rPr>
        <w:t>Ցածր ցուցանիշը</w:t>
      </w:r>
      <w:r w:rsidRPr="00B57DAB">
        <w:rPr>
          <w:rFonts w:ascii="GHEA Grapalat" w:hAnsi="GHEA Grapalat" w:cs="GHEA Grapalat"/>
          <w:sz w:val="22"/>
          <w:szCs w:val="22"/>
        </w:rPr>
        <w:t xml:space="preserve"> պայմանավորված է նրանով, որ</w:t>
      </w:r>
      <w:r w:rsidR="007F71BF" w:rsidRPr="00B57DAB">
        <w:rPr>
          <w:rFonts w:ascii="GHEA Grapalat" w:hAnsi="GHEA Grapalat" w:cs="GHEA Grapalat"/>
          <w:sz w:val="22"/>
          <w:szCs w:val="22"/>
        </w:rPr>
        <w:t xml:space="preserve"> «Աշնակ» ենթակայանի վերակառուցման շրջանակներում աշխատանքների ուշացմամբ պայմանավորված տույժի վերաբերյալ փոխհատուցման ակտի կազմման և գումարների հաշվանցման, ինչպես նաև պահեստամասերի հանձնման գործընթացները </w:t>
      </w:r>
      <w:r w:rsidR="00E55727" w:rsidRPr="00B57DAB">
        <w:rPr>
          <w:rFonts w:ascii="GHEA Grapalat" w:hAnsi="GHEA Grapalat" w:cs="GHEA Grapalat"/>
          <w:sz w:val="22"/>
          <w:szCs w:val="22"/>
        </w:rPr>
        <w:t>հաշվետու ժամանակահատվածում չեն ավարտվել</w:t>
      </w:r>
      <w:r w:rsidR="007F71BF" w:rsidRPr="00B57DAB">
        <w:rPr>
          <w:rFonts w:ascii="GHEA Grapalat" w:hAnsi="GHEA Grapalat" w:cs="GHEA Grapalat"/>
          <w:sz w:val="22"/>
          <w:szCs w:val="22"/>
        </w:rPr>
        <w:t>,</w:t>
      </w:r>
      <w:r w:rsidR="00E55727" w:rsidRPr="00B57DAB">
        <w:rPr>
          <w:rFonts w:ascii="GHEA Grapalat" w:hAnsi="GHEA Grapalat" w:cs="GHEA Grapalat"/>
          <w:sz w:val="22"/>
          <w:szCs w:val="22"/>
        </w:rPr>
        <w:t xml:space="preserve"> ինչի պատճառով</w:t>
      </w:r>
      <w:r w:rsidR="007F71BF" w:rsidRPr="00B57DAB">
        <w:rPr>
          <w:rFonts w:ascii="GHEA Grapalat" w:hAnsi="GHEA Grapalat" w:cs="GHEA Grapalat"/>
          <w:sz w:val="22"/>
          <w:szCs w:val="22"/>
        </w:rPr>
        <w:t xml:space="preserve"> կապալառուի կողմից ավարտական և շահագործման հանձնելու վկայականներ չեն թողարկվել</w:t>
      </w:r>
      <w:r w:rsidR="00E55727" w:rsidRPr="00B57DAB">
        <w:rPr>
          <w:rFonts w:ascii="GHEA Grapalat" w:hAnsi="GHEA Grapalat" w:cs="GHEA Grapalat"/>
          <w:sz w:val="22"/>
          <w:szCs w:val="22"/>
        </w:rPr>
        <w:t>,</w:t>
      </w:r>
      <w:r w:rsidR="007F71BF" w:rsidRPr="00B57DAB">
        <w:rPr>
          <w:rFonts w:ascii="GHEA Grapalat" w:hAnsi="GHEA Grapalat" w:cs="GHEA Grapalat"/>
          <w:sz w:val="22"/>
          <w:szCs w:val="22"/>
        </w:rPr>
        <w:t xml:space="preserve"> և վերջնավճարների վճարում չի իրականացվել: Ասիական զարգացման բանկի աջակցությամբ իրականացվող</w:t>
      </w:r>
      <w:r w:rsidR="004B7FB8" w:rsidRPr="00B57DAB">
        <w:rPr>
          <w:rFonts w:ascii="GHEA Grapalat" w:hAnsi="GHEA Grapalat" w:cs="GHEA Grapalat"/>
          <w:sz w:val="22"/>
          <w:szCs w:val="22"/>
        </w:rPr>
        <w:t xml:space="preserve"> </w:t>
      </w:r>
      <w:r w:rsidR="007F71BF" w:rsidRPr="00B57DAB">
        <w:rPr>
          <w:rFonts w:ascii="GHEA Grapalat" w:hAnsi="GHEA Grapalat" w:cs="GHEA Grapalat"/>
          <w:sz w:val="22"/>
          <w:szCs w:val="22"/>
        </w:rPr>
        <w:t>Կարգավարման կառավարման ավտոմատացված համակարգի (SCADA) ընդլայնման</w:t>
      </w:r>
      <w:r w:rsidR="004B7FB8" w:rsidRPr="00B57DAB">
        <w:rPr>
          <w:rFonts w:ascii="GHEA Grapalat" w:hAnsi="GHEA Grapalat" w:cs="GHEA Grapalat"/>
          <w:sz w:val="22"/>
          <w:szCs w:val="22"/>
        </w:rPr>
        <w:t xml:space="preserve"> </w:t>
      </w:r>
      <w:r w:rsidR="007F71BF" w:rsidRPr="00B57DAB">
        <w:rPr>
          <w:rFonts w:ascii="GHEA Grapalat" w:hAnsi="GHEA Grapalat" w:cs="GHEA Grapalat"/>
          <w:sz w:val="22"/>
          <w:szCs w:val="22"/>
        </w:rPr>
        <w:t>ծրագրի շրջանակներում</w:t>
      </w:r>
      <w:r w:rsidR="004B7FB8" w:rsidRPr="00B57DAB">
        <w:rPr>
          <w:rFonts w:ascii="GHEA Grapalat" w:hAnsi="GHEA Grapalat" w:cs="GHEA Grapalat"/>
          <w:sz w:val="22"/>
          <w:szCs w:val="22"/>
        </w:rPr>
        <w:t xml:space="preserve"> </w:t>
      </w:r>
      <w:r w:rsidR="007F71BF" w:rsidRPr="00B57DAB">
        <w:rPr>
          <w:rFonts w:ascii="GHEA Grapalat" w:hAnsi="GHEA Grapalat" w:cs="GHEA Grapalat"/>
          <w:sz w:val="22"/>
          <w:szCs w:val="22"/>
        </w:rPr>
        <w:t>«Էլեկտրաէներգետիկական համակարգի օպերատոր»</w:t>
      </w:r>
      <w:r w:rsidR="004B7FB8" w:rsidRPr="00B57DAB">
        <w:rPr>
          <w:rFonts w:ascii="GHEA Grapalat" w:hAnsi="GHEA Grapalat" w:cs="GHEA Grapalat"/>
          <w:sz w:val="22"/>
          <w:szCs w:val="22"/>
        </w:rPr>
        <w:t xml:space="preserve"> </w:t>
      </w:r>
      <w:r w:rsidR="007F71BF" w:rsidRPr="00B57DAB">
        <w:rPr>
          <w:rFonts w:ascii="GHEA Grapalat" w:hAnsi="GHEA Grapalat" w:cs="GHEA Grapalat"/>
          <w:sz w:val="22"/>
          <w:szCs w:val="22"/>
        </w:rPr>
        <w:t xml:space="preserve">ՓԲԸ-ին տրամադրվել է 109.1 մլն դրամ ենթավարկ՝ նախատեսված 412.7 մլն դրամի դիմաց, ինչը պայմանավորված է SIEMENS ընկերության մասնագետների Երևան ժամանելու անհնարինությամբ (համավարակի սահմանափակումներով պայմանավորված) և SCADA համակարգի կարգաբերման </w:t>
      </w:r>
      <w:r w:rsidR="00E55727" w:rsidRPr="00B57DAB">
        <w:rPr>
          <w:rFonts w:ascii="GHEA Grapalat" w:hAnsi="GHEA Grapalat" w:cs="GHEA Grapalat"/>
          <w:sz w:val="22"/>
          <w:szCs w:val="22"/>
        </w:rPr>
        <w:t>աշխատանքներն ավարտված չլինելու հանգամանքով</w:t>
      </w:r>
      <w:r w:rsidR="007F71BF" w:rsidRPr="00B57DAB">
        <w:rPr>
          <w:rFonts w:ascii="GHEA Grapalat" w:hAnsi="GHEA Grapalat" w:cs="GHEA Grapalat"/>
          <w:sz w:val="22"/>
          <w:szCs w:val="22"/>
        </w:rPr>
        <w:t>:</w:t>
      </w:r>
    </w:p>
    <w:p w:rsidR="007F71BF" w:rsidRPr="00B57DAB" w:rsidRDefault="007F71BF" w:rsidP="007F71BF">
      <w:pPr>
        <w:autoSpaceDE w:val="0"/>
        <w:autoSpaceDN w:val="0"/>
        <w:adjustRightInd w:val="0"/>
        <w:spacing w:line="360" w:lineRule="auto"/>
        <w:ind w:firstLine="567"/>
        <w:jc w:val="both"/>
        <w:rPr>
          <w:rFonts w:ascii="GHEA Grapalat" w:hAnsi="GHEA Grapalat"/>
          <w:sz w:val="22"/>
          <w:szCs w:val="22"/>
        </w:rPr>
      </w:pPr>
      <w:bookmarkStart w:id="92" w:name="_Hlk97556808"/>
      <w:r w:rsidRPr="00B57DAB">
        <w:rPr>
          <w:rFonts w:ascii="GHEA Grapalat" w:hAnsi="GHEA Grapalat"/>
          <w:sz w:val="22"/>
          <w:szCs w:val="22"/>
        </w:rPr>
        <w:t xml:space="preserve">Վերակառուցման և զարգացման եվրոպական բանկի աջակցությամբ իրականացվող Կոտայքի և Գեղարքունիքի մարզերի կոշտ թափոնների կառավարման ծրագրի շրջանակներում հաշվետու ժամանակահատվածում եղանակային ոչ բարենպաստ պայմանների պատճառով Հրազդանի տարածքում </w:t>
      </w:r>
      <w:r w:rsidR="00DD1B6B" w:rsidRPr="00B57DAB">
        <w:rPr>
          <w:rFonts w:ascii="GHEA Grapalat" w:hAnsi="GHEA Grapalat"/>
          <w:sz w:val="22"/>
          <w:szCs w:val="22"/>
        </w:rPr>
        <w:t xml:space="preserve">նախատեսված </w:t>
      </w:r>
      <w:r w:rsidRPr="00B57DAB">
        <w:rPr>
          <w:rFonts w:ascii="GHEA Grapalat" w:hAnsi="GHEA Grapalat"/>
          <w:sz w:val="22"/>
          <w:szCs w:val="22"/>
        </w:rPr>
        <w:t>շինարարական աշխատանքներ</w:t>
      </w:r>
      <w:r w:rsidR="00DD1B6B" w:rsidRPr="00B57DAB">
        <w:rPr>
          <w:rFonts w:ascii="GHEA Grapalat" w:hAnsi="GHEA Grapalat"/>
          <w:sz w:val="22"/>
          <w:szCs w:val="22"/>
        </w:rPr>
        <w:t>ն</w:t>
      </w:r>
      <w:r w:rsidRPr="00B57DAB">
        <w:rPr>
          <w:rFonts w:ascii="GHEA Grapalat" w:hAnsi="GHEA Grapalat"/>
          <w:sz w:val="22"/>
          <w:szCs w:val="22"/>
        </w:rPr>
        <w:t xml:space="preserve"> ամբողջ ծավալով</w:t>
      </w:r>
      <w:r w:rsidR="00DD1B6B" w:rsidRPr="00B57DAB">
        <w:rPr>
          <w:rFonts w:ascii="GHEA Grapalat" w:hAnsi="GHEA Grapalat"/>
          <w:sz w:val="22"/>
          <w:szCs w:val="22"/>
        </w:rPr>
        <w:t xml:space="preserve"> չեն իրականացվել</w:t>
      </w:r>
      <w:r w:rsidRPr="00B57DAB">
        <w:rPr>
          <w:rFonts w:ascii="GHEA Grapalat" w:hAnsi="GHEA Grapalat"/>
          <w:sz w:val="22"/>
          <w:szCs w:val="22"/>
        </w:rPr>
        <w:t xml:space="preserve">, </w:t>
      </w:r>
      <w:r w:rsidRPr="00B57DAB">
        <w:rPr>
          <w:rFonts w:ascii="GHEA Grapalat" w:hAnsi="GHEA Grapalat"/>
          <w:sz w:val="22"/>
          <w:szCs w:val="22"/>
        </w:rPr>
        <w:lastRenderedPageBreak/>
        <w:t xml:space="preserve">հետևաբար կատարված աշխատանքների դիմաց տրամադրվել է 20.3 մլն դրամ՝ նախատեսված 121.7 մլն դրամի փոխարեն: </w:t>
      </w:r>
    </w:p>
    <w:bookmarkEnd w:id="92"/>
    <w:p w:rsidR="007F71BF" w:rsidRPr="00B57DAB" w:rsidRDefault="007F71BF" w:rsidP="007F71BF">
      <w:pPr>
        <w:autoSpaceDE w:val="0"/>
        <w:autoSpaceDN w:val="0"/>
        <w:adjustRightInd w:val="0"/>
        <w:spacing w:line="360" w:lineRule="auto"/>
        <w:ind w:firstLine="567"/>
        <w:jc w:val="both"/>
        <w:rPr>
          <w:rFonts w:ascii="GHEA Grapalat" w:hAnsi="GHEA Grapalat"/>
          <w:sz w:val="22"/>
          <w:szCs w:val="22"/>
        </w:rPr>
      </w:pPr>
      <w:r w:rsidRPr="00B57DAB">
        <w:rPr>
          <w:rFonts w:ascii="GHEA Grapalat" w:hAnsi="GHEA Grapalat"/>
          <w:sz w:val="22"/>
          <w:szCs w:val="22"/>
        </w:rPr>
        <w:t xml:space="preserve">Երևանի մետրոպոլիտենի վերակառուցման երկրորդ </w:t>
      </w:r>
      <w:bookmarkStart w:id="93" w:name="_Hlk97562294"/>
      <w:bookmarkStart w:id="94" w:name="_Hlk97213469"/>
      <w:r w:rsidRPr="00B57DAB">
        <w:rPr>
          <w:rFonts w:ascii="GHEA Grapalat" w:hAnsi="GHEA Grapalat"/>
          <w:sz w:val="22"/>
          <w:szCs w:val="22"/>
        </w:rPr>
        <w:t xml:space="preserve">ծրագրի շրջանակներում </w:t>
      </w:r>
      <w:bookmarkEnd w:id="93"/>
      <w:r w:rsidRPr="00B57DAB">
        <w:rPr>
          <w:rFonts w:ascii="GHEA Grapalat" w:hAnsi="GHEA Grapalat"/>
          <w:sz w:val="22"/>
          <w:szCs w:val="22"/>
        </w:rPr>
        <w:t>նախատեսված 552.8 մլն դրամից Վերակառուցման և զարգացման եվրոպական բանկի մասնաբաժնից տրամադրվել է 126 մլն դրամ՝ նախատեսված 178.2 մլն դրամի դիմաց, իսկ Եվրոպական ներդրումային բանկի աջակցությամբ իրականացվող մասնաբաժնի նախատեսված 374.6 մլն դրամը չի տրամադրվել՝ պայմանավորված կապալառուի թերի աշխատանքով:</w:t>
      </w:r>
    </w:p>
    <w:bookmarkEnd w:id="94"/>
    <w:p w:rsidR="007F71BF" w:rsidRPr="00B57DAB" w:rsidRDefault="007F71BF" w:rsidP="007F71BF">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sz w:val="22"/>
          <w:szCs w:val="22"/>
        </w:rPr>
        <w:t>Հաշվետու տարվա առաջին եռամսյակի ընթացքում Վերակառուցման և զարգացման եվրոպական բանկի աջակցությամբ իրականացվող Երևանի քաղաքային լուսավորության ծրագրի շրջանակներում նախատեսվել էր բարելավել Երևանի 28 փողոցների լուսավորության ցանցերը, որի համար նախատեսված էր «Երքաղլույս» ՓԲԸ-ին 583 մլն դրամ</w:t>
      </w:r>
      <w:r w:rsidR="00692815" w:rsidRPr="00B57DAB">
        <w:rPr>
          <w:rFonts w:ascii="GHEA Grapalat" w:hAnsi="GHEA Grapalat"/>
          <w:sz w:val="22"/>
          <w:szCs w:val="22"/>
        </w:rPr>
        <w:t>ի</w:t>
      </w:r>
      <w:r w:rsidRPr="00B57DAB">
        <w:rPr>
          <w:rFonts w:ascii="GHEA Grapalat" w:hAnsi="GHEA Grapalat"/>
          <w:sz w:val="22"/>
          <w:szCs w:val="22"/>
        </w:rPr>
        <w:t xml:space="preserve"> վարկ</w:t>
      </w:r>
      <w:r w:rsidR="00692815" w:rsidRPr="00B57DAB">
        <w:rPr>
          <w:rFonts w:ascii="GHEA Grapalat" w:hAnsi="GHEA Grapalat"/>
          <w:sz w:val="22"/>
          <w:szCs w:val="22"/>
        </w:rPr>
        <w:t>ավորում</w:t>
      </w:r>
      <w:r w:rsidRPr="00B57DAB">
        <w:rPr>
          <w:rFonts w:ascii="GHEA Grapalat" w:hAnsi="GHEA Grapalat"/>
          <w:sz w:val="22"/>
          <w:szCs w:val="22"/>
        </w:rPr>
        <w:t xml:space="preserve">, </w:t>
      </w:r>
      <w:r w:rsidR="00692815" w:rsidRPr="00B57DAB">
        <w:rPr>
          <w:rFonts w:ascii="GHEA Grapalat" w:hAnsi="GHEA Grapalat"/>
          <w:sz w:val="22"/>
          <w:szCs w:val="22"/>
        </w:rPr>
        <w:t>որը չի իրականացվել</w:t>
      </w:r>
      <w:r w:rsidRPr="00B57DAB">
        <w:rPr>
          <w:rFonts w:ascii="GHEA Grapalat" w:hAnsi="GHEA Grapalat"/>
          <w:sz w:val="22"/>
          <w:szCs w:val="22"/>
        </w:rPr>
        <w:t xml:space="preserve">՝ պայմանավորված աշխատանքների </w:t>
      </w:r>
      <w:r w:rsidR="00692815" w:rsidRPr="00B57DAB">
        <w:rPr>
          <w:rFonts w:ascii="GHEA Grapalat" w:hAnsi="GHEA Grapalat"/>
          <w:sz w:val="22"/>
          <w:szCs w:val="22"/>
        </w:rPr>
        <w:t>կատար</w:t>
      </w:r>
      <w:r w:rsidRPr="00B57DAB">
        <w:rPr>
          <w:rFonts w:ascii="GHEA Grapalat" w:hAnsi="GHEA Grapalat"/>
          <w:sz w:val="22"/>
          <w:szCs w:val="22"/>
        </w:rPr>
        <w:t xml:space="preserve">ման ընթացքում առաջացած որոշ խոչընդոտների հետևանքով նախագծերում փոփոխությունների անհրաժեշտությամբ: </w:t>
      </w:r>
    </w:p>
    <w:p w:rsidR="007F71BF" w:rsidRPr="00B57DAB" w:rsidRDefault="007F71BF" w:rsidP="007F71BF">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Վերակառուցման և զարգացման եվրոպական բանկի աջակցությամբ իրականացվող Երևան քաղաքի հանրային տրանսպորտի նոր երթուղային ցանցի շարժակազմերի ներդրման ֆինանսական աջակցության ծրագրի շրջանակներում նախատեսված 2.3 մլրդ ենթավարկը չի տրամադրվել,</w:t>
      </w:r>
      <w:r w:rsidR="00692815" w:rsidRPr="00B57DAB">
        <w:rPr>
          <w:rFonts w:ascii="GHEA Grapalat" w:hAnsi="GHEA Grapalat" w:cs="GHEA Grapalat"/>
          <w:sz w:val="22"/>
          <w:szCs w:val="22"/>
        </w:rPr>
        <w:t xml:space="preserve"> քանի</w:t>
      </w:r>
      <w:r w:rsidRPr="00B57DAB">
        <w:rPr>
          <w:rFonts w:ascii="GHEA Grapalat" w:hAnsi="GHEA Grapalat" w:cs="GHEA Grapalat"/>
          <w:sz w:val="22"/>
          <w:szCs w:val="22"/>
        </w:rPr>
        <w:t xml:space="preserve"> որ</w:t>
      </w:r>
      <w:r w:rsidR="0079090C" w:rsidRPr="00B57DAB">
        <w:rPr>
          <w:rFonts w:ascii="GHEA Grapalat" w:hAnsi="GHEA Grapalat" w:cs="GHEA Grapalat"/>
          <w:sz w:val="22"/>
          <w:szCs w:val="22"/>
        </w:rPr>
        <w:t xml:space="preserve"> հաշվետու ժամանակահատվածում</w:t>
      </w:r>
      <w:r w:rsidRPr="00B57DAB">
        <w:rPr>
          <w:rFonts w:ascii="GHEA Grapalat" w:hAnsi="GHEA Grapalat" w:cs="GHEA Grapalat"/>
          <w:sz w:val="22"/>
          <w:szCs w:val="22"/>
        </w:rPr>
        <w:t xml:space="preserve"> համաձայնագրեր</w:t>
      </w:r>
      <w:r w:rsidR="0079090C" w:rsidRPr="00B57DAB">
        <w:rPr>
          <w:rFonts w:ascii="GHEA Grapalat" w:hAnsi="GHEA Grapalat" w:cs="GHEA Grapalat"/>
          <w:sz w:val="22"/>
          <w:szCs w:val="22"/>
        </w:rPr>
        <w:t>ն</w:t>
      </w:r>
      <w:r w:rsidRPr="00B57DAB">
        <w:rPr>
          <w:rFonts w:ascii="GHEA Grapalat" w:hAnsi="GHEA Grapalat" w:cs="GHEA Grapalat"/>
          <w:sz w:val="22"/>
          <w:szCs w:val="22"/>
        </w:rPr>
        <w:t xml:space="preserve"> ուժի մեջ չեն մտել:</w:t>
      </w:r>
    </w:p>
    <w:p w:rsidR="007F71BF" w:rsidRPr="00B57DAB" w:rsidRDefault="007F71BF" w:rsidP="007F71BF">
      <w:pPr>
        <w:autoSpaceDE w:val="0"/>
        <w:autoSpaceDN w:val="0"/>
        <w:adjustRightInd w:val="0"/>
        <w:spacing w:line="360" w:lineRule="auto"/>
        <w:ind w:firstLine="567"/>
        <w:jc w:val="both"/>
        <w:rPr>
          <w:rFonts w:ascii="GHEA Grapalat" w:hAnsi="GHEA Grapalat"/>
          <w:sz w:val="22"/>
          <w:szCs w:val="22"/>
        </w:rPr>
      </w:pPr>
      <w:r w:rsidRPr="00B57DAB">
        <w:rPr>
          <w:rFonts w:ascii="GHEA Grapalat" w:hAnsi="GHEA Grapalat" w:cs="GHEA Grapalat"/>
          <w:sz w:val="22"/>
          <w:szCs w:val="22"/>
        </w:rPr>
        <w:t>Նախկինում պետական բյուջեից ռեզիդենտներին տրամադրված վարկերից հաշվետու տարվա ընթացքում վերադարձվել է 8.5 մլրդ դրամ՝ 11.2%-ով գերազանցելով ծրագրված ցուցանիշը, ինչը հիմնականում պայմանավորված է Կորոնավիրուսի (COVID-19) տնտեսական հետևանքների չեզոքացման 3-րդ միջոցառման շրջանակներում տրամադրված վարկերից 836.1 մլն դրամի վաղաժամկետ մարմամբ: Վերադարձված միջոցներից շուրջ 4.6 մլրդ դրամը վճարվել է «Հայկական ատոմակայան» ՓԲԸ-ի կողմից՝ ապահովելով ծրագրի 100.6% կատարողական, 1.8 մլրդ դրամը՝ «Երևանի Ջերմաէլեկտրակենտրոն» ՓԲԸ-ի կողմից, որը կազմել է ծրագրի 98.9%-ը: Ծրագր</w:t>
      </w:r>
      <w:r w:rsidR="00692815" w:rsidRPr="00B57DAB">
        <w:rPr>
          <w:rFonts w:ascii="GHEA Grapalat" w:hAnsi="GHEA Grapalat" w:cs="GHEA Grapalat"/>
          <w:sz w:val="22"/>
          <w:szCs w:val="22"/>
        </w:rPr>
        <w:t>ված ցուցանիշներ</w:t>
      </w:r>
      <w:r w:rsidRPr="00B57DAB">
        <w:rPr>
          <w:rFonts w:ascii="GHEA Grapalat" w:hAnsi="GHEA Grapalat" w:cs="GHEA Grapalat"/>
          <w:sz w:val="22"/>
          <w:szCs w:val="22"/>
        </w:rPr>
        <w:t>ից շեղում</w:t>
      </w:r>
      <w:r w:rsidR="00692815" w:rsidRPr="00B57DAB">
        <w:rPr>
          <w:rFonts w:ascii="GHEA Grapalat" w:hAnsi="GHEA Grapalat" w:cs="GHEA Grapalat"/>
          <w:sz w:val="22"/>
          <w:szCs w:val="22"/>
        </w:rPr>
        <w:t>ները պայմանավորված են</w:t>
      </w:r>
      <w:r w:rsidRPr="00B57DAB">
        <w:rPr>
          <w:rFonts w:ascii="GHEA Grapalat" w:hAnsi="GHEA Grapalat" w:cs="GHEA Grapalat"/>
          <w:sz w:val="22"/>
          <w:szCs w:val="22"/>
        </w:rPr>
        <w:t xml:space="preserve"> կանխատեսվածի համեմատ փաստացի փոխարժեքի տարբերությամբ: </w:t>
      </w:r>
    </w:p>
    <w:p w:rsidR="007F71BF" w:rsidRPr="00B57DAB" w:rsidRDefault="007F71BF" w:rsidP="007F71BF">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 xml:space="preserve">Ծախսերի համեմատ եկամուտների բարձր կատարողականի արդյունքում ֆինանսավորման ներքին աղբյուրներում գրանցվել է բյուջեի ազատ միջոցների՝ նախատեսվածից ավել աճ, որը ծրագրված 6 մլրդ դրամի փոխարեն կազմել է 87.8 մլրդ դրամ: </w:t>
      </w:r>
    </w:p>
    <w:p w:rsidR="007F71BF" w:rsidRPr="00B57DAB" w:rsidRDefault="007F71BF" w:rsidP="007F71BF">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 xml:space="preserve">2022 թվականի առաջին եռամսյակում ՀՀ պետական բյուջեի պակասուրդի արտաքին ֆինանսավորման աղբյուրներում 15.5 մլրդ դրամ են կազմել փոխառու զուտ միջոցները: </w:t>
      </w:r>
    </w:p>
    <w:p w:rsidR="007F71BF" w:rsidRPr="00B57DAB" w:rsidRDefault="007F71BF" w:rsidP="007F71BF">
      <w:pPr>
        <w:autoSpaceDE w:val="0"/>
        <w:autoSpaceDN w:val="0"/>
        <w:adjustRightInd w:val="0"/>
        <w:ind w:firstLine="567"/>
        <w:jc w:val="both"/>
        <w:rPr>
          <w:rFonts w:ascii="GHEA Grapalat" w:hAnsi="GHEA Grapalat" w:cs="GHEA Grapalat"/>
          <w:sz w:val="22"/>
          <w:szCs w:val="22"/>
        </w:rPr>
      </w:pPr>
    </w:p>
    <w:p w:rsidR="007F71BF" w:rsidRPr="00B57DAB" w:rsidRDefault="007F71BF" w:rsidP="007F71BF">
      <w:pPr>
        <w:autoSpaceDE w:val="0"/>
        <w:autoSpaceDN w:val="0"/>
        <w:adjustRightInd w:val="0"/>
        <w:ind w:firstLine="567"/>
        <w:jc w:val="both"/>
        <w:rPr>
          <w:rFonts w:ascii="GHEA Grapalat" w:hAnsi="GHEA Grapalat" w:cs="GHEA Grapalat"/>
          <w:sz w:val="22"/>
          <w:szCs w:val="22"/>
        </w:rPr>
      </w:pPr>
    </w:p>
    <w:p w:rsidR="007F71BF" w:rsidRPr="00B57DAB" w:rsidRDefault="007F71BF" w:rsidP="00770F24">
      <w:pPr>
        <w:pStyle w:val="Caption"/>
        <w:keepNext/>
        <w:numPr>
          <w:ilvl w:val="0"/>
          <w:numId w:val="8"/>
        </w:numPr>
        <w:tabs>
          <w:tab w:val="left" w:pos="1276"/>
        </w:tabs>
        <w:ind w:left="0" w:firstLine="0"/>
        <w:jc w:val="left"/>
        <w:rPr>
          <w:rFonts w:ascii="GHEA Grapalat" w:hAnsi="GHEA Grapalat"/>
          <w:i/>
          <w:sz w:val="18"/>
          <w:szCs w:val="18"/>
          <w:lang w:val="en-US"/>
        </w:rPr>
      </w:pPr>
      <w:r w:rsidRPr="00B57DAB">
        <w:rPr>
          <w:rFonts w:ascii="GHEA Grapalat" w:hAnsi="GHEA Grapalat"/>
          <w:i/>
          <w:sz w:val="18"/>
          <w:szCs w:val="18"/>
          <w:lang w:val="en-US"/>
        </w:rPr>
        <w:lastRenderedPageBreak/>
        <w:t>Արտաքին փոխառու միջոցների հաշվին դեֆիցիտի ֆինանսավորումը (մլրդ դրամ)</w:t>
      </w:r>
    </w:p>
    <w:tbl>
      <w:tblPr>
        <w:tblW w:w="10314" w:type="dxa"/>
        <w:tblLayout w:type="fixed"/>
        <w:tblLook w:val="04A0" w:firstRow="1" w:lastRow="0" w:firstColumn="1" w:lastColumn="0" w:noHBand="0" w:noVBand="1"/>
      </w:tblPr>
      <w:tblGrid>
        <w:gridCol w:w="3416"/>
        <w:gridCol w:w="1260"/>
        <w:gridCol w:w="1351"/>
        <w:gridCol w:w="1261"/>
        <w:gridCol w:w="1609"/>
        <w:gridCol w:w="1417"/>
      </w:tblGrid>
      <w:tr w:rsidR="007F71BF" w:rsidRPr="00B57DAB" w:rsidTr="00F7377C">
        <w:trPr>
          <w:trHeight w:val="855"/>
        </w:trPr>
        <w:tc>
          <w:tcPr>
            <w:tcW w:w="3416" w:type="dxa"/>
            <w:tcBorders>
              <w:top w:val="single" w:sz="4" w:space="0" w:color="auto"/>
              <w:left w:val="single" w:sz="4" w:space="0" w:color="auto"/>
              <w:bottom w:val="single" w:sz="4" w:space="0" w:color="auto"/>
              <w:right w:val="single" w:sz="4" w:space="0" w:color="auto"/>
            </w:tcBorders>
            <w:noWrap/>
            <w:vAlign w:val="bottom"/>
            <w:hideMark/>
          </w:tcPr>
          <w:p w:rsidR="007F71BF" w:rsidRPr="00B57DAB" w:rsidRDefault="007F71BF" w:rsidP="00F7377C">
            <w:pPr>
              <w:spacing w:line="256" w:lineRule="auto"/>
              <w:rPr>
                <w:rFonts w:ascii="GHEA Grapalat" w:hAnsi="GHEA Grapalat" w:cs="Calibri"/>
                <w:sz w:val="18"/>
                <w:szCs w:val="18"/>
              </w:rPr>
            </w:pPr>
            <w:r w:rsidRPr="00B57DAB">
              <w:rPr>
                <w:rFonts w:ascii="Courier New" w:hAnsi="Courier New" w:cs="Courier New"/>
                <w:sz w:val="18"/>
                <w:szCs w:val="18"/>
              </w:rPr>
              <w:t> </w:t>
            </w:r>
          </w:p>
        </w:tc>
        <w:tc>
          <w:tcPr>
            <w:tcW w:w="1260" w:type="dxa"/>
            <w:tcBorders>
              <w:top w:val="single" w:sz="4" w:space="0" w:color="auto"/>
              <w:left w:val="nil"/>
              <w:bottom w:val="single" w:sz="4" w:space="0" w:color="auto"/>
              <w:right w:val="single" w:sz="4" w:space="0" w:color="auto"/>
            </w:tcBorders>
            <w:vAlign w:val="center"/>
            <w:hideMark/>
          </w:tcPr>
          <w:p w:rsidR="007F71BF" w:rsidRPr="00B57DAB" w:rsidRDefault="007F71BF" w:rsidP="00F7377C">
            <w:pPr>
              <w:jc w:val="center"/>
              <w:rPr>
                <w:rFonts w:ascii="GHEA Grapalat" w:hAnsi="GHEA Grapalat" w:cs="Calibri"/>
                <w:b/>
                <w:bCs/>
                <w:color w:val="000000"/>
                <w:sz w:val="18"/>
                <w:szCs w:val="18"/>
              </w:rPr>
            </w:pPr>
            <w:r w:rsidRPr="00B57DAB">
              <w:rPr>
                <w:rFonts w:ascii="GHEA Grapalat" w:hAnsi="GHEA Grapalat" w:cs="Calibri"/>
                <w:b/>
                <w:bCs/>
                <w:color w:val="000000"/>
                <w:sz w:val="18"/>
                <w:szCs w:val="18"/>
              </w:rPr>
              <w:t>2021թ. առաջին եռամսյակի փաստ</w:t>
            </w:r>
          </w:p>
        </w:tc>
        <w:tc>
          <w:tcPr>
            <w:tcW w:w="13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F71BF" w:rsidRPr="00B57DAB" w:rsidRDefault="007F71BF" w:rsidP="00F7377C">
            <w:pPr>
              <w:jc w:val="center"/>
              <w:rPr>
                <w:rFonts w:ascii="GHEA Grapalat" w:hAnsi="GHEA Grapalat" w:cs="Calibri"/>
                <w:b/>
                <w:bCs/>
                <w:color w:val="000000"/>
                <w:sz w:val="18"/>
                <w:szCs w:val="18"/>
              </w:rPr>
            </w:pPr>
            <w:r w:rsidRPr="00B57DAB">
              <w:rPr>
                <w:rFonts w:ascii="GHEA Grapalat" w:hAnsi="GHEA Grapalat" w:cs="Calibri"/>
                <w:b/>
                <w:bCs/>
                <w:color w:val="000000"/>
                <w:sz w:val="18"/>
                <w:szCs w:val="18"/>
              </w:rPr>
              <w:t>2022թ. առաջին եռամսյակի ճշտված պլան</w:t>
            </w:r>
          </w:p>
        </w:tc>
        <w:tc>
          <w:tcPr>
            <w:tcW w:w="1261" w:type="dxa"/>
            <w:tcBorders>
              <w:top w:val="single" w:sz="4" w:space="0" w:color="auto"/>
              <w:left w:val="nil"/>
              <w:bottom w:val="single" w:sz="4" w:space="0" w:color="auto"/>
              <w:right w:val="single" w:sz="4" w:space="0" w:color="auto"/>
            </w:tcBorders>
            <w:shd w:val="clear" w:color="auto" w:fill="FFFFFF"/>
            <w:vAlign w:val="center"/>
            <w:hideMark/>
          </w:tcPr>
          <w:p w:rsidR="007F71BF" w:rsidRPr="00B57DAB" w:rsidRDefault="007F71BF" w:rsidP="00F7377C">
            <w:pPr>
              <w:jc w:val="center"/>
              <w:rPr>
                <w:rFonts w:ascii="GHEA Grapalat" w:hAnsi="GHEA Grapalat" w:cs="Calibri"/>
                <w:b/>
                <w:bCs/>
                <w:color w:val="000000"/>
                <w:sz w:val="18"/>
                <w:szCs w:val="18"/>
              </w:rPr>
            </w:pPr>
            <w:r w:rsidRPr="00B57DAB">
              <w:rPr>
                <w:rFonts w:ascii="GHEA Grapalat" w:hAnsi="GHEA Grapalat" w:cs="Calibri"/>
                <w:b/>
                <w:bCs/>
                <w:color w:val="000000"/>
                <w:sz w:val="18"/>
                <w:szCs w:val="18"/>
              </w:rPr>
              <w:t>2022թ. առաջին եռամսյակի փաստ</w:t>
            </w:r>
          </w:p>
        </w:tc>
        <w:tc>
          <w:tcPr>
            <w:tcW w:w="1609" w:type="dxa"/>
            <w:tcBorders>
              <w:top w:val="single" w:sz="4" w:space="0" w:color="auto"/>
              <w:left w:val="nil"/>
              <w:bottom w:val="single" w:sz="4" w:space="0" w:color="auto"/>
              <w:right w:val="single" w:sz="4" w:space="0" w:color="auto"/>
            </w:tcBorders>
            <w:shd w:val="clear" w:color="auto" w:fill="FFFFFF"/>
            <w:vAlign w:val="center"/>
            <w:hideMark/>
          </w:tcPr>
          <w:p w:rsidR="007F71BF" w:rsidRPr="00B57DAB" w:rsidRDefault="007F71BF" w:rsidP="00F7377C">
            <w:pPr>
              <w:jc w:val="center"/>
              <w:rPr>
                <w:rFonts w:ascii="GHEA Grapalat" w:hAnsi="GHEA Grapalat" w:cs="Calibri"/>
                <w:b/>
                <w:bCs/>
                <w:sz w:val="18"/>
                <w:szCs w:val="18"/>
              </w:rPr>
            </w:pPr>
            <w:r w:rsidRPr="00B57DAB">
              <w:rPr>
                <w:rFonts w:ascii="GHEA Grapalat" w:hAnsi="GHEA Grapalat" w:cs="Calibri"/>
                <w:b/>
                <w:bCs/>
                <w:sz w:val="18"/>
                <w:szCs w:val="18"/>
              </w:rPr>
              <w:t>Կատարո-ղականն առաջին եռամսյակի ճշտված պլանի նկատմամբ (%)</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rsidR="007F71BF" w:rsidRPr="00B57DAB" w:rsidRDefault="007F71BF" w:rsidP="00F7377C">
            <w:pPr>
              <w:jc w:val="center"/>
              <w:rPr>
                <w:rFonts w:ascii="GHEA Grapalat" w:hAnsi="GHEA Grapalat" w:cs="Calibri"/>
                <w:b/>
                <w:bCs/>
                <w:sz w:val="18"/>
                <w:szCs w:val="18"/>
              </w:rPr>
            </w:pPr>
            <w:r w:rsidRPr="00B57DAB">
              <w:rPr>
                <w:rFonts w:ascii="GHEA Grapalat" w:hAnsi="GHEA Grapalat" w:cs="Calibri"/>
                <w:b/>
                <w:bCs/>
                <w:sz w:val="18"/>
                <w:szCs w:val="18"/>
              </w:rPr>
              <w:t xml:space="preserve">2022թ. առաջին եռամսյակը 2021թ. </w:t>
            </w:r>
            <w:proofErr w:type="gramStart"/>
            <w:r w:rsidRPr="00B57DAB">
              <w:rPr>
                <w:rFonts w:ascii="GHEA Grapalat" w:hAnsi="GHEA Grapalat" w:cs="Calibri"/>
                <w:b/>
                <w:bCs/>
                <w:sz w:val="18"/>
                <w:szCs w:val="18"/>
              </w:rPr>
              <w:t>առաջին</w:t>
            </w:r>
            <w:proofErr w:type="gramEnd"/>
            <w:r w:rsidRPr="00B57DAB">
              <w:rPr>
                <w:rFonts w:ascii="GHEA Grapalat" w:hAnsi="GHEA Grapalat" w:cs="Calibri"/>
                <w:b/>
                <w:bCs/>
                <w:sz w:val="18"/>
                <w:szCs w:val="18"/>
              </w:rPr>
              <w:t xml:space="preserve"> եռամսյակի նկատմամբ (%)</w:t>
            </w:r>
          </w:p>
        </w:tc>
      </w:tr>
      <w:tr w:rsidR="00692815" w:rsidRPr="00B57DAB" w:rsidTr="00692815">
        <w:trPr>
          <w:trHeight w:val="377"/>
        </w:trPr>
        <w:tc>
          <w:tcPr>
            <w:tcW w:w="3416" w:type="dxa"/>
            <w:tcBorders>
              <w:top w:val="nil"/>
              <w:left w:val="single" w:sz="4" w:space="0" w:color="auto"/>
              <w:bottom w:val="single" w:sz="4" w:space="0" w:color="auto"/>
              <w:right w:val="single" w:sz="4" w:space="0" w:color="auto"/>
            </w:tcBorders>
            <w:vAlign w:val="bottom"/>
            <w:hideMark/>
          </w:tcPr>
          <w:p w:rsidR="00692815" w:rsidRPr="00B57DAB" w:rsidRDefault="00692815" w:rsidP="00F7377C">
            <w:pPr>
              <w:spacing w:line="256" w:lineRule="auto"/>
              <w:rPr>
                <w:rFonts w:ascii="GHEA Grapalat" w:hAnsi="GHEA Grapalat" w:cs="Calibri"/>
                <w:b/>
                <w:color w:val="000000"/>
                <w:sz w:val="18"/>
                <w:szCs w:val="18"/>
              </w:rPr>
            </w:pPr>
            <w:r w:rsidRPr="00B57DAB">
              <w:rPr>
                <w:rFonts w:ascii="GHEA Grapalat" w:hAnsi="GHEA Grapalat" w:cs="Calibri"/>
                <w:b/>
                <w:color w:val="000000"/>
                <w:sz w:val="18"/>
                <w:szCs w:val="18"/>
              </w:rPr>
              <w:t>Փոխառու զուտ միջոցներ</w:t>
            </w:r>
          </w:p>
        </w:tc>
        <w:tc>
          <w:tcPr>
            <w:tcW w:w="1260" w:type="dxa"/>
            <w:tcBorders>
              <w:top w:val="single" w:sz="4" w:space="0" w:color="auto"/>
              <w:left w:val="single" w:sz="4" w:space="0" w:color="auto"/>
              <w:bottom w:val="single" w:sz="4" w:space="0" w:color="auto"/>
              <w:right w:val="single" w:sz="4" w:space="0" w:color="auto"/>
            </w:tcBorders>
            <w:vAlign w:val="bottom"/>
            <w:hideMark/>
          </w:tcPr>
          <w:p w:rsidR="00692815" w:rsidRPr="00B57DAB" w:rsidRDefault="00692815" w:rsidP="00692815">
            <w:pPr>
              <w:spacing w:line="256" w:lineRule="auto"/>
              <w:jc w:val="right"/>
              <w:rPr>
                <w:rFonts w:ascii="GHEA Grapalat" w:hAnsi="GHEA Grapalat" w:cs="Calibri"/>
                <w:b/>
                <w:bCs/>
                <w:sz w:val="18"/>
                <w:szCs w:val="18"/>
              </w:rPr>
            </w:pPr>
            <w:r w:rsidRPr="00B57DAB">
              <w:rPr>
                <w:rFonts w:ascii="GHEA Grapalat" w:hAnsi="GHEA Grapalat" w:cs="Calibri"/>
                <w:b/>
                <w:bCs/>
                <w:sz w:val="18"/>
                <w:szCs w:val="18"/>
              </w:rPr>
              <w:t>357.7</w:t>
            </w:r>
          </w:p>
        </w:tc>
        <w:tc>
          <w:tcPr>
            <w:tcW w:w="1351" w:type="dxa"/>
            <w:tcBorders>
              <w:top w:val="nil"/>
              <w:left w:val="single" w:sz="4" w:space="0" w:color="auto"/>
              <w:bottom w:val="single" w:sz="4" w:space="0" w:color="auto"/>
              <w:right w:val="single" w:sz="4" w:space="0" w:color="auto"/>
            </w:tcBorders>
            <w:noWrap/>
            <w:vAlign w:val="bottom"/>
            <w:hideMark/>
          </w:tcPr>
          <w:p w:rsidR="00692815" w:rsidRPr="00B57DAB" w:rsidRDefault="00692815" w:rsidP="00692815">
            <w:pPr>
              <w:spacing w:line="256" w:lineRule="auto"/>
              <w:jc w:val="right"/>
              <w:rPr>
                <w:rFonts w:ascii="GHEA Grapalat" w:hAnsi="GHEA Grapalat" w:cs="Calibri"/>
                <w:b/>
                <w:bCs/>
                <w:sz w:val="18"/>
                <w:szCs w:val="18"/>
              </w:rPr>
            </w:pPr>
            <w:r w:rsidRPr="00B57DAB">
              <w:rPr>
                <w:rFonts w:ascii="GHEA Grapalat" w:hAnsi="GHEA Grapalat" w:cs="Calibri"/>
                <w:b/>
                <w:bCs/>
                <w:sz w:val="18"/>
                <w:szCs w:val="18"/>
              </w:rPr>
              <w:t>31.8</w:t>
            </w:r>
          </w:p>
        </w:tc>
        <w:tc>
          <w:tcPr>
            <w:tcW w:w="1261" w:type="dxa"/>
            <w:tcBorders>
              <w:top w:val="nil"/>
              <w:left w:val="nil"/>
              <w:bottom w:val="single" w:sz="4" w:space="0" w:color="auto"/>
              <w:right w:val="single" w:sz="4" w:space="0" w:color="auto"/>
            </w:tcBorders>
            <w:noWrap/>
            <w:vAlign w:val="bottom"/>
            <w:hideMark/>
          </w:tcPr>
          <w:p w:rsidR="00692815" w:rsidRPr="00B57DAB" w:rsidRDefault="00692815" w:rsidP="00692815">
            <w:pPr>
              <w:spacing w:line="256" w:lineRule="auto"/>
              <w:jc w:val="right"/>
              <w:rPr>
                <w:rFonts w:ascii="GHEA Grapalat" w:hAnsi="GHEA Grapalat" w:cs="Calibri"/>
                <w:b/>
                <w:bCs/>
                <w:sz w:val="18"/>
                <w:szCs w:val="18"/>
              </w:rPr>
            </w:pPr>
            <w:r w:rsidRPr="00B57DAB">
              <w:rPr>
                <w:rFonts w:ascii="GHEA Grapalat" w:hAnsi="GHEA Grapalat" w:cs="Calibri"/>
                <w:b/>
                <w:bCs/>
                <w:sz w:val="18"/>
                <w:szCs w:val="18"/>
              </w:rPr>
              <w:t>15.5</w:t>
            </w:r>
          </w:p>
        </w:tc>
        <w:tc>
          <w:tcPr>
            <w:tcW w:w="1609" w:type="dxa"/>
            <w:tcBorders>
              <w:top w:val="nil"/>
              <w:left w:val="nil"/>
              <w:bottom w:val="single" w:sz="4" w:space="0" w:color="auto"/>
              <w:right w:val="single" w:sz="4" w:space="0" w:color="auto"/>
            </w:tcBorders>
            <w:noWrap/>
            <w:vAlign w:val="bottom"/>
            <w:hideMark/>
          </w:tcPr>
          <w:p w:rsidR="00692815" w:rsidRPr="00B57DAB" w:rsidRDefault="00692815" w:rsidP="00692815">
            <w:pPr>
              <w:spacing w:line="256" w:lineRule="auto"/>
              <w:jc w:val="right"/>
              <w:rPr>
                <w:rFonts w:ascii="GHEA Grapalat" w:hAnsi="GHEA Grapalat" w:cs="Calibri"/>
                <w:b/>
                <w:bCs/>
                <w:sz w:val="18"/>
                <w:szCs w:val="18"/>
              </w:rPr>
            </w:pPr>
            <w:r w:rsidRPr="00B57DAB">
              <w:rPr>
                <w:rFonts w:ascii="GHEA Grapalat" w:hAnsi="GHEA Grapalat" w:cs="Calibri"/>
                <w:b/>
                <w:bCs/>
                <w:sz w:val="18"/>
                <w:szCs w:val="18"/>
              </w:rPr>
              <w:t>48.8</w:t>
            </w:r>
          </w:p>
        </w:tc>
        <w:tc>
          <w:tcPr>
            <w:tcW w:w="1417" w:type="dxa"/>
            <w:tcBorders>
              <w:top w:val="nil"/>
              <w:left w:val="nil"/>
              <w:bottom w:val="single" w:sz="4" w:space="0" w:color="auto"/>
              <w:right w:val="single" w:sz="4" w:space="0" w:color="auto"/>
            </w:tcBorders>
            <w:vAlign w:val="bottom"/>
            <w:hideMark/>
          </w:tcPr>
          <w:p w:rsidR="00692815" w:rsidRPr="00B57DAB" w:rsidRDefault="00692815" w:rsidP="00692815">
            <w:pPr>
              <w:spacing w:line="256" w:lineRule="auto"/>
              <w:jc w:val="right"/>
              <w:rPr>
                <w:rFonts w:ascii="GHEA Grapalat" w:hAnsi="GHEA Grapalat" w:cs="Calibri"/>
                <w:b/>
                <w:bCs/>
                <w:sz w:val="18"/>
                <w:szCs w:val="18"/>
              </w:rPr>
            </w:pPr>
            <w:r w:rsidRPr="00B57DAB">
              <w:rPr>
                <w:rFonts w:ascii="GHEA Grapalat" w:hAnsi="GHEA Grapalat" w:cs="Calibri"/>
                <w:b/>
                <w:bCs/>
                <w:sz w:val="18"/>
                <w:szCs w:val="18"/>
              </w:rPr>
              <w:t>4.3</w:t>
            </w:r>
          </w:p>
        </w:tc>
      </w:tr>
      <w:tr w:rsidR="00692815" w:rsidRPr="00B57DAB" w:rsidTr="00692815">
        <w:trPr>
          <w:trHeight w:val="377"/>
        </w:trPr>
        <w:tc>
          <w:tcPr>
            <w:tcW w:w="3416" w:type="dxa"/>
            <w:tcBorders>
              <w:top w:val="nil"/>
              <w:left w:val="single" w:sz="4" w:space="0" w:color="auto"/>
              <w:bottom w:val="single" w:sz="4" w:space="0" w:color="auto"/>
              <w:right w:val="single" w:sz="4" w:space="0" w:color="auto"/>
            </w:tcBorders>
            <w:tcMar>
              <w:left w:w="170" w:type="dxa"/>
            </w:tcMar>
            <w:vAlign w:val="bottom"/>
            <w:hideMark/>
          </w:tcPr>
          <w:p w:rsidR="00692815" w:rsidRPr="00B57DAB" w:rsidRDefault="00692815" w:rsidP="00F7377C">
            <w:pPr>
              <w:spacing w:line="256" w:lineRule="auto"/>
              <w:rPr>
                <w:rFonts w:ascii="GHEA Grapalat" w:hAnsi="GHEA Grapalat" w:cs="Calibri"/>
                <w:b/>
                <w:bCs/>
                <w:sz w:val="18"/>
                <w:szCs w:val="18"/>
              </w:rPr>
            </w:pPr>
            <w:r w:rsidRPr="00B57DAB">
              <w:rPr>
                <w:rFonts w:ascii="GHEA Grapalat" w:hAnsi="GHEA Grapalat" w:cs="Calibri"/>
                <w:sz w:val="18"/>
                <w:szCs w:val="18"/>
              </w:rPr>
              <w:t>Վարկերի և փոխատվությունների ստացում</w:t>
            </w:r>
          </w:p>
        </w:tc>
        <w:tc>
          <w:tcPr>
            <w:tcW w:w="1260" w:type="dxa"/>
            <w:tcBorders>
              <w:top w:val="single" w:sz="4" w:space="0" w:color="auto"/>
              <w:left w:val="single" w:sz="4" w:space="0" w:color="auto"/>
              <w:bottom w:val="single" w:sz="4" w:space="0" w:color="auto"/>
              <w:right w:val="single" w:sz="4" w:space="0" w:color="auto"/>
            </w:tcBorders>
            <w:vAlign w:val="bottom"/>
            <w:hideMark/>
          </w:tcPr>
          <w:p w:rsidR="00692815" w:rsidRPr="00B57DAB" w:rsidRDefault="00692815" w:rsidP="00692815">
            <w:pPr>
              <w:spacing w:line="256" w:lineRule="auto"/>
              <w:jc w:val="right"/>
              <w:rPr>
                <w:rFonts w:ascii="GHEA Grapalat" w:hAnsi="GHEA Grapalat" w:cs="Calibri"/>
                <w:bCs/>
                <w:sz w:val="18"/>
                <w:szCs w:val="18"/>
              </w:rPr>
            </w:pPr>
            <w:r w:rsidRPr="00B57DAB">
              <w:rPr>
                <w:rFonts w:ascii="GHEA Grapalat" w:hAnsi="GHEA Grapalat" w:cs="Calibri"/>
                <w:bCs/>
                <w:sz w:val="18"/>
                <w:szCs w:val="18"/>
              </w:rPr>
              <w:t>8.3</w:t>
            </w:r>
          </w:p>
        </w:tc>
        <w:tc>
          <w:tcPr>
            <w:tcW w:w="1351" w:type="dxa"/>
            <w:tcBorders>
              <w:top w:val="nil"/>
              <w:left w:val="single" w:sz="4" w:space="0" w:color="auto"/>
              <w:bottom w:val="single" w:sz="4" w:space="0" w:color="auto"/>
              <w:right w:val="single" w:sz="4" w:space="0" w:color="auto"/>
            </w:tcBorders>
            <w:noWrap/>
            <w:vAlign w:val="bottom"/>
            <w:hideMark/>
          </w:tcPr>
          <w:p w:rsidR="00692815" w:rsidRPr="00B57DAB" w:rsidRDefault="00692815" w:rsidP="00692815">
            <w:pPr>
              <w:spacing w:line="256" w:lineRule="auto"/>
              <w:jc w:val="right"/>
              <w:rPr>
                <w:rFonts w:ascii="GHEA Grapalat" w:hAnsi="GHEA Grapalat" w:cs="Calibri"/>
                <w:bCs/>
                <w:sz w:val="18"/>
                <w:szCs w:val="18"/>
              </w:rPr>
            </w:pPr>
            <w:r w:rsidRPr="00B57DAB">
              <w:rPr>
                <w:rFonts w:ascii="GHEA Grapalat" w:hAnsi="GHEA Grapalat" w:cs="Calibri"/>
                <w:bCs/>
                <w:sz w:val="18"/>
                <w:szCs w:val="18"/>
              </w:rPr>
              <w:t>59.0</w:t>
            </w:r>
          </w:p>
        </w:tc>
        <w:tc>
          <w:tcPr>
            <w:tcW w:w="1261" w:type="dxa"/>
            <w:tcBorders>
              <w:top w:val="nil"/>
              <w:left w:val="nil"/>
              <w:bottom w:val="single" w:sz="4" w:space="0" w:color="auto"/>
              <w:right w:val="single" w:sz="4" w:space="0" w:color="auto"/>
            </w:tcBorders>
            <w:noWrap/>
            <w:vAlign w:val="bottom"/>
            <w:hideMark/>
          </w:tcPr>
          <w:p w:rsidR="00692815" w:rsidRPr="00B57DAB" w:rsidRDefault="00692815" w:rsidP="00692815">
            <w:pPr>
              <w:spacing w:line="256" w:lineRule="auto"/>
              <w:jc w:val="right"/>
              <w:rPr>
                <w:rFonts w:ascii="GHEA Grapalat" w:hAnsi="GHEA Grapalat" w:cs="Calibri"/>
                <w:bCs/>
                <w:sz w:val="18"/>
                <w:szCs w:val="18"/>
              </w:rPr>
            </w:pPr>
            <w:r w:rsidRPr="00B57DAB">
              <w:rPr>
                <w:rFonts w:ascii="GHEA Grapalat" w:hAnsi="GHEA Grapalat" w:cs="Calibri"/>
                <w:bCs/>
                <w:sz w:val="18"/>
                <w:szCs w:val="18"/>
              </w:rPr>
              <w:t>41.0</w:t>
            </w:r>
          </w:p>
        </w:tc>
        <w:tc>
          <w:tcPr>
            <w:tcW w:w="1609" w:type="dxa"/>
            <w:tcBorders>
              <w:top w:val="nil"/>
              <w:left w:val="nil"/>
              <w:bottom w:val="single" w:sz="4" w:space="0" w:color="auto"/>
              <w:right w:val="single" w:sz="4" w:space="0" w:color="auto"/>
            </w:tcBorders>
            <w:noWrap/>
            <w:vAlign w:val="bottom"/>
            <w:hideMark/>
          </w:tcPr>
          <w:p w:rsidR="00692815" w:rsidRPr="00B57DAB" w:rsidRDefault="00692815" w:rsidP="00692815">
            <w:pPr>
              <w:spacing w:line="256" w:lineRule="auto"/>
              <w:jc w:val="right"/>
              <w:rPr>
                <w:rFonts w:ascii="GHEA Grapalat" w:hAnsi="GHEA Grapalat" w:cs="Calibri"/>
                <w:bCs/>
                <w:sz w:val="18"/>
                <w:szCs w:val="18"/>
              </w:rPr>
            </w:pPr>
            <w:r w:rsidRPr="00B57DAB">
              <w:rPr>
                <w:rFonts w:ascii="GHEA Grapalat" w:hAnsi="GHEA Grapalat" w:cs="Calibri"/>
                <w:bCs/>
                <w:sz w:val="18"/>
                <w:szCs w:val="18"/>
              </w:rPr>
              <w:t>69.5</w:t>
            </w:r>
          </w:p>
        </w:tc>
        <w:tc>
          <w:tcPr>
            <w:tcW w:w="1417" w:type="dxa"/>
            <w:tcBorders>
              <w:top w:val="nil"/>
              <w:left w:val="nil"/>
              <w:bottom w:val="single" w:sz="4" w:space="0" w:color="auto"/>
              <w:right w:val="single" w:sz="4" w:space="0" w:color="auto"/>
            </w:tcBorders>
            <w:vAlign w:val="bottom"/>
            <w:hideMark/>
          </w:tcPr>
          <w:p w:rsidR="00692815" w:rsidRPr="00B57DAB" w:rsidRDefault="00692815" w:rsidP="00692815">
            <w:pPr>
              <w:spacing w:line="256" w:lineRule="auto"/>
              <w:jc w:val="right"/>
              <w:rPr>
                <w:rFonts w:ascii="GHEA Grapalat" w:hAnsi="GHEA Grapalat" w:cs="Calibri"/>
                <w:bCs/>
                <w:sz w:val="18"/>
                <w:szCs w:val="18"/>
              </w:rPr>
            </w:pPr>
            <w:r w:rsidRPr="00B57DAB">
              <w:rPr>
                <w:rFonts w:ascii="GHEA Grapalat" w:hAnsi="GHEA Grapalat" w:cs="Calibri"/>
                <w:bCs/>
                <w:sz w:val="18"/>
                <w:szCs w:val="18"/>
              </w:rPr>
              <w:t>496.5</w:t>
            </w:r>
          </w:p>
        </w:tc>
      </w:tr>
      <w:tr w:rsidR="00692815" w:rsidRPr="00B57DAB" w:rsidTr="00692815">
        <w:trPr>
          <w:trHeight w:val="431"/>
        </w:trPr>
        <w:tc>
          <w:tcPr>
            <w:tcW w:w="3416" w:type="dxa"/>
            <w:tcBorders>
              <w:top w:val="nil"/>
              <w:left w:val="single" w:sz="4" w:space="0" w:color="auto"/>
              <w:bottom w:val="single" w:sz="4" w:space="0" w:color="auto"/>
              <w:right w:val="single" w:sz="4" w:space="0" w:color="auto"/>
            </w:tcBorders>
            <w:noWrap/>
            <w:tcMar>
              <w:left w:w="170" w:type="dxa"/>
            </w:tcMar>
            <w:vAlign w:val="bottom"/>
            <w:hideMark/>
          </w:tcPr>
          <w:p w:rsidR="00692815" w:rsidRPr="00B57DAB" w:rsidRDefault="00692815" w:rsidP="00F7377C">
            <w:pPr>
              <w:spacing w:line="256" w:lineRule="auto"/>
              <w:rPr>
                <w:rFonts w:ascii="GHEA Grapalat" w:hAnsi="GHEA Grapalat" w:cs="Calibri"/>
                <w:sz w:val="18"/>
                <w:szCs w:val="18"/>
              </w:rPr>
            </w:pPr>
            <w:r w:rsidRPr="00B57DAB">
              <w:rPr>
                <w:rFonts w:ascii="GHEA Grapalat" w:hAnsi="GHEA Grapalat" w:cs="Calibri"/>
                <w:sz w:val="18"/>
                <w:szCs w:val="18"/>
              </w:rPr>
              <w:t>Ստացված վարկերի և փոխատվությունների մարում</w:t>
            </w:r>
          </w:p>
        </w:tc>
        <w:tc>
          <w:tcPr>
            <w:tcW w:w="1260" w:type="dxa"/>
            <w:tcBorders>
              <w:top w:val="nil"/>
              <w:left w:val="single" w:sz="4" w:space="0" w:color="auto"/>
              <w:bottom w:val="single" w:sz="4" w:space="0" w:color="auto"/>
              <w:right w:val="single" w:sz="4" w:space="0" w:color="auto"/>
            </w:tcBorders>
            <w:vAlign w:val="bottom"/>
            <w:hideMark/>
          </w:tcPr>
          <w:p w:rsidR="00692815" w:rsidRPr="00B57DAB" w:rsidRDefault="00692815" w:rsidP="00692815">
            <w:pPr>
              <w:spacing w:line="256" w:lineRule="auto"/>
              <w:jc w:val="right"/>
              <w:rPr>
                <w:rFonts w:ascii="GHEA Grapalat" w:hAnsi="GHEA Grapalat" w:cs="Calibri"/>
                <w:sz w:val="18"/>
                <w:szCs w:val="18"/>
              </w:rPr>
            </w:pPr>
            <w:r w:rsidRPr="00B57DAB">
              <w:rPr>
                <w:rFonts w:ascii="GHEA Grapalat" w:hAnsi="GHEA Grapalat" w:cs="Calibri"/>
                <w:sz w:val="18"/>
                <w:szCs w:val="18"/>
              </w:rPr>
              <w:t>(29.2)</w:t>
            </w:r>
          </w:p>
        </w:tc>
        <w:tc>
          <w:tcPr>
            <w:tcW w:w="1351" w:type="dxa"/>
            <w:tcBorders>
              <w:top w:val="nil"/>
              <w:left w:val="single" w:sz="4" w:space="0" w:color="auto"/>
              <w:bottom w:val="single" w:sz="4" w:space="0" w:color="auto"/>
              <w:right w:val="single" w:sz="4" w:space="0" w:color="auto"/>
            </w:tcBorders>
            <w:noWrap/>
            <w:vAlign w:val="bottom"/>
            <w:hideMark/>
          </w:tcPr>
          <w:p w:rsidR="00692815" w:rsidRPr="00B57DAB" w:rsidRDefault="00692815" w:rsidP="00692815">
            <w:pPr>
              <w:spacing w:line="256" w:lineRule="auto"/>
              <w:jc w:val="right"/>
              <w:rPr>
                <w:rFonts w:ascii="GHEA Grapalat" w:hAnsi="GHEA Grapalat" w:cs="Calibri"/>
                <w:sz w:val="18"/>
                <w:szCs w:val="18"/>
              </w:rPr>
            </w:pPr>
            <w:r w:rsidRPr="00B57DAB">
              <w:rPr>
                <w:rFonts w:ascii="GHEA Grapalat" w:hAnsi="GHEA Grapalat" w:cs="Calibri"/>
                <w:sz w:val="18"/>
                <w:szCs w:val="18"/>
              </w:rPr>
              <w:t>(27.2)</w:t>
            </w:r>
          </w:p>
        </w:tc>
        <w:tc>
          <w:tcPr>
            <w:tcW w:w="1261" w:type="dxa"/>
            <w:tcBorders>
              <w:top w:val="nil"/>
              <w:left w:val="nil"/>
              <w:bottom w:val="single" w:sz="4" w:space="0" w:color="auto"/>
              <w:right w:val="single" w:sz="4" w:space="0" w:color="auto"/>
            </w:tcBorders>
            <w:noWrap/>
            <w:vAlign w:val="bottom"/>
            <w:hideMark/>
          </w:tcPr>
          <w:p w:rsidR="00692815" w:rsidRPr="00B57DAB" w:rsidRDefault="00692815" w:rsidP="00692815">
            <w:pPr>
              <w:spacing w:line="256" w:lineRule="auto"/>
              <w:jc w:val="right"/>
              <w:rPr>
                <w:rFonts w:ascii="GHEA Grapalat" w:hAnsi="GHEA Grapalat" w:cs="Calibri"/>
                <w:sz w:val="18"/>
                <w:szCs w:val="18"/>
              </w:rPr>
            </w:pPr>
            <w:r w:rsidRPr="00B57DAB">
              <w:rPr>
                <w:rFonts w:ascii="GHEA Grapalat" w:hAnsi="GHEA Grapalat" w:cs="Calibri"/>
                <w:sz w:val="18"/>
                <w:szCs w:val="18"/>
              </w:rPr>
              <w:t>(25.5)</w:t>
            </w:r>
          </w:p>
        </w:tc>
        <w:tc>
          <w:tcPr>
            <w:tcW w:w="1609" w:type="dxa"/>
            <w:tcBorders>
              <w:top w:val="nil"/>
              <w:left w:val="nil"/>
              <w:bottom w:val="single" w:sz="4" w:space="0" w:color="auto"/>
              <w:right w:val="single" w:sz="4" w:space="0" w:color="auto"/>
            </w:tcBorders>
            <w:noWrap/>
            <w:vAlign w:val="bottom"/>
            <w:hideMark/>
          </w:tcPr>
          <w:p w:rsidR="00692815" w:rsidRPr="00B57DAB" w:rsidRDefault="00692815" w:rsidP="00692815">
            <w:pPr>
              <w:spacing w:line="256" w:lineRule="auto"/>
              <w:jc w:val="right"/>
              <w:rPr>
                <w:rFonts w:ascii="GHEA Grapalat" w:hAnsi="GHEA Grapalat" w:cs="Calibri"/>
                <w:sz w:val="18"/>
                <w:szCs w:val="18"/>
              </w:rPr>
            </w:pPr>
            <w:r w:rsidRPr="00B57DAB">
              <w:rPr>
                <w:rFonts w:ascii="GHEA Grapalat" w:hAnsi="GHEA Grapalat" w:cs="Calibri"/>
                <w:sz w:val="18"/>
                <w:szCs w:val="18"/>
              </w:rPr>
              <w:t>93.7</w:t>
            </w:r>
          </w:p>
        </w:tc>
        <w:tc>
          <w:tcPr>
            <w:tcW w:w="1417" w:type="dxa"/>
            <w:tcBorders>
              <w:top w:val="nil"/>
              <w:left w:val="nil"/>
              <w:bottom w:val="single" w:sz="4" w:space="0" w:color="auto"/>
              <w:right w:val="single" w:sz="4" w:space="0" w:color="auto"/>
            </w:tcBorders>
            <w:vAlign w:val="bottom"/>
            <w:hideMark/>
          </w:tcPr>
          <w:p w:rsidR="00692815" w:rsidRPr="00B57DAB" w:rsidRDefault="00692815" w:rsidP="00692815">
            <w:pPr>
              <w:spacing w:line="256" w:lineRule="auto"/>
              <w:jc w:val="right"/>
              <w:rPr>
                <w:rFonts w:ascii="GHEA Grapalat" w:hAnsi="GHEA Grapalat" w:cs="Calibri"/>
                <w:sz w:val="18"/>
                <w:szCs w:val="18"/>
              </w:rPr>
            </w:pPr>
            <w:r w:rsidRPr="00B57DAB">
              <w:rPr>
                <w:rFonts w:ascii="GHEA Grapalat" w:hAnsi="GHEA Grapalat" w:cs="Calibri"/>
                <w:sz w:val="18"/>
                <w:szCs w:val="18"/>
              </w:rPr>
              <w:t>87.2</w:t>
            </w:r>
          </w:p>
        </w:tc>
      </w:tr>
      <w:tr w:rsidR="00692815" w:rsidRPr="00B57DAB" w:rsidTr="00692815">
        <w:trPr>
          <w:trHeight w:val="431"/>
        </w:trPr>
        <w:tc>
          <w:tcPr>
            <w:tcW w:w="3416" w:type="dxa"/>
            <w:tcBorders>
              <w:top w:val="nil"/>
              <w:left w:val="single" w:sz="4" w:space="0" w:color="auto"/>
              <w:bottom w:val="single" w:sz="4" w:space="0" w:color="auto"/>
              <w:right w:val="single" w:sz="4" w:space="0" w:color="auto"/>
            </w:tcBorders>
            <w:noWrap/>
            <w:tcMar>
              <w:left w:w="170" w:type="dxa"/>
            </w:tcMar>
            <w:vAlign w:val="bottom"/>
            <w:hideMark/>
          </w:tcPr>
          <w:p w:rsidR="00692815" w:rsidRPr="00B57DAB" w:rsidRDefault="00692815" w:rsidP="00F7377C">
            <w:pPr>
              <w:spacing w:line="256" w:lineRule="auto"/>
              <w:rPr>
                <w:rFonts w:ascii="GHEA Grapalat" w:hAnsi="GHEA Grapalat" w:cs="Calibri"/>
                <w:sz w:val="18"/>
                <w:szCs w:val="18"/>
              </w:rPr>
            </w:pPr>
            <w:r w:rsidRPr="00B57DAB">
              <w:rPr>
                <w:rFonts w:ascii="GHEA Grapalat" w:hAnsi="GHEA Grapalat" w:cs="Calibri"/>
                <w:sz w:val="18"/>
                <w:szCs w:val="18"/>
              </w:rPr>
              <w:t>Արժեթղթերի (բացառությամբ բաժնետոմսերի և կապիտալում այլ մասնակցության) թողարկումից և տեղաբաշխումից զուտ մուտքեր</w:t>
            </w:r>
          </w:p>
        </w:tc>
        <w:tc>
          <w:tcPr>
            <w:tcW w:w="1260" w:type="dxa"/>
            <w:tcBorders>
              <w:top w:val="nil"/>
              <w:left w:val="single" w:sz="4" w:space="0" w:color="auto"/>
              <w:bottom w:val="single" w:sz="4" w:space="0" w:color="auto"/>
              <w:right w:val="single" w:sz="4" w:space="0" w:color="auto"/>
            </w:tcBorders>
            <w:vAlign w:val="bottom"/>
            <w:hideMark/>
          </w:tcPr>
          <w:p w:rsidR="00692815" w:rsidRPr="00B57DAB" w:rsidRDefault="00692815" w:rsidP="00692815">
            <w:pPr>
              <w:spacing w:line="256" w:lineRule="auto"/>
              <w:jc w:val="right"/>
              <w:rPr>
                <w:rFonts w:ascii="GHEA Grapalat" w:hAnsi="GHEA Grapalat" w:cs="Calibri"/>
                <w:sz w:val="18"/>
                <w:szCs w:val="18"/>
              </w:rPr>
            </w:pPr>
            <w:r w:rsidRPr="00B57DAB">
              <w:rPr>
                <w:rFonts w:ascii="GHEA Grapalat" w:hAnsi="GHEA Grapalat" w:cs="Calibri"/>
                <w:sz w:val="18"/>
                <w:szCs w:val="18"/>
              </w:rPr>
              <w:t>378.7</w:t>
            </w:r>
          </w:p>
        </w:tc>
        <w:tc>
          <w:tcPr>
            <w:tcW w:w="1351" w:type="dxa"/>
            <w:tcBorders>
              <w:top w:val="nil"/>
              <w:left w:val="single" w:sz="4" w:space="0" w:color="auto"/>
              <w:bottom w:val="single" w:sz="4" w:space="0" w:color="auto"/>
              <w:right w:val="single" w:sz="4" w:space="0" w:color="auto"/>
            </w:tcBorders>
            <w:noWrap/>
            <w:vAlign w:val="bottom"/>
          </w:tcPr>
          <w:p w:rsidR="00692815" w:rsidRPr="00B57DAB" w:rsidRDefault="00692815" w:rsidP="00692815">
            <w:pPr>
              <w:spacing w:line="256" w:lineRule="auto"/>
              <w:jc w:val="right"/>
              <w:rPr>
                <w:rFonts w:ascii="GHEA Grapalat" w:hAnsi="GHEA Grapalat" w:cs="Calibri"/>
                <w:sz w:val="18"/>
                <w:szCs w:val="18"/>
              </w:rPr>
            </w:pPr>
            <w:r w:rsidRPr="00B57DAB">
              <w:rPr>
                <w:rFonts w:ascii="GHEA Grapalat" w:hAnsi="GHEA Grapalat" w:cs="Calibri"/>
                <w:sz w:val="18"/>
                <w:szCs w:val="18"/>
              </w:rPr>
              <w:t>0.0</w:t>
            </w:r>
          </w:p>
        </w:tc>
        <w:tc>
          <w:tcPr>
            <w:tcW w:w="1261" w:type="dxa"/>
            <w:tcBorders>
              <w:top w:val="nil"/>
              <w:left w:val="nil"/>
              <w:bottom w:val="single" w:sz="4" w:space="0" w:color="auto"/>
              <w:right w:val="single" w:sz="4" w:space="0" w:color="auto"/>
            </w:tcBorders>
            <w:noWrap/>
            <w:vAlign w:val="bottom"/>
          </w:tcPr>
          <w:p w:rsidR="00692815" w:rsidRPr="00B57DAB" w:rsidRDefault="00692815" w:rsidP="00692815">
            <w:pPr>
              <w:spacing w:line="256" w:lineRule="auto"/>
              <w:jc w:val="right"/>
              <w:rPr>
                <w:rFonts w:ascii="GHEA Grapalat" w:hAnsi="GHEA Grapalat" w:cs="Calibri"/>
                <w:sz w:val="18"/>
                <w:szCs w:val="18"/>
              </w:rPr>
            </w:pPr>
            <w:r w:rsidRPr="00B57DAB">
              <w:rPr>
                <w:rFonts w:ascii="GHEA Grapalat" w:hAnsi="GHEA Grapalat" w:cs="Calibri"/>
                <w:sz w:val="18"/>
                <w:szCs w:val="18"/>
              </w:rPr>
              <w:t>0.0</w:t>
            </w:r>
          </w:p>
        </w:tc>
        <w:tc>
          <w:tcPr>
            <w:tcW w:w="1609" w:type="dxa"/>
            <w:tcBorders>
              <w:top w:val="nil"/>
              <w:left w:val="nil"/>
              <w:bottom w:val="single" w:sz="4" w:space="0" w:color="auto"/>
              <w:right w:val="single" w:sz="4" w:space="0" w:color="auto"/>
            </w:tcBorders>
            <w:noWrap/>
            <w:vAlign w:val="bottom"/>
          </w:tcPr>
          <w:p w:rsidR="00692815" w:rsidRPr="00B57DAB" w:rsidRDefault="00692815" w:rsidP="00692815">
            <w:pPr>
              <w:spacing w:line="256" w:lineRule="auto"/>
              <w:jc w:val="right"/>
              <w:rPr>
                <w:rFonts w:ascii="GHEA Grapalat" w:hAnsi="GHEA Grapalat" w:cs="Calibri"/>
                <w:sz w:val="18"/>
                <w:szCs w:val="18"/>
              </w:rPr>
            </w:pPr>
            <w:r w:rsidRPr="00B57DAB">
              <w:rPr>
                <w:rFonts w:ascii="GHEA Grapalat" w:hAnsi="GHEA Grapalat" w:cs="Calibri"/>
                <w:sz w:val="18"/>
                <w:szCs w:val="18"/>
              </w:rPr>
              <w:t>0.0</w:t>
            </w:r>
          </w:p>
        </w:tc>
        <w:tc>
          <w:tcPr>
            <w:tcW w:w="1417" w:type="dxa"/>
            <w:tcBorders>
              <w:top w:val="nil"/>
              <w:left w:val="nil"/>
              <w:bottom w:val="single" w:sz="4" w:space="0" w:color="auto"/>
              <w:right w:val="single" w:sz="4" w:space="0" w:color="auto"/>
            </w:tcBorders>
            <w:vAlign w:val="bottom"/>
            <w:hideMark/>
          </w:tcPr>
          <w:p w:rsidR="00692815" w:rsidRPr="00B57DAB" w:rsidRDefault="00692815" w:rsidP="00692815">
            <w:pPr>
              <w:spacing w:line="256" w:lineRule="auto"/>
              <w:jc w:val="right"/>
              <w:rPr>
                <w:rFonts w:ascii="GHEA Grapalat" w:hAnsi="GHEA Grapalat" w:cs="Calibri"/>
                <w:sz w:val="18"/>
                <w:szCs w:val="18"/>
              </w:rPr>
            </w:pPr>
            <w:r w:rsidRPr="00B57DAB">
              <w:rPr>
                <w:rFonts w:ascii="GHEA Grapalat" w:hAnsi="GHEA Grapalat" w:cs="Calibri"/>
                <w:sz w:val="18"/>
                <w:szCs w:val="18"/>
              </w:rPr>
              <w:t>0.0</w:t>
            </w:r>
          </w:p>
        </w:tc>
      </w:tr>
    </w:tbl>
    <w:p w:rsidR="007F71BF" w:rsidRPr="00B57DAB" w:rsidRDefault="007F71BF" w:rsidP="007F71BF">
      <w:pPr>
        <w:autoSpaceDE w:val="0"/>
        <w:autoSpaceDN w:val="0"/>
        <w:adjustRightInd w:val="0"/>
        <w:spacing w:line="360" w:lineRule="auto"/>
        <w:ind w:firstLine="567"/>
        <w:jc w:val="both"/>
        <w:rPr>
          <w:rFonts w:ascii="GHEA Grapalat" w:hAnsi="GHEA Grapalat" w:cs="GHEA Grapalat"/>
          <w:sz w:val="22"/>
          <w:szCs w:val="22"/>
        </w:rPr>
      </w:pPr>
    </w:p>
    <w:p w:rsidR="007F71BF" w:rsidRPr="00B57DAB" w:rsidRDefault="007F71BF" w:rsidP="007F71BF">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2022 թվականի առաջին եռամսյակի ընթացքում արտաքին աղբյուրներից փոխառու միջոցների հաշվին ՀՀ պետական բյուջեի պակասուրդը ֆինանսավորվել է արտ</w:t>
      </w:r>
      <w:r w:rsidR="00FA5724" w:rsidRPr="00B57DAB">
        <w:rPr>
          <w:rFonts w:ascii="GHEA Grapalat" w:hAnsi="GHEA Grapalat" w:cs="GHEA Grapalat"/>
          <w:sz w:val="22"/>
          <w:szCs w:val="22"/>
        </w:rPr>
        <w:t>աքին վարկատուների աջակցությամբ: Արտաքին աղբյուրներից ստացված 41 մլրդ դրամ վարկային միջոցներից</w:t>
      </w:r>
      <w:r w:rsidRPr="00B57DAB">
        <w:rPr>
          <w:rFonts w:ascii="GHEA Grapalat" w:hAnsi="GHEA Grapalat" w:cs="GHEA Grapalat"/>
          <w:sz w:val="22"/>
          <w:szCs w:val="22"/>
        </w:rPr>
        <w:t xml:space="preserve"> </w:t>
      </w:r>
      <w:r w:rsidR="00FA5724" w:rsidRPr="00B57DAB">
        <w:rPr>
          <w:rFonts w:ascii="GHEA Grapalat" w:hAnsi="GHEA Grapalat" w:cs="GHEA Grapalat"/>
          <w:sz w:val="22"/>
          <w:szCs w:val="22"/>
        </w:rPr>
        <w:t xml:space="preserve">34.7 մլրդ դրամը </w:t>
      </w:r>
      <w:r w:rsidRPr="00B57DAB">
        <w:rPr>
          <w:rFonts w:ascii="GHEA Grapalat" w:hAnsi="GHEA Grapalat" w:cs="GHEA Grapalat"/>
          <w:sz w:val="22"/>
          <w:szCs w:val="22"/>
        </w:rPr>
        <w:t xml:space="preserve">բյուջետային աջակցության շրջանակներում ներգրավվել է Արժույթի Միջազգային Հիմնադրամից, </w:t>
      </w:r>
      <w:r w:rsidR="00624A5B" w:rsidRPr="00B57DAB">
        <w:rPr>
          <w:rFonts w:ascii="GHEA Grapalat" w:hAnsi="GHEA Grapalat" w:cs="GHEA Grapalat"/>
          <w:sz w:val="22"/>
          <w:szCs w:val="22"/>
        </w:rPr>
        <w:t xml:space="preserve">որը ստացվել է նախատեսված ծավալով, </w:t>
      </w:r>
      <w:r w:rsidRPr="00B57DAB">
        <w:rPr>
          <w:rFonts w:ascii="GHEA Grapalat" w:hAnsi="GHEA Grapalat" w:cs="GHEA Grapalat"/>
          <w:sz w:val="22"/>
          <w:szCs w:val="22"/>
        </w:rPr>
        <w:t>6.3</w:t>
      </w:r>
      <w:r w:rsidR="00624A5B" w:rsidRPr="00B57DAB">
        <w:rPr>
          <w:rFonts w:ascii="Courier New" w:hAnsi="Courier New" w:cs="Courier New"/>
          <w:sz w:val="22"/>
          <w:szCs w:val="22"/>
        </w:rPr>
        <w:t> </w:t>
      </w:r>
      <w:r w:rsidRPr="00B57DAB">
        <w:rPr>
          <w:rFonts w:ascii="GHEA Grapalat" w:hAnsi="GHEA Grapalat" w:cs="GHEA Grapalat"/>
          <w:sz w:val="22"/>
          <w:szCs w:val="22"/>
        </w:rPr>
        <w:t>մլրդ դրամ</w:t>
      </w:r>
      <w:r w:rsidR="00FA5724" w:rsidRPr="00B57DAB">
        <w:rPr>
          <w:rFonts w:ascii="GHEA Grapalat" w:hAnsi="GHEA Grapalat" w:cs="GHEA Grapalat"/>
          <w:sz w:val="22"/>
          <w:szCs w:val="22"/>
        </w:rPr>
        <w:t>ը</w:t>
      </w:r>
      <w:r w:rsidRPr="00B57DAB">
        <w:rPr>
          <w:rFonts w:ascii="GHEA Grapalat" w:hAnsi="GHEA Grapalat" w:cs="GHEA Grapalat"/>
          <w:sz w:val="22"/>
          <w:szCs w:val="22"/>
        </w:rPr>
        <w:t>՝ նպատակային վարկային ծրագրերի շրջանակներում</w:t>
      </w:r>
      <w:r w:rsidR="00624A5B" w:rsidRPr="00B57DAB">
        <w:rPr>
          <w:rFonts w:ascii="GHEA Grapalat" w:hAnsi="GHEA Grapalat" w:cs="GHEA Grapalat"/>
          <w:sz w:val="22"/>
          <w:szCs w:val="22"/>
        </w:rPr>
        <w:t>՝ կազմելով</w:t>
      </w:r>
      <w:r w:rsidRPr="00B57DAB">
        <w:rPr>
          <w:rFonts w:ascii="GHEA Grapalat" w:hAnsi="GHEA Grapalat" w:cs="GHEA Grapalat"/>
          <w:sz w:val="22"/>
          <w:szCs w:val="22"/>
        </w:rPr>
        <w:t xml:space="preserve"> ծրագրված ցուցանիշի 26%-ը:</w:t>
      </w:r>
    </w:p>
    <w:p w:rsidR="007F71BF" w:rsidRPr="00B57DAB" w:rsidRDefault="007F71BF" w:rsidP="007F71BF">
      <w:pPr>
        <w:autoSpaceDE w:val="0"/>
        <w:autoSpaceDN w:val="0"/>
        <w:adjustRightInd w:val="0"/>
        <w:spacing w:line="360" w:lineRule="auto"/>
        <w:ind w:firstLine="567"/>
        <w:jc w:val="both"/>
        <w:rPr>
          <w:rFonts w:ascii="GHEA Grapalat" w:hAnsi="GHEA Grapalat" w:cs="GHEA Grapalat"/>
          <w:sz w:val="22"/>
          <w:szCs w:val="22"/>
        </w:rPr>
      </w:pPr>
    </w:p>
    <w:p w:rsidR="007F71BF" w:rsidRPr="00B57DAB" w:rsidRDefault="007F71BF" w:rsidP="00F533F8">
      <w:pPr>
        <w:pStyle w:val="a8"/>
        <w:numPr>
          <w:ilvl w:val="0"/>
          <w:numId w:val="32"/>
        </w:numPr>
        <w:ind w:left="0" w:firstLine="0"/>
        <w:jc w:val="both"/>
        <w:rPr>
          <w:sz w:val="22"/>
          <w:szCs w:val="22"/>
        </w:rPr>
      </w:pPr>
      <w:r w:rsidRPr="00B57DAB">
        <w:rPr>
          <w:sz w:val="22"/>
          <w:szCs w:val="22"/>
        </w:rPr>
        <w:t xml:space="preserve">Արտաքին աղբյուրներից նպատակային վարկերի ստացումն ըստ վարկատուների (մլրդ դրամ) </w:t>
      </w:r>
    </w:p>
    <w:p w:rsidR="007F71BF" w:rsidRPr="00B57DAB" w:rsidRDefault="007F71BF" w:rsidP="007F71BF">
      <w:pPr>
        <w:autoSpaceDE w:val="0"/>
        <w:autoSpaceDN w:val="0"/>
        <w:adjustRightInd w:val="0"/>
        <w:spacing w:line="360" w:lineRule="auto"/>
        <w:jc w:val="both"/>
        <w:rPr>
          <w:rFonts w:ascii="GHEA Grapalat" w:hAnsi="GHEA Grapalat"/>
          <w:sz w:val="22"/>
          <w:szCs w:val="22"/>
        </w:rPr>
      </w:pPr>
      <w:r w:rsidRPr="00B57DAB">
        <w:rPr>
          <w:noProof/>
        </w:rPr>
        <w:drawing>
          <wp:inline distT="0" distB="0" distL="0" distR="0" wp14:anchorId="64F62FEF" wp14:editId="5399C0F6">
            <wp:extent cx="6409113" cy="3358342"/>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24A5B" w:rsidRPr="00B57DAB" w:rsidRDefault="00624A5B" w:rsidP="00624A5B">
      <w:pPr>
        <w:autoSpaceDE w:val="0"/>
        <w:autoSpaceDN w:val="0"/>
        <w:adjustRightInd w:val="0"/>
        <w:spacing w:line="360" w:lineRule="auto"/>
        <w:ind w:firstLine="567"/>
        <w:jc w:val="both"/>
        <w:rPr>
          <w:rFonts w:ascii="GHEA Grapalat" w:hAnsi="GHEA Grapalat"/>
          <w:sz w:val="22"/>
          <w:szCs w:val="22"/>
          <w:lang w:val="nb-NO"/>
        </w:rPr>
      </w:pPr>
    </w:p>
    <w:p w:rsidR="007F71BF" w:rsidRPr="00B57DAB" w:rsidRDefault="007F71BF" w:rsidP="00770F24">
      <w:pPr>
        <w:pStyle w:val="Caption"/>
        <w:keepNext/>
        <w:numPr>
          <w:ilvl w:val="0"/>
          <w:numId w:val="8"/>
        </w:numPr>
        <w:tabs>
          <w:tab w:val="left" w:pos="1276"/>
        </w:tabs>
        <w:ind w:left="0" w:firstLine="0"/>
        <w:jc w:val="left"/>
        <w:rPr>
          <w:rFonts w:ascii="GHEA Grapalat" w:hAnsi="GHEA Grapalat"/>
          <w:i/>
          <w:sz w:val="18"/>
          <w:szCs w:val="18"/>
          <w:lang w:val="en-US"/>
        </w:rPr>
      </w:pPr>
      <w:r w:rsidRPr="00B57DAB">
        <w:rPr>
          <w:rFonts w:ascii="GHEA Grapalat" w:hAnsi="GHEA Grapalat"/>
          <w:i/>
          <w:sz w:val="18"/>
          <w:szCs w:val="18"/>
          <w:lang w:val="en-US"/>
        </w:rPr>
        <w:t>ՀՀ պետական բյուջեից արտաքին վարկերի մարմանն ուղղված միջոցները (մլրդ դրամ)</w:t>
      </w:r>
    </w:p>
    <w:tbl>
      <w:tblPr>
        <w:tblW w:w="10173" w:type="dxa"/>
        <w:tblLayout w:type="fixed"/>
        <w:tblLook w:val="04A0" w:firstRow="1" w:lastRow="0" w:firstColumn="1" w:lastColumn="0" w:noHBand="0" w:noVBand="1"/>
      </w:tblPr>
      <w:tblGrid>
        <w:gridCol w:w="3936"/>
        <w:gridCol w:w="1559"/>
        <w:gridCol w:w="1559"/>
        <w:gridCol w:w="1559"/>
        <w:gridCol w:w="1560"/>
      </w:tblGrid>
      <w:tr w:rsidR="007F71BF" w:rsidRPr="00B57DAB" w:rsidTr="00F7377C">
        <w:trPr>
          <w:trHeight w:val="855"/>
        </w:trPr>
        <w:tc>
          <w:tcPr>
            <w:tcW w:w="3936" w:type="dxa"/>
            <w:tcBorders>
              <w:top w:val="single" w:sz="4" w:space="0" w:color="auto"/>
              <w:left w:val="single" w:sz="4" w:space="0" w:color="auto"/>
              <w:bottom w:val="single" w:sz="4" w:space="0" w:color="auto"/>
              <w:right w:val="single" w:sz="4" w:space="0" w:color="auto"/>
            </w:tcBorders>
            <w:noWrap/>
            <w:vAlign w:val="bottom"/>
            <w:hideMark/>
          </w:tcPr>
          <w:p w:rsidR="007F71BF" w:rsidRPr="00B57DAB" w:rsidRDefault="007F71BF" w:rsidP="00F7377C">
            <w:pPr>
              <w:spacing w:line="256" w:lineRule="auto"/>
              <w:rPr>
                <w:rFonts w:ascii="GHEA Grapalat" w:hAnsi="GHEA Grapalat" w:cs="Calibri"/>
                <w:sz w:val="18"/>
                <w:szCs w:val="18"/>
              </w:rPr>
            </w:pPr>
            <w:r w:rsidRPr="00B57DAB">
              <w:rPr>
                <w:rFonts w:ascii="Courier New" w:hAnsi="Courier New" w:cs="Courier New"/>
                <w:sz w:val="18"/>
                <w:szCs w:val="18"/>
              </w:rPr>
              <w:t> </w:t>
            </w:r>
          </w:p>
        </w:tc>
        <w:tc>
          <w:tcPr>
            <w:tcW w:w="1559" w:type="dxa"/>
            <w:tcBorders>
              <w:top w:val="single" w:sz="4" w:space="0" w:color="auto"/>
              <w:left w:val="nil"/>
              <w:bottom w:val="single" w:sz="4" w:space="0" w:color="auto"/>
              <w:right w:val="single" w:sz="4" w:space="0" w:color="auto"/>
            </w:tcBorders>
            <w:vAlign w:val="center"/>
            <w:hideMark/>
          </w:tcPr>
          <w:p w:rsidR="007F71BF" w:rsidRPr="00B57DAB" w:rsidRDefault="007F71BF" w:rsidP="00F7377C">
            <w:pPr>
              <w:spacing w:line="256" w:lineRule="auto"/>
              <w:jc w:val="center"/>
              <w:rPr>
                <w:rFonts w:ascii="GHEA Grapalat" w:hAnsi="GHEA Grapalat" w:cs="Calibri"/>
                <w:b/>
                <w:bCs/>
                <w:sz w:val="18"/>
                <w:szCs w:val="18"/>
              </w:rPr>
            </w:pPr>
            <w:r w:rsidRPr="00B57DAB">
              <w:rPr>
                <w:rFonts w:ascii="GHEA Grapalat" w:hAnsi="GHEA Grapalat" w:cs="Calibri"/>
                <w:b/>
                <w:bCs/>
                <w:sz w:val="18"/>
                <w:szCs w:val="18"/>
              </w:rPr>
              <w:t>2021թ. առաջին եռամսյակի փաստ</w:t>
            </w:r>
          </w:p>
        </w:tc>
        <w:tc>
          <w:tcPr>
            <w:tcW w:w="1559" w:type="dxa"/>
            <w:tcBorders>
              <w:top w:val="single" w:sz="4" w:space="0" w:color="auto"/>
              <w:left w:val="single" w:sz="4" w:space="0" w:color="auto"/>
              <w:bottom w:val="single" w:sz="4" w:space="0" w:color="auto"/>
              <w:right w:val="single" w:sz="4" w:space="0" w:color="auto"/>
            </w:tcBorders>
            <w:vAlign w:val="center"/>
          </w:tcPr>
          <w:p w:rsidR="007F71BF" w:rsidRPr="00B57DAB" w:rsidRDefault="007F71BF" w:rsidP="00F7377C">
            <w:pPr>
              <w:spacing w:line="256" w:lineRule="auto"/>
              <w:jc w:val="center"/>
              <w:rPr>
                <w:rFonts w:ascii="GHEA Grapalat" w:hAnsi="GHEA Grapalat" w:cs="Calibri"/>
                <w:b/>
                <w:bCs/>
                <w:sz w:val="18"/>
                <w:szCs w:val="18"/>
              </w:rPr>
            </w:pPr>
            <w:r w:rsidRPr="00B57DAB">
              <w:rPr>
                <w:rFonts w:ascii="GHEA Grapalat" w:hAnsi="GHEA Grapalat" w:cs="Calibri"/>
                <w:b/>
                <w:bCs/>
                <w:sz w:val="18"/>
                <w:szCs w:val="18"/>
              </w:rPr>
              <w:t>Կշիռն ընդամենը մարումներում (%)</w:t>
            </w:r>
          </w:p>
        </w:tc>
        <w:tc>
          <w:tcPr>
            <w:tcW w:w="1559" w:type="dxa"/>
            <w:tcBorders>
              <w:top w:val="single" w:sz="4" w:space="0" w:color="auto"/>
              <w:left w:val="single" w:sz="4" w:space="0" w:color="auto"/>
              <w:bottom w:val="single" w:sz="4" w:space="0" w:color="auto"/>
              <w:right w:val="single" w:sz="4" w:space="0" w:color="auto"/>
            </w:tcBorders>
            <w:vAlign w:val="center"/>
            <w:hideMark/>
          </w:tcPr>
          <w:p w:rsidR="007F71BF" w:rsidRPr="00B57DAB" w:rsidRDefault="007F71BF" w:rsidP="00F7377C">
            <w:pPr>
              <w:spacing w:line="256" w:lineRule="auto"/>
              <w:jc w:val="center"/>
              <w:rPr>
                <w:rFonts w:ascii="GHEA Grapalat" w:hAnsi="GHEA Grapalat" w:cs="Calibri"/>
                <w:b/>
                <w:bCs/>
                <w:sz w:val="18"/>
                <w:szCs w:val="18"/>
              </w:rPr>
            </w:pPr>
            <w:r w:rsidRPr="00B57DAB">
              <w:rPr>
                <w:rFonts w:ascii="GHEA Grapalat" w:hAnsi="GHEA Grapalat" w:cs="Calibri"/>
                <w:b/>
                <w:bCs/>
                <w:sz w:val="18"/>
                <w:szCs w:val="18"/>
              </w:rPr>
              <w:t>2022թ. առաջին եռամսյակի փաստ</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F71BF" w:rsidRPr="00B57DAB" w:rsidRDefault="007F71BF" w:rsidP="00F7377C">
            <w:pPr>
              <w:spacing w:line="256" w:lineRule="auto"/>
              <w:jc w:val="center"/>
              <w:rPr>
                <w:rFonts w:ascii="GHEA Grapalat" w:hAnsi="GHEA Grapalat" w:cs="Calibri"/>
                <w:b/>
                <w:bCs/>
                <w:sz w:val="18"/>
                <w:szCs w:val="18"/>
              </w:rPr>
            </w:pPr>
            <w:r w:rsidRPr="00B57DAB">
              <w:rPr>
                <w:rFonts w:ascii="GHEA Grapalat" w:hAnsi="GHEA Grapalat" w:cs="Calibri"/>
                <w:b/>
                <w:bCs/>
                <w:sz w:val="18"/>
                <w:szCs w:val="18"/>
              </w:rPr>
              <w:t>Կշիռն ընդամենը մարումներում (%)</w:t>
            </w:r>
          </w:p>
        </w:tc>
      </w:tr>
      <w:tr w:rsidR="007F71BF" w:rsidRPr="00B57DAB" w:rsidTr="00624A5B">
        <w:trPr>
          <w:trHeight w:val="279"/>
        </w:trPr>
        <w:tc>
          <w:tcPr>
            <w:tcW w:w="3936" w:type="dxa"/>
            <w:tcBorders>
              <w:top w:val="nil"/>
              <w:left w:val="single" w:sz="4" w:space="0" w:color="auto"/>
              <w:bottom w:val="single" w:sz="4" w:space="0" w:color="auto"/>
              <w:right w:val="single" w:sz="4" w:space="0" w:color="auto"/>
            </w:tcBorders>
            <w:vAlign w:val="bottom"/>
            <w:hideMark/>
          </w:tcPr>
          <w:p w:rsidR="007F71BF" w:rsidRPr="00B57DAB" w:rsidRDefault="007F71BF" w:rsidP="00624A5B">
            <w:pPr>
              <w:spacing w:line="256" w:lineRule="auto"/>
              <w:rPr>
                <w:rFonts w:ascii="GHEA Grapalat" w:hAnsi="GHEA Grapalat" w:cs="Calibri"/>
                <w:b/>
                <w:bCs/>
                <w:sz w:val="18"/>
                <w:szCs w:val="18"/>
              </w:rPr>
            </w:pPr>
            <w:r w:rsidRPr="00B57DAB">
              <w:rPr>
                <w:rFonts w:ascii="GHEA Grapalat" w:hAnsi="GHEA Grapalat"/>
                <w:b/>
                <w:sz w:val="18"/>
                <w:szCs w:val="18"/>
              </w:rPr>
              <w:t>Արտաքին վարկերի մարում</w:t>
            </w:r>
          </w:p>
        </w:tc>
        <w:tc>
          <w:tcPr>
            <w:tcW w:w="1559" w:type="dxa"/>
            <w:tcBorders>
              <w:top w:val="single" w:sz="4" w:space="0" w:color="auto"/>
              <w:left w:val="single" w:sz="4" w:space="0" w:color="auto"/>
              <w:bottom w:val="single" w:sz="4" w:space="0" w:color="auto"/>
              <w:right w:val="single" w:sz="4" w:space="0" w:color="auto"/>
            </w:tcBorders>
            <w:vAlign w:val="bottom"/>
            <w:hideMark/>
          </w:tcPr>
          <w:p w:rsidR="007F71BF" w:rsidRPr="00B57DAB" w:rsidRDefault="007F71BF" w:rsidP="00624A5B">
            <w:pPr>
              <w:spacing w:line="256" w:lineRule="auto"/>
              <w:jc w:val="right"/>
              <w:rPr>
                <w:rFonts w:ascii="GHEA Grapalat" w:hAnsi="GHEA Grapalat" w:cs="Calibri"/>
                <w:b/>
                <w:bCs/>
                <w:sz w:val="18"/>
                <w:szCs w:val="18"/>
              </w:rPr>
            </w:pPr>
            <w:r w:rsidRPr="00B57DAB">
              <w:rPr>
                <w:rFonts w:ascii="GHEA Grapalat" w:hAnsi="GHEA Grapalat" w:cs="Calibri"/>
                <w:b/>
                <w:bCs/>
                <w:sz w:val="18"/>
                <w:szCs w:val="18"/>
              </w:rPr>
              <w:t>29.2</w:t>
            </w:r>
          </w:p>
        </w:tc>
        <w:tc>
          <w:tcPr>
            <w:tcW w:w="1559" w:type="dxa"/>
            <w:tcBorders>
              <w:top w:val="single" w:sz="4" w:space="0" w:color="auto"/>
              <w:left w:val="single" w:sz="4" w:space="0" w:color="auto"/>
              <w:bottom w:val="single" w:sz="4" w:space="0" w:color="auto"/>
              <w:right w:val="single" w:sz="4" w:space="0" w:color="auto"/>
            </w:tcBorders>
            <w:vAlign w:val="bottom"/>
          </w:tcPr>
          <w:p w:rsidR="007F71BF" w:rsidRPr="00B57DAB" w:rsidRDefault="007F71BF" w:rsidP="00624A5B">
            <w:pPr>
              <w:spacing w:line="256" w:lineRule="auto"/>
              <w:jc w:val="right"/>
              <w:rPr>
                <w:rFonts w:ascii="GHEA Grapalat" w:hAnsi="GHEA Grapalat" w:cs="Calibri"/>
                <w:b/>
                <w:bCs/>
                <w:sz w:val="18"/>
                <w:szCs w:val="18"/>
              </w:rPr>
            </w:pPr>
            <w:r w:rsidRPr="00B57DAB">
              <w:rPr>
                <w:rFonts w:ascii="GHEA Grapalat" w:hAnsi="GHEA Grapalat" w:cs="Calibri"/>
                <w:b/>
                <w:bCs/>
                <w:sz w:val="18"/>
                <w:szCs w:val="18"/>
              </w:rPr>
              <w:t>100.0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7F71BF" w:rsidRPr="00B57DAB" w:rsidRDefault="007F71BF" w:rsidP="00624A5B">
            <w:pPr>
              <w:spacing w:line="256" w:lineRule="auto"/>
              <w:jc w:val="right"/>
              <w:rPr>
                <w:rFonts w:ascii="GHEA Grapalat" w:hAnsi="GHEA Grapalat" w:cs="Calibri"/>
                <w:b/>
                <w:bCs/>
                <w:sz w:val="18"/>
                <w:szCs w:val="18"/>
              </w:rPr>
            </w:pPr>
            <w:r w:rsidRPr="00B57DAB">
              <w:rPr>
                <w:rFonts w:ascii="GHEA Grapalat" w:hAnsi="GHEA Grapalat" w:cs="Calibri"/>
                <w:b/>
                <w:bCs/>
                <w:sz w:val="18"/>
                <w:szCs w:val="18"/>
              </w:rPr>
              <w:t>25.5</w:t>
            </w:r>
          </w:p>
        </w:tc>
        <w:tc>
          <w:tcPr>
            <w:tcW w:w="1560" w:type="dxa"/>
            <w:tcBorders>
              <w:top w:val="nil"/>
              <w:left w:val="single" w:sz="4" w:space="0" w:color="auto"/>
              <w:bottom w:val="single" w:sz="4" w:space="0" w:color="auto"/>
              <w:right w:val="single" w:sz="4" w:space="0" w:color="auto"/>
            </w:tcBorders>
            <w:noWrap/>
            <w:vAlign w:val="bottom"/>
            <w:hideMark/>
          </w:tcPr>
          <w:p w:rsidR="007F71BF" w:rsidRPr="00B57DAB" w:rsidRDefault="007F71BF" w:rsidP="00624A5B">
            <w:pPr>
              <w:spacing w:line="256" w:lineRule="auto"/>
              <w:jc w:val="right"/>
              <w:rPr>
                <w:rFonts w:ascii="GHEA Grapalat" w:hAnsi="GHEA Grapalat" w:cs="Calibri"/>
                <w:b/>
                <w:bCs/>
                <w:sz w:val="18"/>
                <w:szCs w:val="18"/>
              </w:rPr>
            </w:pPr>
            <w:r w:rsidRPr="00B57DAB">
              <w:rPr>
                <w:rFonts w:ascii="GHEA Grapalat" w:hAnsi="GHEA Grapalat" w:cs="Calibri"/>
                <w:b/>
                <w:bCs/>
                <w:sz w:val="18"/>
                <w:szCs w:val="18"/>
              </w:rPr>
              <w:t>100.0</w:t>
            </w:r>
          </w:p>
        </w:tc>
      </w:tr>
      <w:tr w:rsidR="007F71BF" w:rsidRPr="00B57DAB" w:rsidTr="00624A5B">
        <w:trPr>
          <w:trHeight w:val="269"/>
        </w:trPr>
        <w:tc>
          <w:tcPr>
            <w:tcW w:w="3936" w:type="dxa"/>
            <w:tcBorders>
              <w:top w:val="nil"/>
              <w:left w:val="single" w:sz="4" w:space="0" w:color="auto"/>
              <w:bottom w:val="single" w:sz="4" w:space="0" w:color="auto"/>
              <w:right w:val="single" w:sz="4" w:space="0" w:color="auto"/>
            </w:tcBorders>
            <w:noWrap/>
            <w:vAlign w:val="bottom"/>
            <w:hideMark/>
          </w:tcPr>
          <w:p w:rsidR="007F71BF" w:rsidRPr="00B57DAB" w:rsidRDefault="007F71BF" w:rsidP="00624A5B">
            <w:pPr>
              <w:spacing w:line="256" w:lineRule="auto"/>
              <w:ind w:firstLineChars="71" w:firstLine="128"/>
              <w:rPr>
                <w:rFonts w:ascii="GHEA Grapalat" w:hAnsi="GHEA Grapalat" w:cs="Calibri"/>
                <w:sz w:val="18"/>
                <w:szCs w:val="18"/>
              </w:rPr>
            </w:pPr>
            <w:r w:rsidRPr="00B57DAB">
              <w:rPr>
                <w:rFonts w:ascii="GHEA Grapalat" w:hAnsi="GHEA Grapalat" w:cs="Calibri"/>
                <w:sz w:val="18"/>
                <w:szCs w:val="18"/>
              </w:rPr>
              <w:t>Միջազգային կազմակերպություններ</w:t>
            </w:r>
          </w:p>
        </w:tc>
        <w:tc>
          <w:tcPr>
            <w:tcW w:w="1559" w:type="dxa"/>
            <w:tcBorders>
              <w:top w:val="single" w:sz="4" w:space="0" w:color="auto"/>
              <w:left w:val="single" w:sz="4" w:space="0" w:color="auto"/>
              <w:bottom w:val="single" w:sz="4" w:space="0" w:color="auto"/>
              <w:right w:val="single" w:sz="4" w:space="0" w:color="auto"/>
            </w:tcBorders>
            <w:vAlign w:val="bottom"/>
            <w:hideMark/>
          </w:tcPr>
          <w:p w:rsidR="007F71BF" w:rsidRPr="00B57DAB" w:rsidRDefault="007F71BF" w:rsidP="00624A5B">
            <w:pPr>
              <w:spacing w:line="256" w:lineRule="auto"/>
              <w:jc w:val="right"/>
              <w:rPr>
                <w:rFonts w:ascii="GHEA Grapalat" w:hAnsi="GHEA Grapalat" w:cs="Calibri"/>
                <w:sz w:val="18"/>
                <w:szCs w:val="18"/>
              </w:rPr>
            </w:pPr>
            <w:r w:rsidRPr="00B57DAB">
              <w:rPr>
                <w:rFonts w:ascii="GHEA Grapalat" w:hAnsi="GHEA Grapalat" w:cs="Calibri"/>
                <w:sz w:val="18"/>
                <w:szCs w:val="18"/>
              </w:rPr>
              <w:t>15.1</w:t>
            </w:r>
          </w:p>
        </w:tc>
        <w:tc>
          <w:tcPr>
            <w:tcW w:w="1559" w:type="dxa"/>
            <w:tcBorders>
              <w:top w:val="nil"/>
              <w:left w:val="single" w:sz="4" w:space="0" w:color="auto"/>
              <w:bottom w:val="single" w:sz="4" w:space="0" w:color="auto"/>
              <w:right w:val="single" w:sz="4" w:space="0" w:color="auto"/>
            </w:tcBorders>
            <w:vAlign w:val="bottom"/>
          </w:tcPr>
          <w:p w:rsidR="007F71BF" w:rsidRPr="00B57DAB" w:rsidRDefault="007F71BF" w:rsidP="00624A5B">
            <w:pPr>
              <w:spacing w:line="256" w:lineRule="auto"/>
              <w:jc w:val="right"/>
              <w:rPr>
                <w:rFonts w:ascii="GHEA Grapalat" w:hAnsi="GHEA Grapalat" w:cs="Calibri"/>
                <w:sz w:val="18"/>
                <w:szCs w:val="18"/>
              </w:rPr>
            </w:pPr>
            <w:r w:rsidRPr="00B57DAB">
              <w:rPr>
                <w:rFonts w:ascii="GHEA Grapalat" w:hAnsi="GHEA Grapalat" w:cs="Calibri"/>
                <w:sz w:val="18"/>
                <w:szCs w:val="18"/>
              </w:rPr>
              <w:t>51.5</w:t>
            </w:r>
          </w:p>
        </w:tc>
        <w:tc>
          <w:tcPr>
            <w:tcW w:w="1559" w:type="dxa"/>
            <w:tcBorders>
              <w:top w:val="nil"/>
              <w:left w:val="single" w:sz="4" w:space="0" w:color="auto"/>
              <w:bottom w:val="single" w:sz="4" w:space="0" w:color="auto"/>
              <w:right w:val="single" w:sz="4" w:space="0" w:color="auto"/>
            </w:tcBorders>
            <w:vAlign w:val="bottom"/>
            <w:hideMark/>
          </w:tcPr>
          <w:p w:rsidR="007F71BF" w:rsidRPr="00B57DAB" w:rsidRDefault="007F71BF" w:rsidP="00624A5B">
            <w:pPr>
              <w:spacing w:line="256" w:lineRule="auto"/>
              <w:jc w:val="right"/>
              <w:rPr>
                <w:rFonts w:ascii="GHEA Grapalat" w:hAnsi="GHEA Grapalat" w:cs="Calibri"/>
                <w:sz w:val="18"/>
                <w:szCs w:val="18"/>
              </w:rPr>
            </w:pPr>
            <w:r w:rsidRPr="00B57DAB">
              <w:rPr>
                <w:rFonts w:ascii="GHEA Grapalat" w:hAnsi="GHEA Grapalat" w:cs="Calibri"/>
                <w:sz w:val="18"/>
                <w:szCs w:val="18"/>
              </w:rPr>
              <w:t>12.8</w:t>
            </w:r>
          </w:p>
        </w:tc>
        <w:tc>
          <w:tcPr>
            <w:tcW w:w="1560" w:type="dxa"/>
            <w:tcBorders>
              <w:top w:val="nil"/>
              <w:left w:val="single" w:sz="4" w:space="0" w:color="auto"/>
              <w:bottom w:val="single" w:sz="4" w:space="0" w:color="auto"/>
              <w:right w:val="single" w:sz="4" w:space="0" w:color="auto"/>
            </w:tcBorders>
            <w:noWrap/>
            <w:vAlign w:val="bottom"/>
            <w:hideMark/>
          </w:tcPr>
          <w:p w:rsidR="007F71BF" w:rsidRPr="00B57DAB" w:rsidRDefault="007F71BF" w:rsidP="00624A5B">
            <w:pPr>
              <w:spacing w:line="256" w:lineRule="auto"/>
              <w:jc w:val="right"/>
              <w:rPr>
                <w:rFonts w:ascii="GHEA Grapalat" w:hAnsi="GHEA Grapalat" w:cs="Calibri"/>
                <w:sz w:val="18"/>
                <w:szCs w:val="18"/>
              </w:rPr>
            </w:pPr>
            <w:r w:rsidRPr="00B57DAB">
              <w:rPr>
                <w:rFonts w:ascii="GHEA Grapalat" w:hAnsi="GHEA Grapalat" w:cs="Calibri"/>
                <w:sz w:val="18"/>
                <w:szCs w:val="18"/>
              </w:rPr>
              <w:t>50.1</w:t>
            </w:r>
          </w:p>
        </w:tc>
      </w:tr>
      <w:tr w:rsidR="007F71BF" w:rsidRPr="00B57DAB" w:rsidTr="00624A5B">
        <w:trPr>
          <w:trHeight w:val="274"/>
        </w:trPr>
        <w:tc>
          <w:tcPr>
            <w:tcW w:w="3936" w:type="dxa"/>
            <w:tcBorders>
              <w:top w:val="nil"/>
              <w:left w:val="single" w:sz="4" w:space="0" w:color="auto"/>
              <w:bottom w:val="single" w:sz="4" w:space="0" w:color="auto"/>
              <w:right w:val="single" w:sz="4" w:space="0" w:color="auto"/>
            </w:tcBorders>
            <w:noWrap/>
            <w:vAlign w:val="bottom"/>
            <w:hideMark/>
          </w:tcPr>
          <w:p w:rsidR="007F71BF" w:rsidRPr="00B57DAB" w:rsidRDefault="007F71BF" w:rsidP="00624A5B">
            <w:pPr>
              <w:spacing w:line="256" w:lineRule="auto"/>
              <w:ind w:firstLine="142"/>
              <w:rPr>
                <w:rFonts w:ascii="GHEA Grapalat" w:hAnsi="GHEA Grapalat" w:cs="Calibri"/>
                <w:sz w:val="18"/>
                <w:szCs w:val="18"/>
              </w:rPr>
            </w:pPr>
            <w:r w:rsidRPr="00B57DAB">
              <w:rPr>
                <w:rFonts w:ascii="GHEA Grapalat" w:hAnsi="GHEA Grapalat" w:cs="Calibri"/>
                <w:sz w:val="18"/>
                <w:szCs w:val="18"/>
              </w:rPr>
              <w:t>Օտարերկրյա պետություններ</w:t>
            </w:r>
          </w:p>
        </w:tc>
        <w:tc>
          <w:tcPr>
            <w:tcW w:w="1559" w:type="dxa"/>
            <w:tcBorders>
              <w:top w:val="single" w:sz="4" w:space="0" w:color="auto"/>
              <w:left w:val="single" w:sz="4" w:space="0" w:color="auto"/>
              <w:bottom w:val="single" w:sz="4" w:space="0" w:color="auto"/>
              <w:right w:val="single" w:sz="4" w:space="0" w:color="auto"/>
            </w:tcBorders>
            <w:vAlign w:val="bottom"/>
            <w:hideMark/>
          </w:tcPr>
          <w:p w:rsidR="007F71BF" w:rsidRPr="00B57DAB" w:rsidRDefault="007F71BF" w:rsidP="00624A5B">
            <w:pPr>
              <w:spacing w:line="256" w:lineRule="auto"/>
              <w:jc w:val="right"/>
              <w:rPr>
                <w:rFonts w:ascii="GHEA Grapalat" w:hAnsi="GHEA Grapalat" w:cs="Calibri"/>
                <w:sz w:val="18"/>
                <w:szCs w:val="18"/>
              </w:rPr>
            </w:pPr>
            <w:r w:rsidRPr="00B57DAB">
              <w:rPr>
                <w:rFonts w:ascii="GHEA Grapalat" w:hAnsi="GHEA Grapalat" w:cs="Calibri"/>
                <w:sz w:val="18"/>
                <w:szCs w:val="18"/>
              </w:rPr>
              <w:t>13.7</w:t>
            </w:r>
          </w:p>
        </w:tc>
        <w:tc>
          <w:tcPr>
            <w:tcW w:w="1559" w:type="dxa"/>
            <w:tcBorders>
              <w:top w:val="nil"/>
              <w:left w:val="single" w:sz="4" w:space="0" w:color="auto"/>
              <w:bottom w:val="single" w:sz="4" w:space="0" w:color="auto"/>
              <w:right w:val="single" w:sz="4" w:space="0" w:color="auto"/>
            </w:tcBorders>
            <w:vAlign w:val="bottom"/>
          </w:tcPr>
          <w:p w:rsidR="007F71BF" w:rsidRPr="00B57DAB" w:rsidRDefault="007F71BF" w:rsidP="00624A5B">
            <w:pPr>
              <w:spacing w:line="256" w:lineRule="auto"/>
              <w:jc w:val="right"/>
              <w:rPr>
                <w:rFonts w:ascii="GHEA Grapalat" w:hAnsi="GHEA Grapalat" w:cs="Calibri"/>
                <w:sz w:val="18"/>
                <w:szCs w:val="18"/>
              </w:rPr>
            </w:pPr>
            <w:r w:rsidRPr="00B57DAB">
              <w:rPr>
                <w:rFonts w:ascii="GHEA Grapalat" w:hAnsi="GHEA Grapalat" w:cs="Calibri"/>
                <w:sz w:val="18"/>
                <w:szCs w:val="18"/>
              </w:rPr>
              <w:t>46.9</w:t>
            </w:r>
          </w:p>
        </w:tc>
        <w:tc>
          <w:tcPr>
            <w:tcW w:w="1559" w:type="dxa"/>
            <w:tcBorders>
              <w:top w:val="nil"/>
              <w:left w:val="single" w:sz="4" w:space="0" w:color="auto"/>
              <w:bottom w:val="single" w:sz="4" w:space="0" w:color="auto"/>
              <w:right w:val="single" w:sz="4" w:space="0" w:color="auto"/>
            </w:tcBorders>
            <w:vAlign w:val="bottom"/>
            <w:hideMark/>
          </w:tcPr>
          <w:p w:rsidR="007F71BF" w:rsidRPr="00B57DAB" w:rsidRDefault="007F71BF" w:rsidP="00624A5B">
            <w:pPr>
              <w:spacing w:line="256" w:lineRule="auto"/>
              <w:jc w:val="right"/>
              <w:rPr>
                <w:rFonts w:ascii="GHEA Grapalat" w:hAnsi="GHEA Grapalat" w:cs="Calibri"/>
                <w:sz w:val="18"/>
                <w:szCs w:val="18"/>
              </w:rPr>
            </w:pPr>
            <w:r w:rsidRPr="00B57DAB">
              <w:rPr>
                <w:rFonts w:ascii="GHEA Grapalat" w:hAnsi="GHEA Grapalat" w:cs="Calibri"/>
                <w:sz w:val="18"/>
                <w:szCs w:val="18"/>
              </w:rPr>
              <w:t>12.3</w:t>
            </w:r>
          </w:p>
        </w:tc>
        <w:tc>
          <w:tcPr>
            <w:tcW w:w="1560" w:type="dxa"/>
            <w:tcBorders>
              <w:top w:val="nil"/>
              <w:left w:val="single" w:sz="4" w:space="0" w:color="auto"/>
              <w:bottom w:val="single" w:sz="4" w:space="0" w:color="auto"/>
              <w:right w:val="single" w:sz="4" w:space="0" w:color="auto"/>
            </w:tcBorders>
            <w:noWrap/>
            <w:vAlign w:val="bottom"/>
            <w:hideMark/>
          </w:tcPr>
          <w:p w:rsidR="007F71BF" w:rsidRPr="00B57DAB" w:rsidRDefault="007F71BF" w:rsidP="00624A5B">
            <w:pPr>
              <w:spacing w:line="256" w:lineRule="auto"/>
              <w:jc w:val="right"/>
              <w:rPr>
                <w:rFonts w:ascii="GHEA Grapalat" w:hAnsi="GHEA Grapalat" w:cs="Calibri"/>
                <w:sz w:val="18"/>
                <w:szCs w:val="18"/>
              </w:rPr>
            </w:pPr>
            <w:r w:rsidRPr="00B57DAB">
              <w:rPr>
                <w:rFonts w:ascii="GHEA Grapalat" w:hAnsi="GHEA Grapalat" w:cs="Calibri"/>
                <w:sz w:val="18"/>
                <w:szCs w:val="18"/>
              </w:rPr>
              <w:t>48.4</w:t>
            </w:r>
          </w:p>
        </w:tc>
      </w:tr>
      <w:tr w:rsidR="007F71BF" w:rsidRPr="00B57DAB" w:rsidTr="00624A5B">
        <w:trPr>
          <w:trHeight w:val="278"/>
        </w:trPr>
        <w:tc>
          <w:tcPr>
            <w:tcW w:w="3936" w:type="dxa"/>
            <w:tcBorders>
              <w:top w:val="nil"/>
              <w:left w:val="single" w:sz="4" w:space="0" w:color="auto"/>
              <w:bottom w:val="single" w:sz="4" w:space="0" w:color="auto"/>
              <w:right w:val="single" w:sz="4" w:space="0" w:color="auto"/>
            </w:tcBorders>
            <w:noWrap/>
            <w:vAlign w:val="bottom"/>
            <w:hideMark/>
          </w:tcPr>
          <w:p w:rsidR="007F71BF" w:rsidRPr="00B57DAB" w:rsidRDefault="007F71BF" w:rsidP="00624A5B">
            <w:pPr>
              <w:spacing w:line="256" w:lineRule="auto"/>
              <w:ind w:firstLine="142"/>
              <w:rPr>
                <w:rFonts w:ascii="GHEA Grapalat" w:hAnsi="GHEA Grapalat" w:cs="Calibri"/>
                <w:sz w:val="18"/>
                <w:szCs w:val="18"/>
              </w:rPr>
            </w:pPr>
            <w:r w:rsidRPr="00B57DAB">
              <w:rPr>
                <w:rFonts w:ascii="GHEA Grapalat" w:hAnsi="GHEA Grapalat" w:cs="Calibri"/>
                <w:sz w:val="18"/>
                <w:szCs w:val="18"/>
              </w:rPr>
              <w:t>Առևտրային բանկեր</w:t>
            </w:r>
          </w:p>
        </w:tc>
        <w:tc>
          <w:tcPr>
            <w:tcW w:w="1559" w:type="dxa"/>
            <w:tcBorders>
              <w:top w:val="single" w:sz="4" w:space="0" w:color="auto"/>
              <w:left w:val="single" w:sz="4" w:space="0" w:color="auto"/>
              <w:bottom w:val="single" w:sz="4" w:space="0" w:color="auto"/>
              <w:right w:val="single" w:sz="4" w:space="0" w:color="auto"/>
            </w:tcBorders>
            <w:vAlign w:val="bottom"/>
            <w:hideMark/>
          </w:tcPr>
          <w:p w:rsidR="007F71BF" w:rsidRPr="00B57DAB" w:rsidRDefault="007F71BF" w:rsidP="00624A5B">
            <w:pPr>
              <w:spacing w:line="256" w:lineRule="auto"/>
              <w:jc w:val="right"/>
              <w:rPr>
                <w:rFonts w:ascii="GHEA Grapalat" w:hAnsi="GHEA Grapalat" w:cs="Calibri"/>
                <w:sz w:val="18"/>
                <w:szCs w:val="18"/>
              </w:rPr>
            </w:pPr>
            <w:r w:rsidRPr="00B57DAB">
              <w:rPr>
                <w:rFonts w:ascii="GHEA Grapalat" w:hAnsi="GHEA Grapalat" w:cs="Calibri"/>
                <w:sz w:val="18"/>
                <w:szCs w:val="18"/>
              </w:rPr>
              <w:t>0.5</w:t>
            </w:r>
          </w:p>
        </w:tc>
        <w:tc>
          <w:tcPr>
            <w:tcW w:w="1559" w:type="dxa"/>
            <w:tcBorders>
              <w:top w:val="nil"/>
              <w:left w:val="single" w:sz="4" w:space="0" w:color="auto"/>
              <w:bottom w:val="single" w:sz="4" w:space="0" w:color="auto"/>
              <w:right w:val="single" w:sz="4" w:space="0" w:color="auto"/>
            </w:tcBorders>
            <w:vAlign w:val="bottom"/>
          </w:tcPr>
          <w:p w:rsidR="007F71BF" w:rsidRPr="00B57DAB" w:rsidRDefault="007F71BF" w:rsidP="00624A5B">
            <w:pPr>
              <w:spacing w:line="256" w:lineRule="auto"/>
              <w:jc w:val="right"/>
              <w:rPr>
                <w:rFonts w:ascii="GHEA Grapalat" w:hAnsi="GHEA Grapalat" w:cs="Calibri"/>
                <w:sz w:val="18"/>
                <w:szCs w:val="18"/>
              </w:rPr>
            </w:pPr>
            <w:r w:rsidRPr="00B57DAB">
              <w:rPr>
                <w:rFonts w:ascii="GHEA Grapalat" w:hAnsi="GHEA Grapalat" w:cs="Calibri"/>
                <w:sz w:val="18"/>
                <w:szCs w:val="18"/>
              </w:rPr>
              <w:t>1.6</w:t>
            </w:r>
          </w:p>
        </w:tc>
        <w:tc>
          <w:tcPr>
            <w:tcW w:w="1559" w:type="dxa"/>
            <w:tcBorders>
              <w:top w:val="nil"/>
              <w:left w:val="single" w:sz="4" w:space="0" w:color="auto"/>
              <w:bottom w:val="single" w:sz="4" w:space="0" w:color="auto"/>
              <w:right w:val="single" w:sz="4" w:space="0" w:color="auto"/>
            </w:tcBorders>
            <w:vAlign w:val="bottom"/>
            <w:hideMark/>
          </w:tcPr>
          <w:p w:rsidR="007F71BF" w:rsidRPr="00B57DAB" w:rsidRDefault="007F71BF" w:rsidP="00624A5B">
            <w:pPr>
              <w:spacing w:line="256" w:lineRule="auto"/>
              <w:jc w:val="right"/>
              <w:rPr>
                <w:rFonts w:ascii="GHEA Grapalat" w:hAnsi="GHEA Grapalat" w:cs="Calibri"/>
                <w:sz w:val="18"/>
                <w:szCs w:val="18"/>
              </w:rPr>
            </w:pPr>
            <w:r w:rsidRPr="00B57DAB">
              <w:rPr>
                <w:rFonts w:ascii="GHEA Grapalat" w:hAnsi="GHEA Grapalat" w:cs="Calibri"/>
                <w:sz w:val="18"/>
                <w:szCs w:val="18"/>
              </w:rPr>
              <w:t>0.4</w:t>
            </w:r>
          </w:p>
        </w:tc>
        <w:tc>
          <w:tcPr>
            <w:tcW w:w="1560" w:type="dxa"/>
            <w:tcBorders>
              <w:top w:val="nil"/>
              <w:left w:val="single" w:sz="4" w:space="0" w:color="auto"/>
              <w:bottom w:val="single" w:sz="4" w:space="0" w:color="auto"/>
              <w:right w:val="single" w:sz="4" w:space="0" w:color="auto"/>
            </w:tcBorders>
            <w:noWrap/>
            <w:vAlign w:val="bottom"/>
            <w:hideMark/>
          </w:tcPr>
          <w:p w:rsidR="007F71BF" w:rsidRPr="00B57DAB" w:rsidRDefault="007F71BF" w:rsidP="00624A5B">
            <w:pPr>
              <w:spacing w:line="256" w:lineRule="auto"/>
              <w:jc w:val="right"/>
              <w:rPr>
                <w:rFonts w:ascii="GHEA Grapalat" w:hAnsi="GHEA Grapalat" w:cs="Calibri"/>
                <w:sz w:val="18"/>
                <w:szCs w:val="18"/>
              </w:rPr>
            </w:pPr>
            <w:r w:rsidRPr="00B57DAB">
              <w:rPr>
                <w:rFonts w:ascii="GHEA Grapalat" w:hAnsi="GHEA Grapalat" w:cs="Calibri"/>
                <w:sz w:val="18"/>
                <w:szCs w:val="18"/>
              </w:rPr>
              <w:t>1.6</w:t>
            </w:r>
          </w:p>
        </w:tc>
      </w:tr>
    </w:tbl>
    <w:p w:rsidR="007F71BF" w:rsidRPr="00B57DAB" w:rsidRDefault="007F71BF" w:rsidP="007F71BF">
      <w:pPr>
        <w:autoSpaceDE w:val="0"/>
        <w:autoSpaceDN w:val="0"/>
        <w:adjustRightInd w:val="0"/>
        <w:spacing w:line="360" w:lineRule="auto"/>
        <w:ind w:firstLine="567"/>
        <w:jc w:val="both"/>
        <w:rPr>
          <w:rFonts w:ascii="GHEA Grapalat" w:hAnsi="GHEA Grapalat"/>
          <w:sz w:val="22"/>
          <w:szCs w:val="22"/>
        </w:rPr>
      </w:pPr>
    </w:p>
    <w:p w:rsidR="007F71BF" w:rsidRPr="00B57DAB" w:rsidRDefault="00624A5B" w:rsidP="007F71BF">
      <w:pPr>
        <w:autoSpaceDE w:val="0"/>
        <w:autoSpaceDN w:val="0"/>
        <w:adjustRightInd w:val="0"/>
        <w:spacing w:line="360" w:lineRule="auto"/>
        <w:ind w:firstLine="567"/>
        <w:jc w:val="both"/>
        <w:rPr>
          <w:rFonts w:ascii="GHEA Grapalat" w:hAnsi="GHEA Grapalat"/>
          <w:sz w:val="22"/>
          <w:szCs w:val="22"/>
          <w:lang w:val="nb-NO"/>
        </w:rPr>
      </w:pPr>
      <w:r w:rsidRPr="00B57DAB">
        <w:rPr>
          <w:rFonts w:ascii="GHEA Grapalat" w:hAnsi="GHEA Grapalat"/>
          <w:sz w:val="22"/>
          <w:szCs w:val="22"/>
          <w:lang w:val="nb-NO"/>
        </w:rPr>
        <w:t>2022 թվականի առաջին եռամսյակի</w:t>
      </w:r>
      <w:r w:rsidR="007F71BF" w:rsidRPr="00B57DAB">
        <w:rPr>
          <w:rFonts w:ascii="GHEA Grapalat" w:hAnsi="GHEA Grapalat"/>
          <w:sz w:val="22"/>
          <w:szCs w:val="22"/>
          <w:lang w:val="nb-NO"/>
        </w:rPr>
        <w:t xml:space="preserve"> ընթացքում վարկերի մարմանն ուղղվել է 25.5</w:t>
      </w:r>
      <w:r w:rsidR="007F71BF" w:rsidRPr="00B57DAB">
        <w:rPr>
          <w:rFonts w:ascii="Courier New" w:hAnsi="Courier New" w:cs="Courier New"/>
          <w:sz w:val="22"/>
          <w:szCs w:val="22"/>
          <w:lang w:val="nb-NO"/>
        </w:rPr>
        <w:t> </w:t>
      </w:r>
      <w:r w:rsidR="007F71BF" w:rsidRPr="00B57DAB">
        <w:rPr>
          <w:rFonts w:ascii="GHEA Grapalat" w:hAnsi="GHEA Grapalat" w:cs="GHEA Grapalat"/>
          <w:sz w:val="22"/>
          <w:szCs w:val="22"/>
          <w:lang w:val="nb-NO"/>
        </w:rPr>
        <w:t>մլրդ</w:t>
      </w:r>
      <w:r w:rsidR="007F71BF" w:rsidRPr="00B57DAB">
        <w:rPr>
          <w:rFonts w:ascii="GHEA Grapalat" w:hAnsi="GHEA Grapalat"/>
          <w:sz w:val="22"/>
          <w:szCs w:val="22"/>
          <w:lang w:val="nb-NO"/>
        </w:rPr>
        <w:t xml:space="preserve"> դրամ՝ կազմելով ծրագրի 93.7%-ը: Շեղումը պայմանավորված է հետևյալ գործոններով.</w:t>
      </w:r>
    </w:p>
    <w:p w:rsidR="007F71BF" w:rsidRPr="00B57DAB" w:rsidRDefault="007F71BF" w:rsidP="00770F24">
      <w:pPr>
        <w:numPr>
          <w:ilvl w:val="0"/>
          <w:numId w:val="13"/>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B57DAB">
        <w:rPr>
          <w:rFonts w:ascii="GHEA Grapalat" w:hAnsi="GHEA Grapalat" w:cs="GHEA Grapalat"/>
          <w:sz w:val="22"/>
          <w:szCs w:val="22"/>
        </w:rPr>
        <w:t>2021 թվականին ու 2022 թվականի առաջին եռամսյակի ընթացքում արտաքին վարկերի գծով ստացումների պլանի թերակատարումն ըստ առանձին վարկային ծրագրերի: Մասնավորապես մեծ ազդեցություն է թողել Գերմանիայի KfW «Ախուրյան գետի ջրային ռեսուրսների ինտեգրված կառավարման ծրագիր, I փուլ» վարկի գծով մասհանման պլանի թերակատարումը, ինչով պայմանավորված</w:t>
      </w:r>
      <w:r w:rsidR="00624A5B" w:rsidRPr="00B57DAB">
        <w:rPr>
          <w:rFonts w:ascii="GHEA Grapalat" w:hAnsi="GHEA Grapalat" w:cs="GHEA Grapalat"/>
          <w:sz w:val="22"/>
          <w:szCs w:val="22"/>
        </w:rPr>
        <w:t>՝</w:t>
      </w:r>
      <w:r w:rsidRPr="00B57DAB">
        <w:rPr>
          <w:rFonts w:ascii="GHEA Grapalat" w:hAnsi="GHEA Grapalat" w:cs="GHEA Grapalat"/>
          <w:sz w:val="22"/>
          <w:szCs w:val="22"/>
        </w:rPr>
        <w:t xml:space="preserve"> պլանավորված 996.4 մլն դրամ մարման փոխարեն փաստացի մարվել է վարկի գծով պարտքի մնացորդը՝ 37,626.0 եվրո (20,379.0 հազար դրամ),</w:t>
      </w:r>
    </w:p>
    <w:p w:rsidR="007F71BF" w:rsidRPr="00B57DAB" w:rsidRDefault="007F71BF" w:rsidP="00770F24">
      <w:pPr>
        <w:numPr>
          <w:ilvl w:val="0"/>
          <w:numId w:val="13"/>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B57DAB">
        <w:rPr>
          <w:rFonts w:ascii="GHEA Grapalat" w:hAnsi="GHEA Grapalat" w:cs="GHEA Grapalat"/>
          <w:sz w:val="22"/>
          <w:szCs w:val="22"/>
        </w:rPr>
        <w:t>ԱՄՆ դոլարի նկատմամբ SDR-ի կանխատեսումային և փաստացի ձևավորված փոխարժեք</w:t>
      </w:r>
      <w:r w:rsidR="00624A5B" w:rsidRPr="00B57DAB">
        <w:rPr>
          <w:rFonts w:ascii="GHEA Grapalat" w:hAnsi="GHEA Grapalat" w:cs="GHEA Grapalat"/>
          <w:sz w:val="22"/>
          <w:szCs w:val="22"/>
        </w:rPr>
        <w:t>ներ</w:t>
      </w:r>
      <w:r w:rsidRPr="00B57DAB">
        <w:rPr>
          <w:rFonts w:ascii="GHEA Grapalat" w:hAnsi="GHEA Grapalat" w:cs="GHEA Grapalat"/>
          <w:sz w:val="22"/>
          <w:szCs w:val="22"/>
        </w:rPr>
        <w:t>ի տարբերությունը,</w:t>
      </w:r>
    </w:p>
    <w:p w:rsidR="007F71BF" w:rsidRPr="00B57DAB" w:rsidRDefault="007F71BF" w:rsidP="00770F24">
      <w:pPr>
        <w:numPr>
          <w:ilvl w:val="0"/>
          <w:numId w:val="13"/>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B57DAB">
        <w:rPr>
          <w:rFonts w:ascii="GHEA Grapalat" w:hAnsi="GHEA Grapalat" w:cs="GHEA Grapalat"/>
          <w:sz w:val="22"/>
          <w:szCs w:val="22"/>
        </w:rPr>
        <w:t>արտարժույթների նկատմամբ ՀՀ դրամի կանխատեսումային և փաստացի վճարումների համար կիրառված</w:t>
      </w:r>
      <w:r w:rsidR="004B7FB8" w:rsidRPr="00B57DAB">
        <w:rPr>
          <w:rFonts w:ascii="GHEA Grapalat" w:hAnsi="GHEA Grapalat" w:cs="GHEA Grapalat"/>
          <w:sz w:val="22"/>
          <w:szCs w:val="22"/>
        </w:rPr>
        <w:t xml:space="preserve"> </w:t>
      </w:r>
      <w:r w:rsidRPr="00B57DAB">
        <w:rPr>
          <w:rFonts w:ascii="GHEA Grapalat" w:hAnsi="GHEA Grapalat" w:cs="GHEA Grapalat"/>
          <w:sz w:val="22"/>
          <w:szCs w:val="22"/>
        </w:rPr>
        <w:t>փոխարժեքների տարբերությունը: Այսպես՝ կառավարության արտարժութային պարտքի մարման գծով վճարումների համար 2022</w:t>
      </w:r>
      <w:r w:rsidR="00624A5B" w:rsidRPr="00B57DAB">
        <w:rPr>
          <w:rFonts w:ascii="GHEA Grapalat" w:hAnsi="GHEA Grapalat" w:cs="GHEA Grapalat"/>
          <w:sz w:val="22"/>
          <w:szCs w:val="22"/>
        </w:rPr>
        <w:t xml:space="preserve"> </w:t>
      </w:r>
      <w:r w:rsidRPr="00B57DAB">
        <w:rPr>
          <w:rFonts w:ascii="GHEA Grapalat" w:hAnsi="GHEA Grapalat" w:cs="GHEA Grapalat"/>
          <w:sz w:val="22"/>
          <w:szCs w:val="22"/>
        </w:rPr>
        <w:t>թ</w:t>
      </w:r>
      <w:r w:rsidR="00624A5B" w:rsidRPr="00B57DAB">
        <w:rPr>
          <w:rFonts w:ascii="GHEA Grapalat" w:hAnsi="GHEA Grapalat" w:cs="GHEA Grapalat"/>
          <w:sz w:val="22"/>
          <w:szCs w:val="22"/>
        </w:rPr>
        <w:t>վականի</w:t>
      </w:r>
      <w:r w:rsidRPr="00B57DAB">
        <w:rPr>
          <w:rFonts w:ascii="GHEA Grapalat" w:hAnsi="GHEA Grapalat" w:cs="GHEA Grapalat"/>
          <w:sz w:val="22"/>
          <w:szCs w:val="22"/>
        </w:rPr>
        <w:t xml:space="preserve"> առաջին եռամսյակի ընթացքում կիրառված ԱՄՆ դոլար / ՀՀ դրամ միջին կշռված փաստացի փոխարժեքը կազմել է 486.05, մինչդեռ</w:t>
      </w:r>
      <w:r w:rsidR="00B56CF8" w:rsidRPr="00B57DAB">
        <w:rPr>
          <w:rFonts w:ascii="GHEA Grapalat" w:hAnsi="GHEA Grapalat" w:cs="GHEA Grapalat"/>
          <w:sz w:val="22"/>
          <w:szCs w:val="22"/>
        </w:rPr>
        <w:t xml:space="preserve"> </w:t>
      </w:r>
      <w:r w:rsidRPr="00B57DAB">
        <w:rPr>
          <w:rFonts w:ascii="GHEA Grapalat" w:hAnsi="GHEA Grapalat" w:cs="GHEA Grapalat"/>
          <w:sz w:val="22"/>
          <w:szCs w:val="22"/>
        </w:rPr>
        <w:t>պետական բյուջեի ծրագրավորման ընթացքում</w:t>
      </w:r>
      <w:r w:rsidR="004B7FB8" w:rsidRPr="00B57DAB">
        <w:rPr>
          <w:rFonts w:ascii="GHEA Grapalat" w:hAnsi="GHEA Grapalat" w:cs="GHEA Grapalat"/>
          <w:sz w:val="22"/>
          <w:szCs w:val="22"/>
        </w:rPr>
        <w:t xml:space="preserve"> </w:t>
      </w:r>
      <w:r w:rsidRPr="00B57DAB">
        <w:rPr>
          <w:rFonts w:ascii="GHEA Grapalat" w:hAnsi="GHEA Grapalat" w:cs="GHEA Grapalat"/>
          <w:sz w:val="22"/>
          <w:szCs w:val="22"/>
        </w:rPr>
        <w:t>արտարժութային մուտքերի և ելքերի փոխարկման համար կիրառվել է 477.45 փոխարժեքը (01.11.2021թ. դրությամբ ՀՀ կենտրոնական բանկի կողմից հրապարակված միջին փոխարժեք):</w:t>
      </w:r>
      <w:r w:rsidR="004B7FB8" w:rsidRPr="00B57DAB">
        <w:rPr>
          <w:rFonts w:ascii="GHEA Grapalat" w:hAnsi="GHEA Grapalat" w:cs="GHEA Grapalat"/>
          <w:sz w:val="22"/>
          <w:szCs w:val="22"/>
        </w:rPr>
        <w:t xml:space="preserve"> </w:t>
      </w:r>
    </w:p>
    <w:p w:rsidR="007F71BF" w:rsidRPr="00B57DAB" w:rsidRDefault="007F71BF" w:rsidP="007F71BF">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Նախորդ տա</w:t>
      </w:r>
      <w:r w:rsidRPr="00B57DAB">
        <w:rPr>
          <w:rFonts w:ascii="GHEA Grapalat" w:hAnsi="GHEA Grapalat"/>
          <w:sz w:val="22"/>
          <w:szCs w:val="22"/>
        </w:rPr>
        <w:t xml:space="preserve">րվա </w:t>
      </w:r>
      <w:r w:rsidR="00624A5B" w:rsidRPr="00B57DAB">
        <w:rPr>
          <w:rFonts w:ascii="GHEA Grapalat" w:hAnsi="GHEA Grapalat"/>
          <w:sz w:val="22"/>
          <w:szCs w:val="22"/>
        </w:rPr>
        <w:t xml:space="preserve">առաջին եռամսյակի </w:t>
      </w:r>
      <w:r w:rsidRPr="00B57DAB">
        <w:rPr>
          <w:rFonts w:ascii="GHEA Grapalat" w:hAnsi="GHEA Grapalat" w:cs="GHEA Grapalat"/>
          <w:sz w:val="22"/>
          <w:szCs w:val="22"/>
        </w:rPr>
        <w:t xml:space="preserve">համեմատ ստացված արտաքին վարկերի և փոխատվությունների մարմանն ուղղված փաստացի վճարումները նվազել են 12.8%-ով կամ 3.7 մլրդ դրամով, որը հիմնականում պայմանավորված է եղել ԱՄՀ-ի Extended Credit Facility վարկի առաջին եռամսյակում մարվող մասնաբաժնի ամբողջական մարմամբ 2021 թվականին, ինչպես նաև արտարժույթների նկատմամբ ՀՀ դրամի փոխարժեքների փոփոխությամբ: 2021 թվականի առաջին եռամսյակի ընթացքում կիրառված ԱՄՆ դոլար / ՀՀ դրամ միջին կշռված փաստացի փոխարժեքը կազմել էր 527.57՝ 2022 թվականի առաջին եռամսյակի 486.05 փոխարժեքի դիմաց: </w:t>
      </w:r>
    </w:p>
    <w:p w:rsidR="007F71BF" w:rsidRPr="00B57DAB" w:rsidRDefault="007F71BF" w:rsidP="007F71BF">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lastRenderedPageBreak/>
        <w:t xml:space="preserve">Կատարված մարումների 88.9%-ը բաժին է ընկնում թվով 5 վարկատուների՝ Ռուսաստանի Դաշնություն (34.6%), Զարգացման Միջազգային Ընկերակցություն (25.6%), Ասիական Զարգացման Բանկը (13.8%), Ճապոնիա (9.3%) և Վերակառուցման և Զարգացման Միջազգային Բանկ (5.5%): </w:t>
      </w:r>
    </w:p>
    <w:p w:rsidR="007F71BF" w:rsidRPr="00B57DAB" w:rsidRDefault="007F71BF" w:rsidP="007F71BF">
      <w:pPr>
        <w:autoSpaceDE w:val="0"/>
        <w:autoSpaceDN w:val="0"/>
        <w:adjustRightInd w:val="0"/>
        <w:spacing w:line="360" w:lineRule="auto"/>
        <w:ind w:firstLine="567"/>
        <w:jc w:val="both"/>
        <w:rPr>
          <w:rFonts w:ascii="GHEA Grapalat" w:hAnsi="GHEA Grapalat" w:cs="GHEA Grapalat"/>
          <w:sz w:val="22"/>
          <w:szCs w:val="22"/>
        </w:rPr>
      </w:pPr>
      <w:r w:rsidRPr="00B57DAB">
        <w:rPr>
          <w:rFonts w:ascii="GHEA Grapalat" w:hAnsi="GHEA Grapalat" w:cs="GHEA Grapalat"/>
          <w:sz w:val="22"/>
          <w:szCs w:val="22"/>
        </w:rPr>
        <w:t xml:space="preserve">Կատարված մարումների կառուցվածքում լողացող տոկոսադրույքով վարկերի գծով վճարումների տեսակարար կշիռը կազմել է 5.7%, ֆիքսված տոկոսադրույքով վարկերի գծով վճարումների տեսակարար կշիռը՝ 94.3%: </w:t>
      </w:r>
    </w:p>
    <w:p w:rsidR="007F71BF" w:rsidRPr="00B57DAB" w:rsidRDefault="007F71BF" w:rsidP="007F71BF">
      <w:pPr>
        <w:autoSpaceDE w:val="0"/>
        <w:autoSpaceDN w:val="0"/>
        <w:adjustRightInd w:val="0"/>
        <w:spacing w:line="360" w:lineRule="auto"/>
        <w:ind w:firstLine="567"/>
        <w:jc w:val="both"/>
        <w:rPr>
          <w:rFonts w:ascii="GHEA Grapalat" w:hAnsi="GHEA Grapalat"/>
          <w:sz w:val="22"/>
          <w:szCs w:val="22"/>
        </w:rPr>
      </w:pPr>
      <w:r w:rsidRPr="00B57DAB">
        <w:rPr>
          <w:rFonts w:ascii="GHEA Grapalat" w:hAnsi="GHEA Grapalat"/>
          <w:sz w:val="22"/>
          <w:szCs w:val="22"/>
        </w:rPr>
        <w:t xml:space="preserve">Արտաքին ֆինանսական զուտ ակտիվների հաշվին պետական բյուջեի ֆինանսավորումը հաշվետու ժամանակահատվածում կազմել է </w:t>
      </w:r>
      <w:r w:rsidRPr="00B57DAB">
        <w:rPr>
          <w:rFonts w:ascii="GHEA Grapalat" w:hAnsi="GHEA Grapalat"/>
          <w:sz w:val="22"/>
          <w:szCs w:val="22"/>
        </w:rPr>
        <w:noBreakHyphen/>
        <w:t>37.8 մլրդ դրամ` 97.</w:t>
      </w:r>
      <w:r w:rsidR="00624A5B" w:rsidRPr="00B57DAB">
        <w:rPr>
          <w:rFonts w:ascii="GHEA Grapalat" w:hAnsi="GHEA Grapalat"/>
          <w:sz w:val="22"/>
          <w:szCs w:val="22"/>
        </w:rPr>
        <w:t>7</w:t>
      </w:r>
      <w:r w:rsidRPr="00B57DAB">
        <w:rPr>
          <w:rFonts w:ascii="GHEA Grapalat" w:hAnsi="GHEA Grapalat"/>
          <w:sz w:val="22"/>
          <w:szCs w:val="22"/>
        </w:rPr>
        <w:t>%-ով ապահովելով նախատեսված ցուցանիշը: Շեղումը հիմնականում պայմանավորված է արտաքին աղբյուրներից ստացված վարկային և դրամաշնորհային միջոցների մնացորդից 691.4 մլրդ դրամ օգտագործմամբ, որը հաշվետու ժամանակահատվածում նախատեսված չէր: Վրաստանի կողմից ՀՀ նկատմամբ ունեցած վարկային պարտավորությունների մարումը կազմել է 196.9 մլն դրամ կամ ծրագրային ցուցանիշի 100.5%-ը՝ պայմանավորված ԱՄՆ դոլարի նկատմամբ ՀՀ դրամի կանխատեսումային և փաստացի ձևավորված փոխարժեքների տարբերությամբ: Բաժնետոմսերի և կապիտալում այլ մասնակցության ձեռքբերման համար</w:t>
      </w:r>
      <w:r w:rsidR="00C766C5" w:rsidRPr="00B57DAB">
        <w:rPr>
          <w:rFonts w:ascii="GHEA Grapalat" w:hAnsi="GHEA Grapalat"/>
          <w:sz w:val="22"/>
          <w:szCs w:val="22"/>
        </w:rPr>
        <w:t>, որը նախատեսված է Տնտեսական երկարաժամկետ զարգացմանն ուղղված երկրորդ միջոցառման շրջանակներում,</w:t>
      </w:r>
      <w:r w:rsidRPr="00B57DAB">
        <w:rPr>
          <w:rFonts w:ascii="GHEA Grapalat" w:hAnsi="GHEA Grapalat"/>
          <w:sz w:val="22"/>
          <w:szCs w:val="22"/>
        </w:rPr>
        <w:t xml:space="preserve"> տրամադրվել է 56.8 մլն դրամ՝ նախատեսված 242.5 մլն դրամի դիմաց: Շեղումը պայմանավորված է նրանով, որ ներդրող ընկերություններից մեկի հետ երկարատև քննարկումների հետևանքով պայման</w:t>
      </w:r>
      <w:r w:rsidR="0045560F" w:rsidRPr="00B57DAB">
        <w:rPr>
          <w:rFonts w:ascii="GHEA Grapalat" w:hAnsi="GHEA Grapalat"/>
          <w:sz w:val="22"/>
          <w:szCs w:val="22"/>
        </w:rPr>
        <w:t>ա</w:t>
      </w:r>
      <w:r w:rsidRPr="00B57DAB">
        <w:rPr>
          <w:rFonts w:ascii="GHEA Grapalat" w:hAnsi="GHEA Grapalat"/>
          <w:sz w:val="22"/>
          <w:szCs w:val="22"/>
        </w:rPr>
        <w:t>գրի կնքումը հետաձգվել է և տեղափոխվել հաջորդ եռամսյակ:</w:t>
      </w:r>
    </w:p>
    <w:p w:rsidR="007F71BF" w:rsidRPr="00B57DAB" w:rsidRDefault="007F71BF" w:rsidP="007F71BF">
      <w:pPr>
        <w:autoSpaceDE w:val="0"/>
        <w:autoSpaceDN w:val="0"/>
        <w:adjustRightInd w:val="0"/>
        <w:spacing w:line="360" w:lineRule="auto"/>
        <w:ind w:firstLine="567"/>
        <w:jc w:val="both"/>
        <w:rPr>
          <w:rFonts w:ascii="GHEA Grapalat" w:hAnsi="GHEA Grapalat"/>
          <w:sz w:val="22"/>
          <w:szCs w:val="22"/>
        </w:rPr>
      </w:pPr>
    </w:p>
    <w:p w:rsidR="007F71BF" w:rsidRPr="00B57DAB" w:rsidRDefault="007F71BF" w:rsidP="00770F24">
      <w:pPr>
        <w:pStyle w:val="Caption"/>
        <w:keepNext/>
        <w:numPr>
          <w:ilvl w:val="0"/>
          <w:numId w:val="8"/>
        </w:numPr>
        <w:tabs>
          <w:tab w:val="left" w:pos="1276"/>
        </w:tabs>
        <w:ind w:left="0" w:firstLine="0"/>
        <w:jc w:val="left"/>
        <w:rPr>
          <w:rFonts w:ascii="GHEA Grapalat" w:hAnsi="GHEA Grapalat"/>
          <w:i/>
          <w:sz w:val="18"/>
          <w:szCs w:val="18"/>
          <w:lang w:val="en-US"/>
        </w:rPr>
      </w:pPr>
      <w:r w:rsidRPr="00B57DAB">
        <w:rPr>
          <w:rFonts w:ascii="GHEA Grapalat" w:hAnsi="GHEA Grapalat"/>
          <w:i/>
          <w:sz w:val="18"/>
          <w:szCs w:val="18"/>
          <w:lang w:val="en-US"/>
        </w:rPr>
        <w:t xml:space="preserve"> ՀՀ պետական բյուջեի պակասուրդի արտաքին ֆինանսական զուտ ակտիվները (մլրդ դրամ)</w:t>
      </w:r>
    </w:p>
    <w:tbl>
      <w:tblPr>
        <w:tblW w:w="10350" w:type="dxa"/>
        <w:tblLayout w:type="fixed"/>
        <w:tblLook w:val="04A0" w:firstRow="1" w:lastRow="0" w:firstColumn="1" w:lastColumn="0" w:noHBand="0" w:noVBand="1"/>
      </w:tblPr>
      <w:tblGrid>
        <w:gridCol w:w="4219"/>
        <w:gridCol w:w="1134"/>
        <w:gridCol w:w="1134"/>
        <w:gridCol w:w="1134"/>
        <w:gridCol w:w="1418"/>
        <w:gridCol w:w="1311"/>
      </w:tblGrid>
      <w:tr w:rsidR="007F71BF" w:rsidRPr="00B57DAB" w:rsidTr="00F7377C">
        <w:trPr>
          <w:trHeight w:val="855"/>
        </w:trPr>
        <w:tc>
          <w:tcPr>
            <w:tcW w:w="4219" w:type="dxa"/>
            <w:tcBorders>
              <w:top w:val="single" w:sz="4" w:space="0" w:color="auto"/>
              <w:left w:val="single" w:sz="4" w:space="0" w:color="auto"/>
              <w:bottom w:val="single" w:sz="4" w:space="0" w:color="auto"/>
              <w:right w:val="single" w:sz="4" w:space="0" w:color="auto"/>
            </w:tcBorders>
            <w:noWrap/>
            <w:vAlign w:val="bottom"/>
            <w:hideMark/>
          </w:tcPr>
          <w:p w:rsidR="007F71BF" w:rsidRPr="00B57DAB" w:rsidRDefault="007F71BF" w:rsidP="00F7377C">
            <w:pPr>
              <w:spacing w:line="256" w:lineRule="auto"/>
              <w:rPr>
                <w:rFonts w:ascii="GHEA Grapalat" w:hAnsi="GHEA Grapalat" w:cs="Calibri"/>
                <w:sz w:val="18"/>
                <w:szCs w:val="18"/>
              </w:rPr>
            </w:pPr>
            <w:r w:rsidRPr="00B57DAB">
              <w:rPr>
                <w:rFonts w:ascii="Courier New" w:hAnsi="Courier New" w:cs="Courier New"/>
                <w:sz w:val="18"/>
                <w:szCs w:val="18"/>
              </w:rPr>
              <w:t> </w:t>
            </w:r>
          </w:p>
        </w:tc>
        <w:tc>
          <w:tcPr>
            <w:tcW w:w="1134" w:type="dxa"/>
            <w:tcBorders>
              <w:top w:val="single" w:sz="4" w:space="0" w:color="auto"/>
              <w:left w:val="nil"/>
              <w:bottom w:val="single" w:sz="4" w:space="0" w:color="auto"/>
              <w:right w:val="single" w:sz="4" w:space="0" w:color="auto"/>
            </w:tcBorders>
            <w:vAlign w:val="center"/>
            <w:hideMark/>
          </w:tcPr>
          <w:p w:rsidR="007F71BF" w:rsidRPr="00B57DAB" w:rsidRDefault="007F71BF" w:rsidP="00F7377C">
            <w:pPr>
              <w:jc w:val="center"/>
              <w:rPr>
                <w:rFonts w:ascii="GHEA Grapalat" w:hAnsi="GHEA Grapalat" w:cs="Calibri"/>
                <w:b/>
                <w:bCs/>
                <w:color w:val="000000"/>
                <w:sz w:val="18"/>
                <w:szCs w:val="18"/>
              </w:rPr>
            </w:pPr>
            <w:r w:rsidRPr="00B57DAB">
              <w:rPr>
                <w:rFonts w:ascii="GHEA Grapalat" w:hAnsi="GHEA Grapalat" w:cs="Calibri"/>
                <w:b/>
                <w:bCs/>
                <w:color w:val="000000"/>
                <w:sz w:val="18"/>
                <w:szCs w:val="18"/>
              </w:rPr>
              <w:t>2021թ. առաջին եռամս</w:t>
            </w:r>
            <w:r w:rsidR="00C766C5" w:rsidRPr="00B57DAB">
              <w:rPr>
                <w:rFonts w:ascii="GHEA Grapalat" w:hAnsi="GHEA Grapalat" w:cs="Calibri"/>
                <w:b/>
                <w:bCs/>
                <w:color w:val="000000"/>
                <w:sz w:val="18"/>
                <w:szCs w:val="18"/>
              </w:rPr>
              <w:t>-</w:t>
            </w:r>
            <w:r w:rsidRPr="00B57DAB">
              <w:rPr>
                <w:rFonts w:ascii="GHEA Grapalat" w:hAnsi="GHEA Grapalat" w:cs="Calibri"/>
                <w:b/>
                <w:bCs/>
                <w:color w:val="000000"/>
                <w:sz w:val="18"/>
                <w:szCs w:val="18"/>
              </w:rPr>
              <w:t>յակի փաստ</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F71BF" w:rsidRPr="00B57DAB" w:rsidRDefault="007F71BF" w:rsidP="00F7377C">
            <w:pPr>
              <w:jc w:val="center"/>
              <w:rPr>
                <w:rFonts w:ascii="GHEA Grapalat" w:hAnsi="GHEA Grapalat" w:cs="Calibri"/>
                <w:b/>
                <w:bCs/>
                <w:color w:val="000000"/>
                <w:sz w:val="18"/>
                <w:szCs w:val="18"/>
              </w:rPr>
            </w:pPr>
            <w:r w:rsidRPr="00B57DAB">
              <w:rPr>
                <w:rFonts w:ascii="GHEA Grapalat" w:hAnsi="GHEA Grapalat" w:cs="Calibri"/>
                <w:b/>
                <w:bCs/>
                <w:color w:val="000000"/>
                <w:sz w:val="18"/>
                <w:szCs w:val="18"/>
              </w:rPr>
              <w:t>2022թ. առաջին եռամս</w:t>
            </w:r>
            <w:r w:rsidR="00C766C5" w:rsidRPr="00B57DAB">
              <w:rPr>
                <w:rFonts w:ascii="GHEA Grapalat" w:hAnsi="GHEA Grapalat" w:cs="Calibri"/>
                <w:b/>
                <w:bCs/>
                <w:color w:val="000000"/>
                <w:sz w:val="18"/>
                <w:szCs w:val="18"/>
              </w:rPr>
              <w:t>-</w:t>
            </w:r>
            <w:r w:rsidRPr="00B57DAB">
              <w:rPr>
                <w:rFonts w:ascii="GHEA Grapalat" w:hAnsi="GHEA Grapalat" w:cs="Calibri"/>
                <w:b/>
                <w:bCs/>
                <w:color w:val="000000"/>
                <w:sz w:val="18"/>
                <w:szCs w:val="18"/>
              </w:rPr>
              <w:t>յակի ճշտված պլան</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7F71BF" w:rsidRPr="00B57DAB" w:rsidRDefault="007F71BF" w:rsidP="00F7377C">
            <w:pPr>
              <w:jc w:val="center"/>
              <w:rPr>
                <w:rFonts w:ascii="GHEA Grapalat" w:hAnsi="GHEA Grapalat" w:cs="Calibri"/>
                <w:b/>
                <w:bCs/>
                <w:color w:val="000000"/>
                <w:sz w:val="18"/>
                <w:szCs w:val="18"/>
              </w:rPr>
            </w:pPr>
            <w:r w:rsidRPr="00B57DAB">
              <w:rPr>
                <w:rFonts w:ascii="GHEA Grapalat" w:hAnsi="GHEA Grapalat" w:cs="Calibri"/>
                <w:b/>
                <w:bCs/>
                <w:color w:val="000000"/>
                <w:sz w:val="18"/>
                <w:szCs w:val="18"/>
              </w:rPr>
              <w:t>2022թ. առաջին եռամս</w:t>
            </w:r>
            <w:r w:rsidR="00C766C5" w:rsidRPr="00B57DAB">
              <w:rPr>
                <w:rFonts w:ascii="GHEA Grapalat" w:hAnsi="GHEA Grapalat" w:cs="Calibri"/>
                <w:b/>
                <w:bCs/>
                <w:color w:val="000000"/>
                <w:sz w:val="18"/>
                <w:szCs w:val="18"/>
              </w:rPr>
              <w:t>-</w:t>
            </w:r>
            <w:r w:rsidRPr="00B57DAB">
              <w:rPr>
                <w:rFonts w:ascii="GHEA Grapalat" w:hAnsi="GHEA Grapalat" w:cs="Calibri"/>
                <w:b/>
                <w:bCs/>
                <w:color w:val="000000"/>
                <w:sz w:val="18"/>
                <w:szCs w:val="18"/>
              </w:rPr>
              <w:t>յակի փաստ</w:t>
            </w:r>
          </w:p>
        </w:tc>
        <w:tc>
          <w:tcPr>
            <w:tcW w:w="1418" w:type="dxa"/>
            <w:tcBorders>
              <w:top w:val="single" w:sz="4" w:space="0" w:color="auto"/>
              <w:left w:val="nil"/>
              <w:bottom w:val="single" w:sz="4" w:space="0" w:color="auto"/>
              <w:right w:val="single" w:sz="4" w:space="0" w:color="auto"/>
            </w:tcBorders>
            <w:shd w:val="clear" w:color="auto" w:fill="FFFFFF"/>
            <w:vAlign w:val="center"/>
            <w:hideMark/>
          </w:tcPr>
          <w:p w:rsidR="007F71BF" w:rsidRPr="00B57DAB" w:rsidRDefault="007F71BF" w:rsidP="00F7377C">
            <w:pPr>
              <w:jc w:val="center"/>
              <w:rPr>
                <w:rFonts w:ascii="GHEA Grapalat" w:hAnsi="GHEA Grapalat" w:cs="Calibri"/>
                <w:b/>
                <w:bCs/>
                <w:sz w:val="18"/>
                <w:szCs w:val="18"/>
              </w:rPr>
            </w:pPr>
            <w:r w:rsidRPr="00B57DAB">
              <w:rPr>
                <w:rFonts w:ascii="GHEA Grapalat" w:hAnsi="GHEA Grapalat" w:cs="Calibri"/>
                <w:b/>
                <w:bCs/>
                <w:sz w:val="18"/>
                <w:szCs w:val="18"/>
              </w:rPr>
              <w:t>Կատարո-ղականն առաջին եռամսյակի ճշտված պլանի նկատմամբ (%)</w:t>
            </w:r>
          </w:p>
        </w:tc>
        <w:tc>
          <w:tcPr>
            <w:tcW w:w="1311" w:type="dxa"/>
            <w:tcBorders>
              <w:top w:val="single" w:sz="4" w:space="0" w:color="auto"/>
              <w:left w:val="nil"/>
              <w:bottom w:val="single" w:sz="4" w:space="0" w:color="auto"/>
              <w:right w:val="single" w:sz="4" w:space="0" w:color="auto"/>
            </w:tcBorders>
            <w:shd w:val="clear" w:color="auto" w:fill="FFFFFF"/>
            <w:vAlign w:val="center"/>
            <w:hideMark/>
          </w:tcPr>
          <w:p w:rsidR="007F71BF" w:rsidRPr="00B57DAB" w:rsidRDefault="007F71BF" w:rsidP="00F7377C">
            <w:pPr>
              <w:jc w:val="center"/>
              <w:rPr>
                <w:rFonts w:ascii="GHEA Grapalat" w:hAnsi="GHEA Grapalat" w:cs="Calibri"/>
                <w:b/>
                <w:bCs/>
                <w:sz w:val="18"/>
                <w:szCs w:val="18"/>
              </w:rPr>
            </w:pPr>
            <w:r w:rsidRPr="00B57DAB">
              <w:rPr>
                <w:rFonts w:ascii="GHEA Grapalat" w:hAnsi="GHEA Grapalat" w:cs="Calibri"/>
                <w:b/>
                <w:bCs/>
                <w:sz w:val="18"/>
                <w:szCs w:val="18"/>
              </w:rPr>
              <w:t xml:space="preserve">2022թ. առաջին եռամսյակը 2021թ. </w:t>
            </w:r>
            <w:proofErr w:type="gramStart"/>
            <w:r w:rsidRPr="00B57DAB">
              <w:rPr>
                <w:rFonts w:ascii="GHEA Grapalat" w:hAnsi="GHEA Grapalat" w:cs="Calibri"/>
                <w:b/>
                <w:bCs/>
                <w:sz w:val="18"/>
                <w:szCs w:val="18"/>
              </w:rPr>
              <w:t>առաջին</w:t>
            </w:r>
            <w:proofErr w:type="gramEnd"/>
            <w:r w:rsidRPr="00B57DAB">
              <w:rPr>
                <w:rFonts w:ascii="GHEA Grapalat" w:hAnsi="GHEA Grapalat" w:cs="Calibri"/>
                <w:b/>
                <w:bCs/>
                <w:sz w:val="18"/>
                <w:szCs w:val="18"/>
              </w:rPr>
              <w:t xml:space="preserve"> եռամսյակի նկատմամբ (%)</w:t>
            </w:r>
          </w:p>
        </w:tc>
      </w:tr>
      <w:tr w:rsidR="007F71BF" w:rsidRPr="00B57DAB" w:rsidTr="00C766C5">
        <w:trPr>
          <w:trHeight w:val="377"/>
        </w:trPr>
        <w:tc>
          <w:tcPr>
            <w:tcW w:w="4219" w:type="dxa"/>
            <w:tcBorders>
              <w:top w:val="nil"/>
              <w:left w:val="single" w:sz="4" w:space="0" w:color="auto"/>
              <w:bottom w:val="single" w:sz="4" w:space="0" w:color="auto"/>
              <w:right w:val="single" w:sz="4" w:space="0" w:color="auto"/>
            </w:tcBorders>
            <w:vAlign w:val="bottom"/>
            <w:hideMark/>
          </w:tcPr>
          <w:p w:rsidR="007F71BF" w:rsidRPr="00B57DAB" w:rsidRDefault="007F71BF" w:rsidP="00C766C5">
            <w:pPr>
              <w:spacing w:line="256" w:lineRule="auto"/>
              <w:rPr>
                <w:rFonts w:ascii="GHEA Grapalat" w:hAnsi="GHEA Grapalat" w:cs="Calibri"/>
                <w:b/>
                <w:bCs/>
                <w:sz w:val="18"/>
                <w:szCs w:val="18"/>
              </w:rPr>
            </w:pPr>
            <w:r w:rsidRPr="00B57DAB">
              <w:rPr>
                <w:rFonts w:ascii="GHEA Grapalat" w:hAnsi="GHEA Grapalat" w:cs="Calibri"/>
                <w:b/>
                <w:sz w:val="18"/>
                <w:szCs w:val="18"/>
              </w:rPr>
              <w:t xml:space="preserve">Ֆինանսական զուտ ակտիվներ, </w:t>
            </w:r>
            <w:r w:rsidRPr="00B57DAB">
              <w:rPr>
                <w:rFonts w:ascii="GHEA Grapalat" w:hAnsi="GHEA Grapalat" w:cs="Calibri"/>
                <w:sz w:val="18"/>
                <w:szCs w:val="18"/>
              </w:rPr>
              <w:t>այդ թվում`</w:t>
            </w:r>
          </w:p>
        </w:tc>
        <w:tc>
          <w:tcPr>
            <w:tcW w:w="1134" w:type="dxa"/>
            <w:tcBorders>
              <w:top w:val="single" w:sz="4" w:space="0" w:color="auto"/>
              <w:left w:val="single" w:sz="4" w:space="0" w:color="auto"/>
              <w:bottom w:val="single" w:sz="4" w:space="0" w:color="auto"/>
              <w:right w:val="single" w:sz="4" w:space="0" w:color="auto"/>
            </w:tcBorders>
            <w:vAlign w:val="bottom"/>
            <w:hideMark/>
          </w:tcPr>
          <w:p w:rsidR="007F71BF" w:rsidRPr="00B57DAB" w:rsidRDefault="007F71BF" w:rsidP="00C766C5">
            <w:pPr>
              <w:spacing w:line="256" w:lineRule="auto"/>
              <w:jc w:val="right"/>
              <w:rPr>
                <w:rFonts w:ascii="GHEA Grapalat" w:hAnsi="GHEA Grapalat" w:cs="Calibri"/>
                <w:b/>
                <w:bCs/>
                <w:sz w:val="18"/>
                <w:szCs w:val="18"/>
              </w:rPr>
            </w:pPr>
            <w:r w:rsidRPr="00B57DAB">
              <w:rPr>
                <w:rFonts w:ascii="GHEA Grapalat" w:hAnsi="GHEA Grapalat" w:cs="Calibri"/>
                <w:b/>
                <w:bCs/>
                <w:sz w:val="18"/>
                <w:szCs w:val="18"/>
              </w:rPr>
              <w:t>(29.9)</w:t>
            </w:r>
          </w:p>
        </w:tc>
        <w:tc>
          <w:tcPr>
            <w:tcW w:w="1134" w:type="dxa"/>
            <w:tcBorders>
              <w:top w:val="nil"/>
              <w:left w:val="single" w:sz="4" w:space="0" w:color="auto"/>
              <w:bottom w:val="single" w:sz="4" w:space="0" w:color="auto"/>
              <w:right w:val="single" w:sz="4" w:space="0" w:color="auto"/>
            </w:tcBorders>
            <w:noWrap/>
            <w:vAlign w:val="bottom"/>
            <w:hideMark/>
          </w:tcPr>
          <w:p w:rsidR="007F71BF" w:rsidRPr="00B57DAB" w:rsidRDefault="007F71BF" w:rsidP="00C766C5">
            <w:pPr>
              <w:spacing w:line="256" w:lineRule="auto"/>
              <w:jc w:val="right"/>
              <w:rPr>
                <w:rFonts w:ascii="GHEA Grapalat" w:hAnsi="GHEA Grapalat" w:cs="Calibri"/>
                <w:b/>
                <w:bCs/>
                <w:sz w:val="18"/>
                <w:szCs w:val="18"/>
              </w:rPr>
            </w:pPr>
            <w:r w:rsidRPr="00B57DAB">
              <w:rPr>
                <w:rFonts w:ascii="GHEA Grapalat" w:hAnsi="GHEA Grapalat" w:cs="Calibri"/>
                <w:b/>
                <w:bCs/>
                <w:sz w:val="18"/>
                <w:szCs w:val="18"/>
              </w:rPr>
              <w:t>(38.6)</w:t>
            </w:r>
          </w:p>
        </w:tc>
        <w:tc>
          <w:tcPr>
            <w:tcW w:w="1134" w:type="dxa"/>
            <w:tcBorders>
              <w:top w:val="nil"/>
              <w:left w:val="nil"/>
              <w:bottom w:val="single" w:sz="4" w:space="0" w:color="auto"/>
              <w:right w:val="single" w:sz="4" w:space="0" w:color="auto"/>
            </w:tcBorders>
            <w:noWrap/>
            <w:vAlign w:val="bottom"/>
            <w:hideMark/>
          </w:tcPr>
          <w:p w:rsidR="007F71BF" w:rsidRPr="00B57DAB" w:rsidRDefault="007F71BF" w:rsidP="00C766C5">
            <w:pPr>
              <w:spacing w:line="256" w:lineRule="auto"/>
              <w:jc w:val="right"/>
              <w:rPr>
                <w:rFonts w:ascii="GHEA Grapalat" w:hAnsi="GHEA Grapalat" w:cs="Calibri"/>
                <w:b/>
                <w:bCs/>
                <w:sz w:val="18"/>
                <w:szCs w:val="18"/>
              </w:rPr>
            </w:pPr>
            <w:r w:rsidRPr="00B57DAB">
              <w:rPr>
                <w:rFonts w:ascii="GHEA Grapalat" w:hAnsi="GHEA Grapalat" w:cs="Calibri"/>
                <w:b/>
                <w:bCs/>
                <w:sz w:val="18"/>
                <w:szCs w:val="18"/>
              </w:rPr>
              <w:t>(37.8)</w:t>
            </w:r>
          </w:p>
        </w:tc>
        <w:tc>
          <w:tcPr>
            <w:tcW w:w="1418" w:type="dxa"/>
            <w:tcBorders>
              <w:top w:val="nil"/>
              <w:left w:val="nil"/>
              <w:bottom w:val="single" w:sz="4" w:space="0" w:color="auto"/>
              <w:right w:val="single" w:sz="4" w:space="0" w:color="auto"/>
            </w:tcBorders>
            <w:noWrap/>
            <w:vAlign w:val="bottom"/>
            <w:hideMark/>
          </w:tcPr>
          <w:p w:rsidR="007F71BF" w:rsidRPr="00B57DAB" w:rsidRDefault="007F71BF" w:rsidP="00C766C5">
            <w:pPr>
              <w:spacing w:line="256" w:lineRule="auto"/>
              <w:jc w:val="right"/>
              <w:rPr>
                <w:rFonts w:ascii="GHEA Grapalat" w:hAnsi="GHEA Grapalat" w:cs="Calibri"/>
                <w:b/>
                <w:bCs/>
                <w:sz w:val="18"/>
                <w:szCs w:val="18"/>
              </w:rPr>
            </w:pPr>
            <w:r w:rsidRPr="00B57DAB">
              <w:rPr>
                <w:rFonts w:ascii="GHEA Grapalat" w:hAnsi="GHEA Grapalat" w:cs="Calibri"/>
                <w:b/>
                <w:bCs/>
                <w:sz w:val="18"/>
                <w:szCs w:val="18"/>
              </w:rPr>
              <w:t>97.7</w:t>
            </w:r>
          </w:p>
        </w:tc>
        <w:tc>
          <w:tcPr>
            <w:tcW w:w="1311" w:type="dxa"/>
            <w:tcBorders>
              <w:top w:val="nil"/>
              <w:left w:val="nil"/>
              <w:bottom w:val="single" w:sz="4" w:space="0" w:color="auto"/>
              <w:right w:val="single" w:sz="4" w:space="0" w:color="auto"/>
            </w:tcBorders>
            <w:vAlign w:val="bottom"/>
            <w:hideMark/>
          </w:tcPr>
          <w:p w:rsidR="007F71BF" w:rsidRPr="00B57DAB" w:rsidRDefault="007F71BF" w:rsidP="00C766C5">
            <w:pPr>
              <w:spacing w:line="256" w:lineRule="auto"/>
              <w:jc w:val="right"/>
              <w:rPr>
                <w:rFonts w:ascii="GHEA Grapalat" w:hAnsi="GHEA Grapalat" w:cs="Calibri"/>
                <w:b/>
                <w:bCs/>
                <w:sz w:val="18"/>
                <w:szCs w:val="18"/>
              </w:rPr>
            </w:pPr>
            <w:r w:rsidRPr="00B57DAB">
              <w:rPr>
                <w:rFonts w:ascii="GHEA Grapalat" w:hAnsi="GHEA Grapalat" w:cs="Calibri"/>
                <w:b/>
                <w:bCs/>
                <w:sz w:val="18"/>
                <w:szCs w:val="18"/>
              </w:rPr>
              <w:t>126.5</w:t>
            </w:r>
          </w:p>
        </w:tc>
      </w:tr>
      <w:tr w:rsidR="007F71BF" w:rsidRPr="00B57DAB" w:rsidTr="00C766C5">
        <w:trPr>
          <w:trHeight w:val="431"/>
        </w:trPr>
        <w:tc>
          <w:tcPr>
            <w:tcW w:w="4219" w:type="dxa"/>
            <w:tcBorders>
              <w:top w:val="nil"/>
              <w:left w:val="single" w:sz="4" w:space="0" w:color="auto"/>
              <w:bottom w:val="single" w:sz="4" w:space="0" w:color="auto"/>
              <w:right w:val="single" w:sz="4" w:space="0" w:color="auto"/>
            </w:tcBorders>
            <w:noWrap/>
            <w:vAlign w:val="bottom"/>
            <w:hideMark/>
          </w:tcPr>
          <w:p w:rsidR="007F71BF" w:rsidRPr="00B57DAB" w:rsidRDefault="007F71BF" w:rsidP="00C766C5">
            <w:pPr>
              <w:spacing w:line="256" w:lineRule="auto"/>
              <w:rPr>
                <w:rFonts w:ascii="GHEA Grapalat" w:hAnsi="GHEA Grapalat" w:cs="Calibri"/>
                <w:sz w:val="18"/>
                <w:szCs w:val="18"/>
              </w:rPr>
            </w:pPr>
            <w:r w:rsidRPr="00B57DAB">
              <w:rPr>
                <w:rFonts w:ascii="GHEA Grapalat" w:hAnsi="GHEA Grapalat" w:cs="Calibri"/>
                <w:sz w:val="18"/>
                <w:szCs w:val="18"/>
              </w:rPr>
              <w:t>Վարկերի և փոխատվությունների տրամադրում (Արցախի Հանրապետությանը)</w:t>
            </w:r>
          </w:p>
        </w:tc>
        <w:tc>
          <w:tcPr>
            <w:tcW w:w="1134" w:type="dxa"/>
            <w:tcBorders>
              <w:top w:val="nil"/>
              <w:left w:val="single" w:sz="4" w:space="0" w:color="auto"/>
              <w:bottom w:val="single" w:sz="4" w:space="0" w:color="auto"/>
              <w:right w:val="single" w:sz="4" w:space="0" w:color="auto"/>
            </w:tcBorders>
            <w:vAlign w:val="bottom"/>
            <w:hideMark/>
          </w:tcPr>
          <w:p w:rsidR="007F71BF" w:rsidRPr="00B57DAB" w:rsidRDefault="007F71BF" w:rsidP="00C766C5">
            <w:pPr>
              <w:spacing w:line="256" w:lineRule="auto"/>
              <w:jc w:val="right"/>
              <w:rPr>
                <w:rFonts w:ascii="GHEA Grapalat" w:hAnsi="GHEA Grapalat" w:cs="Calibri"/>
                <w:sz w:val="18"/>
                <w:szCs w:val="18"/>
              </w:rPr>
            </w:pPr>
            <w:r w:rsidRPr="00B57DAB">
              <w:rPr>
                <w:rFonts w:ascii="GHEA Grapalat" w:hAnsi="GHEA Grapalat" w:cs="Calibri"/>
                <w:sz w:val="18"/>
                <w:szCs w:val="18"/>
              </w:rPr>
              <w:t>(30.0)</w:t>
            </w:r>
          </w:p>
        </w:tc>
        <w:tc>
          <w:tcPr>
            <w:tcW w:w="1134" w:type="dxa"/>
            <w:tcBorders>
              <w:top w:val="nil"/>
              <w:left w:val="single" w:sz="4" w:space="0" w:color="auto"/>
              <w:bottom w:val="single" w:sz="4" w:space="0" w:color="auto"/>
              <w:right w:val="single" w:sz="4" w:space="0" w:color="auto"/>
            </w:tcBorders>
            <w:noWrap/>
            <w:vAlign w:val="bottom"/>
          </w:tcPr>
          <w:p w:rsidR="007F71BF" w:rsidRPr="00B57DAB" w:rsidRDefault="007F71BF" w:rsidP="00C766C5">
            <w:pPr>
              <w:spacing w:line="256" w:lineRule="auto"/>
              <w:jc w:val="right"/>
              <w:rPr>
                <w:rFonts w:ascii="GHEA Grapalat" w:hAnsi="GHEA Grapalat" w:cs="Calibri"/>
                <w:sz w:val="18"/>
                <w:szCs w:val="18"/>
              </w:rPr>
            </w:pPr>
            <w:r w:rsidRPr="00B57DAB">
              <w:rPr>
                <w:rFonts w:ascii="GHEA Grapalat" w:hAnsi="GHEA Grapalat" w:cs="Calibri"/>
                <w:sz w:val="18"/>
                <w:szCs w:val="18"/>
              </w:rPr>
              <w:t>(38.6)</w:t>
            </w:r>
          </w:p>
        </w:tc>
        <w:tc>
          <w:tcPr>
            <w:tcW w:w="1134" w:type="dxa"/>
            <w:tcBorders>
              <w:top w:val="nil"/>
              <w:left w:val="nil"/>
              <w:bottom w:val="single" w:sz="4" w:space="0" w:color="auto"/>
              <w:right w:val="single" w:sz="4" w:space="0" w:color="auto"/>
            </w:tcBorders>
            <w:noWrap/>
            <w:vAlign w:val="bottom"/>
            <w:hideMark/>
          </w:tcPr>
          <w:p w:rsidR="007F71BF" w:rsidRPr="00B57DAB" w:rsidRDefault="007F71BF" w:rsidP="00C766C5">
            <w:pPr>
              <w:spacing w:line="256" w:lineRule="auto"/>
              <w:jc w:val="right"/>
              <w:rPr>
                <w:rFonts w:ascii="GHEA Grapalat" w:hAnsi="GHEA Grapalat" w:cs="Calibri"/>
                <w:sz w:val="18"/>
                <w:szCs w:val="18"/>
              </w:rPr>
            </w:pPr>
            <w:r w:rsidRPr="00B57DAB">
              <w:rPr>
                <w:rFonts w:ascii="GHEA Grapalat" w:hAnsi="GHEA Grapalat" w:cs="Calibri"/>
                <w:sz w:val="18"/>
                <w:szCs w:val="18"/>
              </w:rPr>
              <w:t>(38.6)</w:t>
            </w:r>
          </w:p>
        </w:tc>
        <w:tc>
          <w:tcPr>
            <w:tcW w:w="1418" w:type="dxa"/>
            <w:tcBorders>
              <w:top w:val="nil"/>
              <w:left w:val="nil"/>
              <w:bottom w:val="single" w:sz="4" w:space="0" w:color="auto"/>
              <w:right w:val="single" w:sz="4" w:space="0" w:color="auto"/>
            </w:tcBorders>
            <w:noWrap/>
            <w:vAlign w:val="bottom"/>
          </w:tcPr>
          <w:p w:rsidR="007F71BF" w:rsidRPr="00B57DAB" w:rsidRDefault="007F71BF" w:rsidP="00C766C5">
            <w:pPr>
              <w:spacing w:line="256" w:lineRule="auto"/>
              <w:jc w:val="right"/>
              <w:rPr>
                <w:rFonts w:ascii="GHEA Grapalat" w:hAnsi="GHEA Grapalat" w:cs="Calibri"/>
                <w:sz w:val="18"/>
                <w:szCs w:val="18"/>
              </w:rPr>
            </w:pPr>
            <w:r w:rsidRPr="00B57DAB">
              <w:rPr>
                <w:rFonts w:ascii="GHEA Grapalat" w:hAnsi="GHEA Grapalat" w:cs="Calibri"/>
                <w:sz w:val="18"/>
                <w:szCs w:val="18"/>
              </w:rPr>
              <w:t>100.0</w:t>
            </w:r>
          </w:p>
        </w:tc>
        <w:tc>
          <w:tcPr>
            <w:tcW w:w="1311" w:type="dxa"/>
            <w:tcBorders>
              <w:top w:val="nil"/>
              <w:left w:val="nil"/>
              <w:bottom w:val="single" w:sz="4" w:space="0" w:color="auto"/>
              <w:right w:val="single" w:sz="4" w:space="0" w:color="auto"/>
            </w:tcBorders>
            <w:vAlign w:val="bottom"/>
            <w:hideMark/>
          </w:tcPr>
          <w:p w:rsidR="007F71BF" w:rsidRPr="00B57DAB" w:rsidRDefault="007F71BF" w:rsidP="00C766C5">
            <w:pPr>
              <w:spacing w:line="256" w:lineRule="auto"/>
              <w:jc w:val="right"/>
              <w:rPr>
                <w:rFonts w:ascii="GHEA Grapalat" w:hAnsi="GHEA Grapalat" w:cs="Calibri"/>
                <w:sz w:val="18"/>
                <w:szCs w:val="18"/>
              </w:rPr>
            </w:pPr>
            <w:r w:rsidRPr="00B57DAB">
              <w:rPr>
                <w:rFonts w:ascii="GHEA Grapalat" w:hAnsi="GHEA Grapalat" w:cs="Calibri"/>
                <w:sz w:val="18"/>
                <w:szCs w:val="18"/>
              </w:rPr>
              <w:t>128.7</w:t>
            </w:r>
          </w:p>
        </w:tc>
      </w:tr>
      <w:tr w:rsidR="007F71BF" w:rsidRPr="00B57DAB" w:rsidTr="00C766C5">
        <w:trPr>
          <w:trHeight w:val="431"/>
        </w:trPr>
        <w:tc>
          <w:tcPr>
            <w:tcW w:w="4219" w:type="dxa"/>
            <w:tcBorders>
              <w:top w:val="nil"/>
              <w:left w:val="single" w:sz="4" w:space="0" w:color="auto"/>
              <w:bottom w:val="single" w:sz="4" w:space="0" w:color="auto"/>
              <w:right w:val="single" w:sz="4" w:space="0" w:color="auto"/>
            </w:tcBorders>
            <w:noWrap/>
            <w:vAlign w:val="bottom"/>
            <w:hideMark/>
          </w:tcPr>
          <w:p w:rsidR="007F71BF" w:rsidRPr="00B57DAB" w:rsidRDefault="007F71BF" w:rsidP="00C766C5">
            <w:pPr>
              <w:spacing w:line="256" w:lineRule="auto"/>
              <w:ind w:firstLineChars="100" w:firstLine="180"/>
              <w:rPr>
                <w:rFonts w:ascii="GHEA Grapalat" w:hAnsi="GHEA Grapalat" w:cs="Calibri"/>
                <w:sz w:val="18"/>
                <w:szCs w:val="18"/>
              </w:rPr>
            </w:pPr>
            <w:r w:rsidRPr="00B57DAB">
              <w:rPr>
                <w:rFonts w:ascii="GHEA Grapalat" w:hAnsi="GHEA Grapalat" w:cs="Calibri"/>
                <w:sz w:val="18"/>
                <w:szCs w:val="18"/>
              </w:rPr>
              <w:t>Տրամադրված վարկերի և փոխատվություն</w:t>
            </w:r>
            <w:r w:rsidR="00EC0F67" w:rsidRPr="00B57DAB">
              <w:rPr>
                <w:rFonts w:ascii="GHEA Grapalat" w:hAnsi="GHEA Grapalat" w:cs="Calibri"/>
                <w:sz w:val="18"/>
                <w:szCs w:val="18"/>
              </w:rPr>
              <w:t>-</w:t>
            </w:r>
            <w:r w:rsidRPr="00B57DAB">
              <w:rPr>
                <w:rFonts w:ascii="GHEA Grapalat" w:hAnsi="GHEA Grapalat" w:cs="Calibri"/>
                <w:sz w:val="18"/>
                <w:szCs w:val="18"/>
              </w:rPr>
              <w:t>ների վերադարձից մուտքեր (Վրաստանից)</w:t>
            </w:r>
          </w:p>
        </w:tc>
        <w:tc>
          <w:tcPr>
            <w:tcW w:w="1134" w:type="dxa"/>
            <w:tcBorders>
              <w:top w:val="nil"/>
              <w:left w:val="single" w:sz="4" w:space="0" w:color="auto"/>
              <w:bottom w:val="single" w:sz="4" w:space="0" w:color="auto"/>
              <w:right w:val="single" w:sz="4" w:space="0" w:color="auto"/>
            </w:tcBorders>
            <w:vAlign w:val="bottom"/>
            <w:hideMark/>
          </w:tcPr>
          <w:p w:rsidR="007F71BF" w:rsidRPr="00B57DAB" w:rsidRDefault="007F71BF" w:rsidP="00C766C5">
            <w:pPr>
              <w:spacing w:line="256" w:lineRule="auto"/>
              <w:jc w:val="right"/>
              <w:rPr>
                <w:rFonts w:ascii="GHEA Grapalat" w:hAnsi="GHEA Grapalat" w:cs="Calibri"/>
                <w:sz w:val="18"/>
                <w:szCs w:val="18"/>
              </w:rPr>
            </w:pPr>
            <w:r w:rsidRPr="00B57DAB">
              <w:rPr>
                <w:rFonts w:ascii="GHEA Grapalat" w:hAnsi="GHEA Grapalat" w:cs="Calibri"/>
                <w:sz w:val="18"/>
                <w:szCs w:val="18"/>
              </w:rPr>
              <w:t>0.2</w:t>
            </w:r>
          </w:p>
        </w:tc>
        <w:tc>
          <w:tcPr>
            <w:tcW w:w="1134" w:type="dxa"/>
            <w:tcBorders>
              <w:top w:val="nil"/>
              <w:left w:val="single" w:sz="4" w:space="0" w:color="auto"/>
              <w:bottom w:val="single" w:sz="4" w:space="0" w:color="auto"/>
              <w:right w:val="single" w:sz="4" w:space="0" w:color="auto"/>
            </w:tcBorders>
            <w:noWrap/>
            <w:vAlign w:val="bottom"/>
            <w:hideMark/>
          </w:tcPr>
          <w:p w:rsidR="007F71BF" w:rsidRPr="00B57DAB" w:rsidRDefault="007F71BF" w:rsidP="00C766C5">
            <w:pPr>
              <w:spacing w:line="256" w:lineRule="auto"/>
              <w:jc w:val="right"/>
              <w:rPr>
                <w:rFonts w:ascii="GHEA Grapalat" w:hAnsi="GHEA Grapalat" w:cs="Calibri"/>
                <w:sz w:val="18"/>
                <w:szCs w:val="18"/>
              </w:rPr>
            </w:pPr>
            <w:r w:rsidRPr="00B57DAB">
              <w:rPr>
                <w:rFonts w:ascii="GHEA Grapalat" w:hAnsi="GHEA Grapalat" w:cs="Calibri"/>
                <w:sz w:val="18"/>
                <w:szCs w:val="18"/>
              </w:rPr>
              <w:t>0.2</w:t>
            </w:r>
          </w:p>
        </w:tc>
        <w:tc>
          <w:tcPr>
            <w:tcW w:w="1134" w:type="dxa"/>
            <w:tcBorders>
              <w:top w:val="nil"/>
              <w:left w:val="nil"/>
              <w:bottom w:val="single" w:sz="4" w:space="0" w:color="auto"/>
              <w:right w:val="single" w:sz="4" w:space="0" w:color="auto"/>
            </w:tcBorders>
            <w:noWrap/>
            <w:vAlign w:val="bottom"/>
            <w:hideMark/>
          </w:tcPr>
          <w:p w:rsidR="007F71BF" w:rsidRPr="00B57DAB" w:rsidRDefault="007F71BF" w:rsidP="00C766C5">
            <w:pPr>
              <w:spacing w:line="256" w:lineRule="auto"/>
              <w:jc w:val="right"/>
              <w:rPr>
                <w:rFonts w:ascii="GHEA Grapalat" w:hAnsi="GHEA Grapalat" w:cs="Calibri"/>
                <w:sz w:val="18"/>
                <w:szCs w:val="18"/>
              </w:rPr>
            </w:pPr>
            <w:r w:rsidRPr="00B57DAB">
              <w:rPr>
                <w:rFonts w:ascii="GHEA Grapalat" w:hAnsi="GHEA Grapalat" w:cs="Calibri"/>
                <w:sz w:val="18"/>
                <w:szCs w:val="18"/>
              </w:rPr>
              <w:t>0.2</w:t>
            </w:r>
          </w:p>
        </w:tc>
        <w:tc>
          <w:tcPr>
            <w:tcW w:w="1418" w:type="dxa"/>
            <w:tcBorders>
              <w:top w:val="nil"/>
              <w:left w:val="nil"/>
              <w:bottom w:val="single" w:sz="4" w:space="0" w:color="auto"/>
              <w:right w:val="single" w:sz="4" w:space="0" w:color="auto"/>
            </w:tcBorders>
            <w:noWrap/>
            <w:vAlign w:val="bottom"/>
            <w:hideMark/>
          </w:tcPr>
          <w:p w:rsidR="007F71BF" w:rsidRPr="00B57DAB" w:rsidRDefault="007F71BF" w:rsidP="00C766C5">
            <w:pPr>
              <w:spacing w:line="256" w:lineRule="auto"/>
              <w:jc w:val="right"/>
              <w:rPr>
                <w:rFonts w:ascii="GHEA Grapalat" w:hAnsi="GHEA Grapalat" w:cs="Calibri"/>
                <w:sz w:val="18"/>
                <w:szCs w:val="18"/>
              </w:rPr>
            </w:pPr>
            <w:r w:rsidRPr="00B57DAB">
              <w:rPr>
                <w:rFonts w:ascii="GHEA Grapalat" w:hAnsi="GHEA Grapalat" w:cs="Calibri"/>
                <w:sz w:val="18"/>
                <w:szCs w:val="18"/>
              </w:rPr>
              <w:t>100.5</w:t>
            </w:r>
          </w:p>
        </w:tc>
        <w:tc>
          <w:tcPr>
            <w:tcW w:w="1311" w:type="dxa"/>
            <w:tcBorders>
              <w:top w:val="nil"/>
              <w:left w:val="nil"/>
              <w:bottom w:val="single" w:sz="4" w:space="0" w:color="auto"/>
              <w:right w:val="single" w:sz="4" w:space="0" w:color="auto"/>
            </w:tcBorders>
            <w:vAlign w:val="bottom"/>
            <w:hideMark/>
          </w:tcPr>
          <w:p w:rsidR="007F71BF" w:rsidRPr="00B57DAB" w:rsidRDefault="007F71BF" w:rsidP="00C766C5">
            <w:pPr>
              <w:spacing w:line="256" w:lineRule="auto"/>
              <w:jc w:val="right"/>
              <w:rPr>
                <w:rFonts w:ascii="GHEA Grapalat" w:hAnsi="GHEA Grapalat" w:cs="Calibri"/>
                <w:sz w:val="18"/>
                <w:szCs w:val="18"/>
              </w:rPr>
            </w:pPr>
            <w:r w:rsidRPr="00B57DAB">
              <w:rPr>
                <w:rFonts w:ascii="GHEA Grapalat" w:hAnsi="GHEA Grapalat" w:cs="Calibri"/>
                <w:sz w:val="18"/>
                <w:szCs w:val="18"/>
              </w:rPr>
              <w:t>97.4</w:t>
            </w:r>
          </w:p>
        </w:tc>
      </w:tr>
      <w:tr w:rsidR="007F71BF" w:rsidRPr="00B57DAB" w:rsidTr="00C766C5">
        <w:trPr>
          <w:trHeight w:val="431"/>
        </w:trPr>
        <w:tc>
          <w:tcPr>
            <w:tcW w:w="4219" w:type="dxa"/>
            <w:tcBorders>
              <w:top w:val="nil"/>
              <w:left w:val="single" w:sz="4" w:space="0" w:color="auto"/>
              <w:bottom w:val="single" w:sz="4" w:space="0" w:color="auto"/>
              <w:right w:val="single" w:sz="4" w:space="0" w:color="auto"/>
            </w:tcBorders>
            <w:noWrap/>
            <w:vAlign w:val="bottom"/>
            <w:hideMark/>
          </w:tcPr>
          <w:p w:rsidR="007F71BF" w:rsidRPr="00B57DAB" w:rsidRDefault="007F71BF" w:rsidP="00C766C5">
            <w:pPr>
              <w:spacing w:line="256" w:lineRule="auto"/>
              <w:ind w:firstLineChars="100" w:firstLine="180"/>
              <w:rPr>
                <w:rFonts w:ascii="GHEA Grapalat" w:hAnsi="GHEA Grapalat" w:cs="Calibri"/>
                <w:sz w:val="18"/>
                <w:szCs w:val="18"/>
              </w:rPr>
            </w:pPr>
            <w:r w:rsidRPr="00B57DAB">
              <w:rPr>
                <w:rFonts w:ascii="GHEA Grapalat" w:hAnsi="GHEA Grapalat" w:cs="Calibri"/>
                <w:sz w:val="18"/>
                <w:szCs w:val="18"/>
              </w:rPr>
              <w:t>Բաժնետոմսերի և կապիտալում այլ մասնակցության ձեռքբերում (ԱԶԲ և ՎԶՄԲ)</w:t>
            </w:r>
          </w:p>
        </w:tc>
        <w:tc>
          <w:tcPr>
            <w:tcW w:w="1134" w:type="dxa"/>
            <w:tcBorders>
              <w:top w:val="nil"/>
              <w:left w:val="single" w:sz="4" w:space="0" w:color="auto"/>
              <w:bottom w:val="single" w:sz="4" w:space="0" w:color="auto"/>
              <w:right w:val="single" w:sz="4" w:space="0" w:color="auto"/>
            </w:tcBorders>
            <w:vAlign w:val="bottom"/>
            <w:hideMark/>
          </w:tcPr>
          <w:p w:rsidR="007F71BF" w:rsidRPr="00B57DAB" w:rsidRDefault="007F71BF" w:rsidP="00C766C5">
            <w:pPr>
              <w:spacing w:line="256" w:lineRule="auto"/>
              <w:jc w:val="right"/>
              <w:rPr>
                <w:rFonts w:ascii="GHEA Grapalat" w:hAnsi="GHEA Grapalat" w:cs="Calibri"/>
                <w:sz w:val="18"/>
                <w:szCs w:val="18"/>
              </w:rPr>
            </w:pPr>
            <w:r w:rsidRPr="00B57DAB">
              <w:rPr>
                <w:rFonts w:ascii="GHEA Grapalat" w:hAnsi="GHEA Grapalat" w:cs="Calibri"/>
                <w:sz w:val="18"/>
                <w:szCs w:val="18"/>
              </w:rPr>
              <w:t>(0.5)</w:t>
            </w:r>
          </w:p>
        </w:tc>
        <w:tc>
          <w:tcPr>
            <w:tcW w:w="1134" w:type="dxa"/>
            <w:tcBorders>
              <w:top w:val="nil"/>
              <w:left w:val="single" w:sz="4" w:space="0" w:color="auto"/>
              <w:bottom w:val="single" w:sz="4" w:space="0" w:color="auto"/>
              <w:right w:val="single" w:sz="4" w:space="0" w:color="auto"/>
            </w:tcBorders>
            <w:noWrap/>
            <w:vAlign w:val="bottom"/>
            <w:hideMark/>
          </w:tcPr>
          <w:p w:rsidR="007F71BF" w:rsidRPr="00B57DAB" w:rsidRDefault="007F71BF" w:rsidP="00C766C5">
            <w:pPr>
              <w:spacing w:line="256" w:lineRule="auto"/>
              <w:jc w:val="right"/>
              <w:rPr>
                <w:rFonts w:ascii="GHEA Grapalat" w:hAnsi="GHEA Grapalat" w:cs="Calibri"/>
                <w:sz w:val="18"/>
                <w:szCs w:val="18"/>
              </w:rPr>
            </w:pPr>
            <w:r w:rsidRPr="00B57DAB">
              <w:rPr>
                <w:rFonts w:ascii="GHEA Grapalat" w:hAnsi="GHEA Grapalat" w:cs="Calibri"/>
                <w:sz w:val="18"/>
                <w:szCs w:val="18"/>
              </w:rPr>
              <w:t>(0.2)</w:t>
            </w:r>
          </w:p>
        </w:tc>
        <w:tc>
          <w:tcPr>
            <w:tcW w:w="1134" w:type="dxa"/>
            <w:tcBorders>
              <w:top w:val="nil"/>
              <w:left w:val="nil"/>
              <w:bottom w:val="single" w:sz="4" w:space="0" w:color="auto"/>
              <w:right w:val="single" w:sz="4" w:space="0" w:color="auto"/>
            </w:tcBorders>
            <w:noWrap/>
            <w:vAlign w:val="bottom"/>
            <w:hideMark/>
          </w:tcPr>
          <w:p w:rsidR="007F71BF" w:rsidRPr="00B57DAB" w:rsidRDefault="007F71BF" w:rsidP="00C766C5">
            <w:pPr>
              <w:spacing w:line="256" w:lineRule="auto"/>
              <w:jc w:val="right"/>
              <w:rPr>
                <w:rFonts w:ascii="GHEA Grapalat" w:hAnsi="GHEA Grapalat" w:cs="Calibri"/>
                <w:sz w:val="18"/>
                <w:szCs w:val="18"/>
              </w:rPr>
            </w:pPr>
            <w:r w:rsidRPr="00B57DAB">
              <w:rPr>
                <w:rFonts w:ascii="GHEA Grapalat" w:hAnsi="GHEA Grapalat" w:cs="Calibri"/>
                <w:sz w:val="18"/>
                <w:szCs w:val="18"/>
              </w:rPr>
              <w:t>(0.1)</w:t>
            </w:r>
          </w:p>
        </w:tc>
        <w:tc>
          <w:tcPr>
            <w:tcW w:w="1418" w:type="dxa"/>
            <w:tcBorders>
              <w:top w:val="nil"/>
              <w:left w:val="nil"/>
              <w:bottom w:val="single" w:sz="4" w:space="0" w:color="auto"/>
              <w:right w:val="single" w:sz="4" w:space="0" w:color="auto"/>
            </w:tcBorders>
            <w:noWrap/>
            <w:vAlign w:val="bottom"/>
            <w:hideMark/>
          </w:tcPr>
          <w:p w:rsidR="007F71BF" w:rsidRPr="00B57DAB" w:rsidRDefault="007F71BF" w:rsidP="00C766C5">
            <w:pPr>
              <w:spacing w:line="256" w:lineRule="auto"/>
              <w:jc w:val="right"/>
              <w:rPr>
                <w:rFonts w:ascii="GHEA Grapalat" w:hAnsi="GHEA Grapalat" w:cs="Calibri"/>
                <w:sz w:val="18"/>
                <w:szCs w:val="18"/>
              </w:rPr>
            </w:pPr>
            <w:r w:rsidRPr="00B57DAB">
              <w:rPr>
                <w:rFonts w:ascii="GHEA Grapalat" w:hAnsi="GHEA Grapalat" w:cs="Calibri"/>
                <w:sz w:val="18"/>
                <w:szCs w:val="18"/>
              </w:rPr>
              <w:t>23.4</w:t>
            </w:r>
          </w:p>
        </w:tc>
        <w:tc>
          <w:tcPr>
            <w:tcW w:w="1311" w:type="dxa"/>
            <w:tcBorders>
              <w:top w:val="nil"/>
              <w:left w:val="nil"/>
              <w:bottom w:val="single" w:sz="4" w:space="0" w:color="auto"/>
              <w:right w:val="single" w:sz="4" w:space="0" w:color="auto"/>
            </w:tcBorders>
            <w:vAlign w:val="bottom"/>
            <w:hideMark/>
          </w:tcPr>
          <w:p w:rsidR="007F71BF" w:rsidRPr="00B57DAB" w:rsidRDefault="007F71BF" w:rsidP="00C766C5">
            <w:pPr>
              <w:spacing w:line="256" w:lineRule="auto"/>
              <w:jc w:val="right"/>
              <w:rPr>
                <w:rFonts w:ascii="GHEA Grapalat" w:hAnsi="GHEA Grapalat" w:cs="Calibri"/>
                <w:sz w:val="18"/>
                <w:szCs w:val="18"/>
              </w:rPr>
            </w:pPr>
            <w:r w:rsidRPr="00B57DAB">
              <w:rPr>
                <w:rFonts w:ascii="GHEA Grapalat" w:hAnsi="GHEA Grapalat" w:cs="Calibri"/>
                <w:sz w:val="18"/>
                <w:szCs w:val="18"/>
              </w:rPr>
              <w:t>11.9</w:t>
            </w:r>
          </w:p>
        </w:tc>
      </w:tr>
      <w:tr w:rsidR="007F71BF" w:rsidRPr="00B57DAB" w:rsidTr="00C766C5">
        <w:trPr>
          <w:trHeight w:val="300"/>
        </w:trPr>
        <w:tc>
          <w:tcPr>
            <w:tcW w:w="4219" w:type="dxa"/>
            <w:tcBorders>
              <w:top w:val="nil"/>
              <w:left w:val="single" w:sz="4" w:space="0" w:color="auto"/>
              <w:bottom w:val="single" w:sz="4" w:space="0" w:color="auto"/>
              <w:right w:val="single" w:sz="4" w:space="0" w:color="auto"/>
            </w:tcBorders>
            <w:noWrap/>
            <w:vAlign w:val="bottom"/>
            <w:hideMark/>
          </w:tcPr>
          <w:p w:rsidR="007F71BF" w:rsidRPr="00B57DAB" w:rsidRDefault="007F71BF" w:rsidP="00C766C5">
            <w:pPr>
              <w:spacing w:line="256" w:lineRule="auto"/>
              <w:ind w:firstLineChars="100" w:firstLine="180"/>
              <w:rPr>
                <w:rFonts w:ascii="GHEA Grapalat" w:hAnsi="GHEA Grapalat" w:cs="Calibri"/>
                <w:sz w:val="18"/>
                <w:szCs w:val="18"/>
              </w:rPr>
            </w:pPr>
            <w:r w:rsidRPr="00B57DAB">
              <w:rPr>
                <w:rFonts w:ascii="GHEA Grapalat" w:hAnsi="GHEA Grapalat" w:cs="Calibri"/>
                <w:sz w:val="18"/>
                <w:szCs w:val="18"/>
              </w:rPr>
              <w:t>Այլ</w:t>
            </w:r>
          </w:p>
        </w:tc>
        <w:tc>
          <w:tcPr>
            <w:tcW w:w="1134" w:type="dxa"/>
            <w:tcBorders>
              <w:top w:val="nil"/>
              <w:left w:val="single" w:sz="4" w:space="0" w:color="auto"/>
              <w:bottom w:val="single" w:sz="4" w:space="0" w:color="auto"/>
              <w:right w:val="single" w:sz="4" w:space="0" w:color="auto"/>
            </w:tcBorders>
            <w:vAlign w:val="bottom"/>
            <w:hideMark/>
          </w:tcPr>
          <w:p w:rsidR="007F71BF" w:rsidRPr="00B57DAB" w:rsidRDefault="007F71BF" w:rsidP="00C766C5">
            <w:pPr>
              <w:spacing w:line="256" w:lineRule="auto"/>
              <w:jc w:val="right"/>
              <w:rPr>
                <w:rFonts w:ascii="GHEA Grapalat" w:hAnsi="GHEA Grapalat" w:cs="Calibri"/>
                <w:sz w:val="18"/>
                <w:szCs w:val="18"/>
              </w:rPr>
            </w:pPr>
            <w:r w:rsidRPr="00B57DAB">
              <w:rPr>
                <w:rFonts w:ascii="GHEA Grapalat" w:hAnsi="GHEA Grapalat" w:cs="Calibri"/>
                <w:sz w:val="18"/>
                <w:szCs w:val="18"/>
              </w:rPr>
              <w:t>0.4</w:t>
            </w:r>
          </w:p>
        </w:tc>
        <w:tc>
          <w:tcPr>
            <w:tcW w:w="1134" w:type="dxa"/>
            <w:tcBorders>
              <w:top w:val="nil"/>
              <w:left w:val="single" w:sz="4" w:space="0" w:color="auto"/>
              <w:bottom w:val="single" w:sz="4" w:space="0" w:color="auto"/>
              <w:right w:val="single" w:sz="4" w:space="0" w:color="auto"/>
            </w:tcBorders>
            <w:noWrap/>
            <w:vAlign w:val="bottom"/>
            <w:hideMark/>
          </w:tcPr>
          <w:p w:rsidR="007F71BF" w:rsidRPr="00B57DAB" w:rsidRDefault="007F71BF" w:rsidP="00C766C5">
            <w:pPr>
              <w:spacing w:line="256" w:lineRule="auto"/>
              <w:jc w:val="right"/>
              <w:rPr>
                <w:rFonts w:ascii="GHEA Grapalat" w:hAnsi="GHEA Grapalat" w:cs="Calibri"/>
                <w:sz w:val="18"/>
                <w:szCs w:val="18"/>
              </w:rPr>
            </w:pPr>
            <w:r w:rsidRPr="00B57DAB">
              <w:rPr>
                <w:rFonts w:ascii="GHEA Grapalat" w:hAnsi="GHEA Grapalat" w:cs="Calibri"/>
                <w:sz w:val="18"/>
                <w:szCs w:val="18"/>
              </w:rPr>
              <w:t>0</w:t>
            </w:r>
            <w:r w:rsidR="00C766C5" w:rsidRPr="00B57DAB">
              <w:rPr>
                <w:rFonts w:ascii="GHEA Grapalat" w:hAnsi="GHEA Grapalat" w:cs="Calibri"/>
                <w:sz w:val="18"/>
                <w:szCs w:val="18"/>
              </w:rPr>
              <w:t>.0</w:t>
            </w:r>
          </w:p>
        </w:tc>
        <w:tc>
          <w:tcPr>
            <w:tcW w:w="1134" w:type="dxa"/>
            <w:tcBorders>
              <w:top w:val="nil"/>
              <w:left w:val="nil"/>
              <w:bottom w:val="single" w:sz="4" w:space="0" w:color="auto"/>
              <w:right w:val="single" w:sz="4" w:space="0" w:color="auto"/>
            </w:tcBorders>
            <w:noWrap/>
            <w:vAlign w:val="bottom"/>
            <w:hideMark/>
          </w:tcPr>
          <w:p w:rsidR="007F71BF" w:rsidRPr="00B57DAB" w:rsidRDefault="007F71BF" w:rsidP="00C766C5">
            <w:pPr>
              <w:spacing w:line="256" w:lineRule="auto"/>
              <w:jc w:val="right"/>
              <w:rPr>
                <w:rFonts w:ascii="GHEA Grapalat" w:hAnsi="GHEA Grapalat" w:cs="Calibri"/>
                <w:sz w:val="18"/>
                <w:szCs w:val="18"/>
              </w:rPr>
            </w:pPr>
            <w:r w:rsidRPr="00B57DAB">
              <w:rPr>
                <w:rFonts w:ascii="GHEA Grapalat" w:hAnsi="GHEA Grapalat" w:cs="Calibri"/>
                <w:sz w:val="18"/>
                <w:szCs w:val="18"/>
              </w:rPr>
              <w:t>0.7</w:t>
            </w:r>
          </w:p>
        </w:tc>
        <w:tc>
          <w:tcPr>
            <w:tcW w:w="1418" w:type="dxa"/>
            <w:tcBorders>
              <w:top w:val="nil"/>
              <w:left w:val="nil"/>
              <w:bottom w:val="single" w:sz="4" w:space="0" w:color="auto"/>
              <w:right w:val="single" w:sz="4" w:space="0" w:color="auto"/>
            </w:tcBorders>
            <w:noWrap/>
            <w:vAlign w:val="bottom"/>
            <w:hideMark/>
          </w:tcPr>
          <w:p w:rsidR="007F71BF" w:rsidRPr="00B57DAB" w:rsidRDefault="00C766C5" w:rsidP="00C766C5">
            <w:pPr>
              <w:spacing w:line="256" w:lineRule="auto"/>
              <w:jc w:val="right"/>
              <w:rPr>
                <w:rFonts w:ascii="GHEA Grapalat" w:hAnsi="GHEA Grapalat" w:cs="Calibri"/>
                <w:sz w:val="18"/>
                <w:szCs w:val="18"/>
              </w:rPr>
            </w:pPr>
            <w:r w:rsidRPr="00B57DAB">
              <w:rPr>
                <w:rFonts w:ascii="GHEA Grapalat" w:hAnsi="GHEA Grapalat" w:cs="Calibri"/>
                <w:sz w:val="18"/>
                <w:szCs w:val="18"/>
              </w:rPr>
              <w:t>-</w:t>
            </w:r>
          </w:p>
        </w:tc>
        <w:tc>
          <w:tcPr>
            <w:tcW w:w="1311" w:type="dxa"/>
            <w:tcBorders>
              <w:top w:val="nil"/>
              <w:left w:val="nil"/>
              <w:bottom w:val="single" w:sz="4" w:space="0" w:color="auto"/>
              <w:right w:val="single" w:sz="4" w:space="0" w:color="auto"/>
            </w:tcBorders>
            <w:vAlign w:val="bottom"/>
            <w:hideMark/>
          </w:tcPr>
          <w:p w:rsidR="007F71BF" w:rsidRPr="00B57DAB" w:rsidRDefault="007F71BF" w:rsidP="00C766C5">
            <w:pPr>
              <w:spacing w:line="256" w:lineRule="auto"/>
              <w:jc w:val="right"/>
              <w:rPr>
                <w:rFonts w:ascii="GHEA Grapalat" w:hAnsi="GHEA Grapalat" w:cs="Calibri"/>
                <w:sz w:val="18"/>
                <w:szCs w:val="18"/>
              </w:rPr>
            </w:pPr>
            <w:r w:rsidRPr="00B57DAB">
              <w:rPr>
                <w:rFonts w:ascii="GHEA Grapalat" w:hAnsi="GHEA Grapalat" w:cs="Calibri"/>
                <w:sz w:val="18"/>
                <w:szCs w:val="18"/>
              </w:rPr>
              <w:t>179.1</w:t>
            </w:r>
          </w:p>
        </w:tc>
      </w:tr>
    </w:tbl>
    <w:p w:rsidR="007F71BF" w:rsidRPr="00B57DAB" w:rsidRDefault="007F71BF" w:rsidP="007F71BF">
      <w:pPr>
        <w:rPr>
          <w:rFonts w:ascii="Sylfaen" w:hAnsi="Sylfaen"/>
        </w:rPr>
      </w:pPr>
    </w:p>
    <w:p w:rsidR="00C766C5" w:rsidRPr="00B57DAB" w:rsidRDefault="00C766C5" w:rsidP="00C766C5">
      <w:pPr>
        <w:autoSpaceDE w:val="0"/>
        <w:autoSpaceDN w:val="0"/>
        <w:adjustRightInd w:val="0"/>
        <w:spacing w:line="360" w:lineRule="auto"/>
        <w:ind w:firstLine="567"/>
        <w:jc w:val="both"/>
        <w:rPr>
          <w:rFonts w:ascii="GHEA Grapalat" w:hAnsi="GHEA Grapalat" w:cs="Sylfaen"/>
          <w:noProof/>
          <w:sz w:val="22"/>
          <w:szCs w:val="22"/>
        </w:rPr>
      </w:pPr>
    </w:p>
    <w:p w:rsidR="007F71BF" w:rsidRPr="00B57DAB" w:rsidRDefault="007F71BF" w:rsidP="0045560F">
      <w:pPr>
        <w:pStyle w:val="Heading1"/>
        <w:overflowPunct/>
        <w:autoSpaceDE/>
        <w:autoSpaceDN/>
        <w:adjustRightInd/>
        <w:ind w:firstLine="0"/>
        <w:jc w:val="left"/>
        <w:textAlignment w:val="auto"/>
        <w:rPr>
          <w:rFonts w:ascii="GHEA Grapalat" w:hAnsi="GHEA Grapalat" w:cs="Sylfaen"/>
          <w:noProof/>
          <w:sz w:val="22"/>
          <w:szCs w:val="22"/>
          <w:lang w:val="hy-AM"/>
        </w:rPr>
      </w:pPr>
      <w:bookmarkStart w:id="95" w:name="_Toc102759895"/>
      <w:r w:rsidRPr="00B57DAB">
        <w:rPr>
          <w:rFonts w:ascii="GHEA Grapalat" w:hAnsi="GHEA Grapalat" w:cs="Sylfaen"/>
          <w:noProof/>
          <w:sz w:val="22"/>
          <w:szCs w:val="22"/>
          <w:lang w:val="hy-AM"/>
        </w:rPr>
        <w:lastRenderedPageBreak/>
        <w:t>ՀՀ ՊԵՏԱԿԱՆ ՊԱՐՏՔԸ</w:t>
      </w:r>
      <w:bookmarkEnd w:id="95"/>
    </w:p>
    <w:p w:rsidR="007F71BF" w:rsidRPr="00B57DAB" w:rsidRDefault="007F71BF" w:rsidP="007F71BF">
      <w:pPr>
        <w:autoSpaceDE w:val="0"/>
        <w:autoSpaceDN w:val="0"/>
        <w:adjustRightInd w:val="0"/>
        <w:spacing w:line="360" w:lineRule="auto"/>
        <w:ind w:firstLine="567"/>
        <w:jc w:val="both"/>
        <w:rPr>
          <w:rFonts w:ascii="GHEA Grapalat" w:hAnsi="GHEA Grapalat"/>
          <w:sz w:val="22"/>
          <w:szCs w:val="22"/>
        </w:rPr>
      </w:pPr>
      <w:r w:rsidRPr="00B57DAB">
        <w:rPr>
          <w:rFonts w:ascii="GHEA Grapalat" w:hAnsi="GHEA Grapalat"/>
          <w:sz w:val="22"/>
          <w:szCs w:val="22"/>
        </w:rPr>
        <w:t>2022 թվականի մարտի 31-ի դրությամբ ՀՀ պետական պարտքը կազմել է 4,563.8 մլրդ դրամ (9,356.5 մլն ԱՄՆ դոլար): ՀՀ դրամով և ԱՄՆ դոլարով արտահայտված` նախորդ տարեվերջի համեմատ ՀՀ պետական պարտքի ցուցանիշներն աճել են անհամաչափորեն` համապատասխանա</w:t>
      </w:r>
      <w:r w:rsidR="00A42478" w:rsidRPr="00B57DAB">
        <w:rPr>
          <w:rFonts w:ascii="GHEA Grapalat" w:hAnsi="GHEA Grapalat"/>
          <w:sz w:val="22"/>
          <w:szCs w:val="22"/>
        </w:rPr>
        <w:t>-</w:t>
      </w:r>
      <w:r w:rsidRPr="00B57DAB">
        <w:rPr>
          <w:rFonts w:ascii="GHEA Grapalat" w:hAnsi="GHEA Grapalat"/>
          <w:sz w:val="22"/>
          <w:szCs w:val="22"/>
        </w:rPr>
        <w:t>բար 3%-ով և 1.4%-ով: Դա պայմանավորված է եղել 2021 թվականի վերջի և 2022 թվականի մարտ ամսվա վերջի դրությամբ ձևավորված ԱՄՆ դոլար / ՀՀ դրամ փոխարժեքների տարբերությամբ, որը փոփոխվել է 1.6%-ով՝ 480.14-ից աճելով մինչև 487.77: ՀՀ պետական պարտքում 3,241.4 մլրդ դրամը (6,645.3 մլն ԱՄՆ դոլարը) կազմել է արտաքին պարտքը, 1,322.5 մլրդ դրամը (2,711.3 մլն ԱՄՆ դոլարը)՝ ներքին պարտքը:</w:t>
      </w:r>
    </w:p>
    <w:p w:rsidR="007F71BF" w:rsidRPr="00B57DAB" w:rsidRDefault="007F71BF" w:rsidP="00A42478">
      <w:pPr>
        <w:autoSpaceDE w:val="0"/>
        <w:autoSpaceDN w:val="0"/>
        <w:adjustRightInd w:val="0"/>
        <w:spacing w:line="360" w:lineRule="auto"/>
        <w:ind w:firstLine="567"/>
        <w:jc w:val="both"/>
        <w:rPr>
          <w:rFonts w:ascii="GHEA Grapalat" w:hAnsi="GHEA Grapalat"/>
          <w:sz w:val="22"/>
          <w:szCs w:val="22"/>
        </w:rPr>
      </w:pPr>
    </w:p>
    <w:p w:rsidR="007F71BF" w:rsidRPr="00B57DAB" w:rsidRDefault="007F71BF" w:rsidP="00770F24">
      <w:pPr>
        <w:pStyle w:val="Caption"/>
        <w:keepNext/>
        <w:numPr>
          <w:ilvl w:val="0"/>
          <w:numId w:val="8"/>
        </w:numPr>
        <w:tabs>
          <w:tab w:val="left" w:pos="1276"/>
        </w:tabs>
        <w:ind w:left="0" w:firstLine="0"/>
        <w:jc w:val="left"/>
        <w:rPr>
          <w:rFonts w:ascii="GHEA Grapalat" w:hAnsi="GHEA Grapalat"/>
          <w:i/>
          <w:sz w:val="18"/>
          <w:szCs w:val="18"/>
          <w:lang w:val="en-US"/>
        </w:rPr>
      </w:pPr>
      <w:r w:rsidRPr="00B57DAB">
        <w:rPr>
          <w:rFonts w:ascii="GHEA Grapalat" w:hAnsi="GHEA Grapalat"/>
          <w:i/>
          <w:sz w:val="18"/>
          <w:szCs w:val="18"/>
          <w:lang w:val="en-US"/>
        </w:rPr>
        <w:t xml:space="preserve">ՀՀ պետական պարտքը </w:t>
      </w:r>
    </w:p>
    <w:tbl>
      <w:tblPr>
        <w:tblW w:w="10200" w:type="dxa"/>
        <w:tblInd w:w="108" w:type="dxa"/>
        <w:tblLayout w:type="fixed"/>
        <w:tblLook w:val="04A0" w:firstRow="1" w:lastRow="0" w:firstColumn="1" w:lastColumn="0" w:noHBand="0" w:noVBand="1"/>
      </w:tblPr>
      <w:tblGrid>
        <w:gridCol w:w="4251"/>
        <w:gridCol w:w="1349"/>
        <w:gridCol w:w="1439"/>
        <w:gridCol w:w="1619"/>
        <w:gridCol w:w="1542"/>
      </w:tblGrid>
      <w:tr w:rsidR="007F71BF" w:rsidRPr="00B57DAB" w:rsidTr="00F7377C">
        <w:trPr>
          <w:trHeight w:val="513"/>
        </w:trPr>
        <w:tc>
          <w:tcPr>
            <w:tcW w:w="4251" w:type="dxa"/>
            <w:tcBorders>
              <w:top w:val="single" w:sz="4" w:space="0" w:color="auto"/>
              <w:left w:val="single" w:sz="4" w:space="0" w:color="auto"/>
              <w:bottom w:val="single" w:sz="4" w:space="0" w:color="auto"/>
              <w:right w:val="single" w:sz="4" w:space="0" w:color="auto"/>
            </w:tcBorders>
            <w:noWrap/>
            <w:vAlign w:val="bottom"/>
            <w:hideMark/>
          </w:tcPr>
          <w:p w:rsidR="007F71BF" w:rsidRPr="00B57DAB" w:rsidRDefault="007F71BF" w:rsidP="00F7377C">
            <w:pPr>
              <w:pStyle w:val="ListParagraph"/>
              <w:spacing w:line="256" w:lineRule="auto"/>
              <w:ind w:left="2771"/>
              <w:rPr>
                <w:rFonts w:ascii="GHEA Grapalat" w:hAnsi="GHEA Grapalat"/>
                <w:sz w:val="18"/>
                <w:szCs w:val="18"/>
                <w:lang w:val="hy-AM"/>
              </w:rPr>
            </w:pPr>
            <w:r w:rsidRPr="00B57DAB">
              <w:rPr>
                <w:rFonts w:ascii="Courier New" w:hAnsi="Courier New" w:cs="Courier New"/>
                <w:sz w:val="18"/>
                <w:szCs w:val="18"/>
                <w:lang w:val="hy-AM"/>
              </w:rPr>
              <w:t> </w:t>
            </w:r>
          </w:p>
        </w:tc>
        <w:tc>
          <w:tcPr>
            <w:tcW w:w="1349" w:type="dxa"/>
            <w:tcBorders>
              <w:top w:val="single" w:sz="4" w:space="0" w:color="auto"/>
              <w:left w:val="nil"/>
              <w:bottom w:val="single" w:sz="4" w:space="0" w:color="auto"/>
              <w:right w:val="single" w:sz="4" w:space="0" w:color="auto"/>
            </w:tcBorders>
            <w:vAlign w:val="center"/>
            <w:hideMark/>
          </w:tcPr>
          <w:p w:rsidR="007F71BF" w:rsidRPr="00B57DAB" w:rsidRDefault="007F71BF" w:rsidP="00F7377C">
            <w:pPr>
              <w:spacing w:line="256" w:lineRule="auto"/>
              <w:jc w:val="center"/>
              <w:rPr>
                <w:rFonts w:ascii="GHEA Grapalat" w:hAnsi="GHEA Grapalat" w:cs="Calibri"/>
                <w:b/>
                <w:bCs/>
                <w:sz w:val="18"/>
                <w:szCs w:val="18"/>
              </w:rPr>
            </w:pPr>
            <w:r w:rsidRPr="00B57DAB">
              <w:rPr>
                <w:rFonts w:ascii="GHEA Grapalat" w:hAnsi="GHEA Grapalat" w:cs="Calibri"/>
                <w:b/>
                <w:bCs/>
                <w:sz w:val="18"/>
                <w:szCs w:val="18"/>
              </w:rPr>
              <w:t>Առ 31.12.2021թ.</w:t>
            </w:r>
          </w:p>
        </w:tc>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F71BF" w:rsidRPr="00B57DAB" w:rsidRDefault="007F71BF" w:rsidP="00F7377C">
            <w:pPr>
              <w:spacing w:line="256" w:lineRule="auto"/>
              <w:jc w:val="center"/>
              <w:rPr>
                <w:rFonts w:ascii="GHEA Grapalat" w:hAnsi="GHEA Grapalat" w:cs="Calibri"/>
                <w:b/>
                <w:bCs/>
                <w:sz w:val="18"/>
                <w:szCs w:val="18"/>
              </w:rPr>
            </w:pPr>
            <w:r w:rsidRPr="00B57DAB">
              <w:rPr>
                <w:rFonts w:ascii="GHEA Grapalat" w:hAnsi="GHEA Grapalat" w:cs="Calibri"/>
                <w:b/>
                <w:bCs/>
                <w:sz w:val="18"/>
                <w:szCs w:val="18"/>
              </w:rPr>
              <w:t>Առ 31.03.2022թ.</w:t>
            </w:r>
          </w:p>
        </w:tc>
        <w:tc>
          <w:tcPr>
            <w:tcW w:w="1619" w:type="dxa"/>
            <w:tcBorders>
              <w:top w:val="single" w:sz="4" w:space="0" w:color="auto"/>
              <w:left w:val="nil"/>
              <w:bottom w:val="single" w:sz="4" w:space="0" w:color="auto"/>
              <w:right w:val="single" w:sz="4" w:space="0" w:color="auto"/>
            </w:tcBorders>
            <w:shd w:val="clear" w:color="auto" w:fill="FFFFFF"/>
            <w:vAlign w:val="center"/>
            <w:hideMark/>
          </w:tcPr>
          <w:p w:rsidR="007F71BF" w:rsidRPr="00B57DAB" w:rsidRDefault="007F71BF" w:rsidP="00F7377C">
            <w:pPr>
              <w:spacing w:line="256" w:lineRule="auto"/>
              <w:jc w:val="center"/>
              <w:rPr>
                <w:rFonts w:ascii="GHEA Grapalat" w:hAnsi="GHEA Grapalat" w:cs="Calibri"/>
                <w:b/>
                <w:bCs/>
                <w:sz w:val="18"/>
                <w:szCs w:val="18"/>
              </w:rPr>
            </w:pPr>
            <w:r w:rsidRPr="00B57DAB">
              <w:rPr>
                <w:rFonts w:ascii="GHEA Grapalat" w:hAnsi="GHEA Grapalat" w:cs="Calibri"/>
                <w:b/>
                <w:bCs/>
                <w:sz w:val="18"/>
                <w:szCs w:val="18"/>
              </w:rPr>
              <w:t>Փոփոխություն, գումար</w:t>
            </w:r>
          </w:p>
        </w:tc>
        <w:tc>
          <w:tcPr>
            <w:tcW w:w="1542" w:type="dxa"/>
            <w:tcBorders>
              <w:top w:val="single" w:sz="4" w:space="0" w:color="auto"/>
              <w:left w:val="nil"/>
              <w:bottom w:val="single" w:sz="4" w:space="0" w:color="auto"/>
              <w:right w:val="single" w:sz="4" w:space="0" w:color="auto"/>
            </w:tcBorders>
            <w:shd w:val="clear" w:color="auto" w:fill="FFFFFF"/>
            <w:vAlign w:val="center"/>
            <w:hideMark/>
          </w:tcPr>
          <w:p w:rsidR="007F71BF" w:rsidRPr="00B57DAB" w:rsidRDefault="007F71BF" w:rsidP="00F7377C">
            <w:pPr>
              <w:spacing w:line="256" w:lineRule="auto"/>
              <w:jc w:val="center"/>
              <w:rPr>
                <w:rFonts w:ascii="GHEA Grapalat" w:hAnsi="GHEA Grapalat" w:cs="Calibri"/>
                <w:b/>
                <w:bCs/>
                <w:sz w:val="18"/>
                <w:szCs w:val="18"/>
              </w:rPr>
            </w:pPr>
            <w:r w:rsidRPr="00B57DAB">
              <w:rPr>
                <w:rFonts w:ascii="GHEA Grapalat" w:hAnsi="GHEA Grapalat" w:cs="Calibri"/>
                <w:b/>
                <w:bCs/>
                <w:sz w:val="18"/>
                <w:szCs w:val="18"/>
              </w:rPr>
              <w:t>Փոփոխություն (%)</w:t>
            </w:r>
          </w:p>
        </w:tc>
      </w:tr>
      <w:tr w:rsidR="007F71BF" w:rsidRPr="00B57DAB" w:rsidTr="00F7377C">
        <w:trPr>
          <w:trHeight w:val="272"/>
        </w:trPr>
        <w:tc>
          <w:tcPr>
            <w:tcW w:w="4251" w:type="dxa"/>
            <w:tcBorders>
              <w:top w:val="nil"/>
              <w:left w:val="single" w:sz="4" w:space="0" w:color="auto"/>
              <w:bottom w:val="single" w:sz="4" w:space="0" w:color="auto"/>
              <w:right w:val="single" w:sz="4" w:space="0" w:color="auto"/>
            </w:tcBorders>
            <w:hideMark/>
          </w:tcPr>
          <w:p w:rsidR="007F71BF" w:rsidRPr="00B57DAB" w:rsidRDefault="007F71BF" w:rsidP="00F7377C">
            <w:pPr>
              <w:spacing w:line="256" w:lineRule="auto"/>
              <w:jc w:val="right"/>
              <w:rPr>
                <w:rFonts w:ascii="GHEA Grapalat" w:hAnsi="GHEA Grapalat" w:cs="Calibri"/>
                <w:b/>
                <w:i/>
                <w:sz w:val="18"/>
                <w:szCs w:val="18"/>
              </w:rPr>
            </w:pPr>
            <w:r w:rsidRPr="00B57DAB">
              <w:rPr>
                <w:rFonts w:ascii="GHEA Grapalat" w:hAnsi="GHEA Grapalat" w:cs="Calibri"/>
                <w:b/>
                <w:i/>
                <w:sz w:val="18"/>
                <w:szCs w:val="18"/>
              </w:rPr>
              <w:t>(մլրդ դրամ)</w:t>
            </w:r>
          </w:p>
        </w:tc>
        <w:tc>
          <w:tcPr>
            <w:tcW w:w="1349" w:type="dxa"/>
            <w:tcBorders>
              <w:top w:val="single" w:sz="4" w:space="0" w:color="auto"/>
              <w:left w:val="single" w:sz="4" w:space="0" w:color="auto"/>
              <w:bottom w:val="single" w:sz="4" w:space="0" w:color="auto"/>
              <w:right w:val="single" w:sz="4" w:space="0" w:color="auto"/>
            </w:tcBorders>
          </w:tcPr>
          <w:p w:rsidR="007F71BF" w:rsidRPr="00B57DAB" w:rsidRDefault="007F71BF" w:rsidP="00F7377C">
            <w:pPr>
              <w:spacing w:line="256" w:lineRule="auto"/>
              <w:jc w:val="right"/>
              <w:rPr>
                <w:rFonts w:ascii="GHEA Grapalat" w:hAnsi="GHEA Grapalat" w:cs="Calibri"/>
                <w:b/>
                <w:bCs/>
                <w:sz w:val="18"/>
                <w:szCs w:val="18"/>
              </w:rPr>
            </w:pPr>
          </w:p>
        </w:tc>
        <w:tc>
          <w:tcPr>
            <w:tcW w:w="1439" w:type="dxa"/>
            <w:tcBorders>
              <w:top w:val="nil"/>
              <w:left w:val="single" w:sz="4" w:space="0" w:color="auto"/>
              <w:bottom w:val="single" w:sz="4" w:space="0" w:color="auto"/>
              <w:right w:val="single" w:sz="4" w:space="0" w:color="auto"/>
            </w:tcBorders>
            <w:noWrap/>
          </w:tcPr>
          <w:p w:rsidR="007F71BF" w:rsidRPr="00B57DAB" w:rsidRDefault="007F71BF" w:rsidP="00F7377C">
            <w:pPr>
              <w:spacing w:line="256" w:lineRule="auto"/>
              <w:jc w:val="right"/>
              <w:rPr>
                <w:rFonts w:ascii="GHEA Grapalat" w:hAnsi="GHEA Grapalat" w:cs="Calibri"/>
                <w:b/>
                <w:bCs/>
                <w:sz w:val="18"/>
                <w:szCs w:val="18"/>
              </w:rPr>
            </w:pPr>
          </w:p>
        </w:tc>
        <w:tc>
          <w:tcPr>
            <w:tcW w:w="1619" w:type="dxa"/>
            <w:tcBorders>
              <w:top w:val="nil"/>
              <w:left w:val="nil"/>
              <w:bottom w:val="single" w:sz="4" w:space="0" w:color="auto"/>
              <w:right w:val="single" w:sz="4" w:space="0" w:color="auto"/>
            </w:tcBorders>
            <w:noWrap/>
          </w:tcPr>
          <w:p w:rsidR="007F71BF" w:rsidRPr="00B57DAB" w:rsidRDefault="007F71BF" w:rsidP="00F7377C">
            <w:pPr>
              <w:spacing w:line="256" w:lineRule="auto"/>
              <w:jc w:val="right"/>
              <w:rPr>
                <w:rFonts w:ascii="GHEA Grapalat" w:hAnsi="GHEA Grapalat" w:cs="Calibri"/>
                <w:b/>
                <w:bCs/>
                <w:sz w:val="18"/>
                <w:szCs w:val="18"/>
              </w:rPr>
            </w:pPr>
          </w:p>
        </w:tc>
        <w:tc>
          <w:tcPr>
            <w:tcW w:w="1542" w:type="dxa"/>
            <w:tcBorders>
              <w:top w:val="nil"/>
              <w:left w:val="nil"/>
              <w:bottom w:val="single" w:sz="4" w:space="0" w:color="auto"/>
              <w:right w:val="single" w:sz="4" w:space="0" w:color="auto"/>
            </w:tcBorders>
            <w:noWrap/>
          </w:tcPr>
          <w:p w:rsidR="007F71BF" w:rsidRPr="00B57DAB" w:rsidRDefault="007F71BF" w:rsidP="00F7377C">
            <w:pPr>
              <w:spacing w:line="256" w:lineRule="auto"/>
              <w:jc w:val="right"/>
              <w:rPr>
                <w:rFonts w:ascii="GHEA Grapalat" w:hAnsi="GHEA Grapalat" w:cs="Calibri"/>
                <w:b/>
                <w:bCs/>
                <w:sz w:val="18"/>
                <w:szCs w:val="18"/>
              </w:rPr>
            </w:pPr>
          </w:p>
        </w:tc>
      </w:tr>
      <w:tr w:rsidR="007F71BF" w:rsidRPr="00B57DAB" w:rsidTr="00F7377C">
        <w:trPr>
          <w:trHeight w:val="217"/>
        </w:trPr>
        <w:tc>
          <w:tcPr>
            <w:tcW w:w="4251" w:type="dxa"/>
            <w:tcBorders>
              <w:top w:val="nil"/>
              <w:left w:val="single" w:sz="4" w:space="0" w:color="auto"/>
              <w:bottom w:val="single" w:sz="4" w:space="0" w:color="auto"/>
              <w:right w:val="single" w:sz="4" w:space="0" w:color="auto"/>
            </w:tcBorders>
            <w:hideMark/>
          </w:tcPr>
          <w:p w:rsidR="007F71BF" w:rsidRPr="00B57DAB" w:rsidRDefault="007F71BF" w:rsidP="00F7377C">
            <w:pPr>
              <w:spacing w:line="256" w:lineRule="auto"/>
              <w:rPr>
                <w:rFonts w:ascii="GHEA Grapalat" w:hAnsi="GHEA Grapalat" w:cs="Calibri"/>
                <w:b/>
                <w:bCs/>
                <w:sz w:val="18"/>
                <w:szCs w:val="18"/>
              </w:rPr>
            </w:pPr>
            <w:r w:rsidRPr="00B57DAB">
              <w:rPr>
                <w:rFonts w:ascii="GHEA Grapalat" w:hAnsi="GHEA Grapalat" w:cs="Calibri"/>
                <w:b/>
                <w:sz w:val="18"/>
                <w:szCs w:val="18"/>
              </w:rPr>
              <w:t>ՀՀ պետական պարտք</w:t>
            </w:r>
          </w:p>
        </w:tc>
        <w:tc>
          <w:tcPr>
            <w:tcW w:w="1349" w:type="dxa"/>
            <w:tcBorders>
              <w:top w:val="nil"/>
              <w:left w:val="single" w:sz="4" w:space="0" w:color="auto"/>
              <w:bottom w:val="single" w:sz="4" w:space="0" w:color="auto"/>
              <w:right w:val="single" w:sz="4" w:space="0" w:color="auto"/>
            </w:tcBorders>
            <w:hideMark/>
          </w:tcPr>
          <w:p w:rsidR="007F71BF" w:rsidRPr="00B57DAB" w:rsidRDefault="007F71BF" w:rsidP="00F7377C">
            <w:pPr>
              <w:spacing w:line="256" w:lineRule="auto"/>
              <w:jc w:val="right"/>
              <w:rPr>
                <w:rFonts w:ascii="GHEA Grapalat" w:hAnsi="GHEA Grapalat" w:cs="Calibri"/>
                <w:b/>
                <w:bCs/>
                <w:sz w:val="18"/>
                <w:szCs w:val="18"/>
              </w:rPr>
            </w:pPr>
            <w:r w:rsidRPr="00B57DAB">
              <w:rPr>
                <w:rFonts w:ascii="GHEA Grapalat" w:hAnsi="GHEA Grapalat" w:cs="Calibri"/>
                <w:b/>
                <w:bCs/>
                <w:sz w:val="18"/>
                <w:szCs w:val="18"/>
              </w:rPr>
              <w:t>4,429.6</w:t>
            </w:r>
          </w:p>
        </w:tc>
        <w:tc>
          <w:tcPr>
            <w:tcW w:w="1439" w:type="dxa"/>
            <w:tcBorders>
              <w:top w:val="nil"/>
              <w:left w:val="single" w:sz="4" w:space="0" w:color="auto"/>
              <w:bottom w:val="single" w:sz="4" w:space="0" w:color="auto"/>
              <w:right w:val="single" w:sz="4" w:space="0" w:color="auto"/>
            </w:tcBorders>
            <w:noWrap/>
            <w:hideMark/>
          </w:tcPr>
          <w:p w:rsidR="007F71BF" w:rsidRPr="00B57DAB" w:rsidRDefault="007F71BF" w:rsidP="00F7377C">
            <w:pPr>
              <w:spacing w:line="256" w:lineRule="auto"/>
              <w:jc w:val="right"/>
              <w:rPr>
                <w:rFonts w:ascii="GHEA Grapalat" w:hAnsi="GHEA Grapalat" w:cs="Calibri"/>
                <w:b/>
                <w:bCs/>
                <w:sz w:val="18"/>
                <w:szCs w:val="18"/>
              </w:rPr>
            </w:pPr>
            <w:r w:rsidRPr="00B57DAB">
              <w:rPr>
                <w:rFonts w:ascii="GHEA Grapalat" w:hAnsi="GHEA Grapalat" w:cs="Calibri"/>
                <w:b/>
                <w:bCs/>
                <w:sz w:val="18"/>
                <w:szCs w:val="18"/>
              </w:rPr>
              <w:t>4,563.8</w:t>
            </w:r>
          </w:p>
        </w:tc>
        <w:tc>
          <w:tcPr>
            <w:tcW w:w="1619" w:type="dxa"/>
            <w:tcBorders>
              <w:top w:val="nil"/>
              <w:left w:val="nil"/>
              <w:bottom w:val="single" w:sz="4" w:space="0" w:color="auto"/>
              <w:right w:val="single" w:sz="4" w:space="0" w:color="auto"/>
            </w:tcBorders>
            <w:noWrap/>
            <w:hideMark/>
          </w:tcPr>
          <w:p w:rsidR="007F71BF" w:rsidRPr="00B57DAB" w:rsidRDefault="007F71BF" w:rsidP="00F7377C">
            <w:pPr>
              <w:spacing w:line="256" w:lineRule="auto"/>
              <w:jc w:val="right"/>
              <w:rPr>
                <w:rFonts w:ascii="GHEA Grapalat" w:hAnsi="GHEA Grapalat" w:cs="Calibri"/>
                <w:b/>
                <w:bCs/>
                <w:sz w:val="18"/>
                <w:szCs w:val="18"/>
              </w:rPr>
            </w:pPr>
            <w:r w:rsidRPr="00B57DAB">
              <w:rPr>
                <w:rFonts w:ascii="GHEA Grapalat" w:hAnsi="GHEA Grapalat" w:cs="Calibri"/>
                <w:b/>
                <w:bCs/>
                <w:sz w:val="18"/>
                <w:szCs w:val="18"/>
              </w:rPr>
              <w:t>134.2</w:t>
            </w:r>
          </w:p>
        </w:tc>
        <w:tc>
          <w:tcPr>
            <w:tcW w:w="1542" w:type="dxa"/>
            <w:tcBorders>
              <w:top w:val="nil"/>
              <w:left w:val="nil"/>
              <w:bottom w:val="single" w:sz="4" w:space="0" w:color="auto"/>
              <w:right w:val="single" w:sz="4" w:space="0" w:color="auto"/>
            </w:tcBorders>
            <w:noWrap/>
            <w:hideMark/>
          </w:tcPr>
          <w:p w:rsidR="007F71BF" w:rsidRPr="00B57DAB" w:rsidRDefault="007F71BF" w:rsidP="00F7377C">
            <w:pPr>
              <w:spacing w:line="256" w:lineRule="auto"/>
              <w:jc w:val="right"/>
              <w:rPr>
                <w:rFonts w:ascii="GHEA Grapalat" w:hAnsi="GHEA Grapalat" w:cs="Calibri"/>
                <w:b/>
                <w:bCs/>
                <w:sz w:val="18"/>
                <w:szCs w:val="18"/>
              </w:rPr>
            </w:pPr>
            <w:r w:rsidRPr="00B57DAB">
              <w:rPr>
                <w:rFonts w:ascii="GHEA Grapalat" w:hAnsi="GHEA Grapalat" w:cs="Calibri"/>
                <w:b/>
                <w:bCs/>
                <w:sz w:val="18"/>
                <w:szCs w:val="18"/>
              </w:rPr>
              <w:t>3.0</w:t>
            </w:r>
          </w:p>
        </w:tc>
      </w:tr>
      <w:tr w:rsidR="007F71BF" w:rsidRPr="00B57DAB" w:rsidTr="00F7377C">
        <w:trPr>
          <w:trHeight w:val="309"/>
        </w:trPr>
        <w:tc>
          <w:tcPr>
            <w:tcW w:w="4251" w:type="dxa"/>
            <w:tcBorders>
              <w:top w:val="nil"/>
              <w:left w:val="single" w:sz="4" w:space="0" w:color="auto"/>
              <w:bottom w:val="single" w:sz="4" w:space="0" w:color="auto"/>
              <w:right w:val="single" w:sz="4" w:space="0" w:color="auto"/>
            </w:tcBorders>
            <w:noWrap/>
            <w:hideMark/>
          </w:tcPr>
          <w:p w:rsidR="007F71BF" w:rsidRPr="00B57DAB" w:rsidRDefault="007F71BF" w:rsidP="00F7377C">
            <w:pPr>
              <w:spacing w:line="256" w:lineRule="auto"/>
              <w:rPr>
                <w:rFonts w:ascii="GHEA Grapalat" w:hAnsi="GHEA Grapalat" w:cs="Calibri"/>
                <w:sz w:val="18"/>
                <w:szCs w:val="18"/>
              </w:rPr>
            </w:pPr>
            <w:r w:rsidRPr="00B57DAB">
              <w:rPr>
                <w:rFonts w:ascii="GHEA Grapalat" w:hAnsi="GHEA Grapalat" w:cs="Calibri"/>
                <w:sz w:val="18"/>
                <w:szCs w:val="18"/>
              </w:rPr>
              <w:t>ՀՀ կառավարության պարտք, այդ թվում՝</w:t>
            </w:r>
          </w:p>
        </w:tc>
        <w:tc>
          <w:tcPr>
            <w:tcW w:w="1349" w:type="dxa"/>
            <w:tcBorders>
              <w:top w:val="nil"/>
              <w:left w:val="single" w:sz="4" w:space="0" w:color="auto"/>
              <w:bottom w:val="single" w:sz="4" w:space="0" w:color="auto"/>
              <w:right w:val="single" w:sz="4" w:space="0" w:color="auto"/>
            </w:tcBorders>
            <w:hideMark/>
          </w:tcPr>
          <w:p w:rsidR="007F71BF" w:rsidRPr="00B57DAB" w:rsidRDefault="007F71BF" w:rsidP="00F7377C">
            <w:pPr>
              <w:spacing w:line="256" w:lineRule="auto"/>
              <w:jc w:val="right"/>
              <w:rPr>
                <w:rFonts w:ascii="GHEA Grapalat" w:hAnsi="GHEA Grapalat" w:cs="Calibri"/>
                <w:sz w:val="18"/>
                <w:szCs w:val="18"/>
              </w:rPr>
            </w:pPr>
            <w:r w:rsidRPr="00B57DAB">
              <w:rPr>
                <w:rFonts w:ascii="GHEA Grapalat" w:hAnsi="GHEA Grapalat" w:cs="Calibri"/>
                <w:sz w:val="18"/>
                <w:szCs w:val="18"/>
              </w:rPr>
              <w:t>4,209.8</w:t>
            </w:r>
          </w:p>
        </w:tc>
        <w:tc>
          <w:tcPr>
            <w:tcW w:w="1439" w:type="dxa"/>
            <w:tcBorders>
              <w:top w:val="nil"/>
              <w:left w:val="single" w:sz="4" w:space="0" w:color="auto"/>
              <w:bottom w:val="single" w:sz="4" w:space="0" w:color="auto"/>
              <w:right w:val="single" w:sz="4" w:space="0" w:color="auto"/>
            </w:tcBorders>
            <w:noWrap/>
          </w:tcPr>
          <w:p w:rsidR="007F71BF" w:rsidRPr="00B57DAB" w:rsidRDefault="007F71BF" w:rsidP="00F7377C">
            <w:pPr>
              <w:spacing w:line="256" w:lineRule="auto"/>
              <w:jc w:val="right"/>
              <w:rPr>
                <w:rFonts w:ascii="GHEA Grapalat" w:hAnsi="GHEA Grapalat" w:cs="Calibri"/>
                <w:sz w:val="18"/>
                <w:szCs w:val="18"/>
              </w:rPr>
            </w:pPr>
            <w:r w:rsidRPr="00B57DAB">
              <w:rPr>
                <w:rFonts w:ascii="GHEA Grapalat" w:hAnsi="GHEA Grapalat" w:cs="Calibri"/>
                <w:sz w:val="18"/>
                <w:szCs w:val="18"/>
              </w:rPr>
              <w:t>4,332.8</w:t>
            </w:r>
          </w:p>
        </w:tc>
        <w:tc>
          <w:tcPr>
            <w:tcW w:w="1619" w:type="dxa"/>
            <w:tcBorders>
              <w:top w:val="nil"/>
              <w:left w:val="nil"/>
              <w:bottom w:val="single" w:sz="4" w:space="0" w:color="auto"/>
              <w:right w:val="single" w:sz="4" w:space="0" w:color="auto"/>
            </w:tcBorders>
            <w:noWrap/>
            <w:hideMark/>
          </w:tcPr>
          <w:p w:rsidR="007F71BF" w:rsidRPr="00B57DAB" w:rsidRDefault="007F71BF" w:rsidP="00F7377C">
            <w:pPr>
              <w:spacing w:line="256" w:lineRule="auto"/>
              <w:jc w:val="right"/>
              <w:rPr>
                <w:rFonts w:ascii="GHEA Grapalat" w:hAnsi="GHEA Grapalat" w:cs="Calibri"/>
                <w:sz w:val="18"/>
                <w:szCs w:val="18"/>
              </w:rPr>
            </w:pPr>
            <w:r w:rsidRPr="00B57DAB">
              <w:rPr>
                <w:rFonts w:ascii="GHEA Grapalat" w:hAnsi="GHEA Grapalat" w:cs="Calibri"/>
                <w:sz w:val="18"/>
                <w:szCs w:val="18"/>
              </w:rPr>
              <w:t>123.0</w:t>
            </w:r>
          </w:p>
        </w:tc>
        <w:tc>
          <w:tcPr>
            <w:tcW w:w="1542" w:type="dxa"/>
            <w:tcBorders>
              <w:top w:val="nil"/>
              <w:left w:val="nil"/>
              <w:bottom w:val="single" w:sz="4" w:space="0" w:color="auto"/>
              <w:right w:val="single" w:sz="4" w:space="0" w:color="auto"/>
            </w:tcBorders>
            <w:noWrap/>
          </w:tcPr>
          <w:p w:rsidR="007F71BF" w:rsidRPr="00B57DAB" w:rsidRDefault="007F71BF" w:rsidP="00F7377C">
            <w:pPr>
              <w:spacing w:line="256" w:lineRule="auto"/>
              <w:jc w:val="right"/>
              <w:rPr>
                <w:rFonts w:ascii="GHEA Grapalat" w:hAnsi="GHEA Grapalat" w:cs="Calibri"/>
                <w:sz w:val="18"/>
                <w:szCs w:val="18"/>
              </w:rPr>
            </w:pPr>
            <w:r w:rsidRPr="00B57DAB">
              <w:rPr>
                <w:rFonts w:ascii="GHEA Grapalat" w:hAnsi="GHEA Grapalat" w:cs="Calibri"/>
                <w:sz w:val="18"/>
                <w:szCs w:val="18"/>
              </w:rPr>
              <w:t>2.9</w:t>
            </w:r>
          </w:p>
        </w:tc>
      </w:tr>
      <w:tr w:rsidR="007F71BF" w:rsidRPr="00B57DAB" w:rsidTr="00F7377C">
        <w:trPr>
          <w:trHeight w:val="285"/>
        </w:trPr>
        <w:tc>
          <w:tcPr>
            <w:tcW w:w="4251" w:type="dxa"/>
            <w:tcBorders>
              <w:top w:val="nil"/>
              <w:left w:val="single" w:sz="4" w:space="0" w:color="auto"/>
              <w:bottom w:val="single" w:sz="4" w:space="0" w:color="auto"/>
              <w:right w:val="single" w:sz="4" w:space="0" w:color="auto"/>
            </w:tcBorders>
            <w:noWrap/>
            <w:hideMark/>
          </w:tcPr>
          <w:p w:rsidR="007F71BF" w:rsidRPr="00B57DAB" w:rsidRDefault="007F71BF" w:rsidP="00770F24">
            <w:pPr>
              <w:pStyle w:val="ListParagraph"/>
              <w:numPr>
                <w:ilvl w:val="0"/>
                <w:numId w:val="10"/>
              </w:numPr>
              <w:tabs>
                <w:tab w:val="left" w:pos="459"/>
              </w:tabs>
              <w:spacing w:line="256" w:lineRule="auto"/>
              <w:ind w:left="34" w:firstLine="236"/>
              <w:rPr>
                <w:rFonts w:ascii="GHEA Grapalat" w:hAnsi="GHEA Grapalat"/>
                <w:sz w:val="18"/>
                <w:szCs w:val="18"/>
                <w:lang w:val="hy-AM"/>
              </w:rPr>
            </w:pPr>
            <w:r w:rsidRPr="00B57DAB">
              <w:rPr>
                <w:rFonts w:ascii="GHEA Grapalat" w:hAnsi="GHEA Grapalat"/>
                <w:sz w:val="18"/>
                <w:szCs w:val="18"/>
                <w:lang w:val="hy-AM"/>
              </w:rPr>
              <w:t>ՀՀ կառավարության արտաքին պարտք</w:t>
            </w:r>
          </w:p>
        </w:tc>
        <w:tc>
          <w:tcPr>
            <w:tcW w:w="1349" w:type="dxa"/>
            <w:tcBorders>
              <w:top w:val="nil"/>
              <w:left w:val="single" w:sz="4" w:space="0" w:color="auto"/>
              <w:bottom w:val="single" w:sz="4" w:space="0" w:color="auto"/>
              <w:right w:val="single" w:sz="4" w:space="0" w:color="auto"/>
            </w:tcBorders>
            <w:hideMark/>
          </w:tcPr>
          <w:p w:rsidR="007F71BF" w:rsidRPr="00B57DAB" w:rsidRDefault="007F71BF" w:rsidP="00F7377C">
            <w:pPr>
              <w:spacing w:line="256" w:lineRule="auto"/>
              <w:jc w:val="right"/>
              <w:rPr>
                <w:rFonts w:ascii="GHEA Grapalat" w:hAnsi="GHEA Grapalat" w:cs="Calibri"/>
                <w:sz w:val="18"/>
                <w:szCs w:val="18"/>
              </w:rPr>
            </w:pPr>
            <w:r w:rsidRPr="00B57DAB">
              <w:rPr>
                <w:rFonts w:ascii="GHEA Grapalat" w:hAnsi="GHEA Grapalat" w:cs="Calibri"/>
                <w:sz w:val="18"/>
                <w:szCs w:val="18"/>
              </w:rPr>
              <w:t>2,972.4</w:t>
            </w:r>
          </w:p>
        </w:tc>
        <w:tc>
          <w:tcPr>
            <w:tcW w:w="1439" w:type="dxa"/>
            <w:tcBorders>
              <w:top w:val="nil"/>
              <w:left w:val="single" w:sz="4" w:space="0" w:color="auto"/>
              <w:bottom w:val="single" w:sz="4" w:space="0" w:color="auto"/>
              <w:right w:val="single" w:sz="4" w:space="0" w:color="auto"/>
            </w:tcBorders>
            <w:noWrap/>
            <w:hideMark/>
          </w:tcPr>
          <w:p w:rsidR="007F71BF" w:rsidRPr="00B57DAB" w:rsidRDefault="007F71BF" w:rsidP="00F7377C">
            <w:pPr>
              <w:spacing w:line="256" w:lineRule="auto"/>
              <w:jc w:val="right"/>
              <w:rPr>
                <w:rFonts w:ascii="GHEA Grapalat" w:hAnsi="GHEA Grapalat" w:cs="Calibri"/>
                <w:sz w:val="18"/>
                <w:szCs w:val="18"/>
              </w:rPr>
            </w:pPr>
            <w:r w:rsidRPr="00B57DAB">
              <w:rPr>
                <w:rFonts w:ascii="GHEA Grapalat" w:hAnsi="GHEA Grapalat" w:cs="Calibri"/>
                <w:sz w:val="18"/>
                <w:szCs w:val="18"/>
              </w:rPr>
              <w:t>3,010.4</w:t>
            </w:r>
          </w:p>
        </w:tc>
        <w:tc>
          <w:tcPr>
            <w:tcW w:w="1619" w:type="dxa"/>
            <w:tcBorders>
              <w:top w:val="nil"/>
              <w:left w:val="nil"/>
              <w:bottom w:val="single" w:sz="4" w:space="0" w:color="auto"/>
              <w:right w:val="single" w:sz="4" w:space="0" w:color="auto"/>
            </w:tcBorders>
            <w:noWrap/>
            <w:hideMark/>
          </w:tcPr>
          <w:p w:rsidR="007F71BF" w:rsidRPr="00B57DAB" w:rsidRDefault="007F71BF" w:rsidP="00F7377C">
            <w:pPr>
              <w:spacing w:line="256" w:lineRule="auto"/>
              <w:jc w:val="right"/>
              <w:rPr>
                <w:rFonts w:ascii="GHEA Grapalat" w:hAnsi="GHEA Grapalat" w:cs="Calibri"/>
                <w:sz w:val="18"/>
                <w:szCs w:val="18"/>
              </w:rPr>
            </w:pPr>
            <w:r w:rsidRPr="00B57DAB">
              <w:rPr>
                <w:rFonts w:ascii="GHEA Grapalat" w:hAnsi="GHEA Grapalat" w:cs="Calibri"/>
                <w:sz w:val="18"/>
                <w:szCs w:val="18"/>
              </w:rPr>
              <w:t>38.0</w:t>
            </w:r>
          </w:p>
        </w:tc>
        <w:tc>
          <w:tcPr>
            <w:tcW w:w="1542" w:type="dxa"/>
            <w:tcBorders>
              <w:top w:val="nil"/>
              <w:left w:val="nil"/>
              <w:bottom w:val="single" w:sz="4" w:space="0" w:color="auto"/>
              <w:right w:val="single" w:sz="4" w:space="0" w:color="auto"/>
            </w:tcBorders>
            <w:noWrap/>
            <w:hideMark/>
          </w:tcPr>
          <w:p w:rsidR="007F71BF" w:rsidRPr="00B57DAB" w:rsidRDefault="007F71BF" w:rsidP="00F7377C">
            <w:pPr>
              <w:spacing w:line="256" w:lineRule="auto"/>
              <w:jc w:val="right"/>
              <w:rPr>
                <w:rFonts w:ascii="GHEA Grapalat" w:hAnsi="GHEA Grapalat" w:cs="Calibri"/>
                <w:sz w:val="18"/>
                <w:szCs w:val="18"/>
              </w:rPr>
            </w:pPr>
            <w:r w:rsidRPr="00B57DAB">
              <w:rPr>
                <w:rFonts w:ascii="GHEA Grapalat" w:hAnsi="GHEA Grapalat" w:cs="Calibri"/>
                <w:sz w:val="18"/>
                <w:szCs w:val="18"/>
              </w:rPr>
              <w:t>1.3</w:t>
            </w:r>
          </w:p>
        </w:tc>
      </w:tr>
      <w:tr w:rsidR="007F71BF" w:rsidRPr="00B57DAB" w:rsidTr="00F7377C">
        <w:trPr>
          <w:trHeight w:val="261"/>
        </w:trPr>
        <w:tc>
          <w:tcPr>
            <w:tcW w:w="4251" w:type="dxa"/>
            <w:tcBorders>
              <w:top w:val="nil"/>
              <w:left w:val="single" w:sz="4" w:space="0" w:color="auto"/>
              <w:bottom w:val="single" w:sz="4" w:space="0" w:color="auto"/>
              <w:right w:val="single" w:sz="4" w:space="0" w:color="auto"/>
            </w:tcBorders>
            <w:noWrap/>
            <w:hideMark/>
          </w:tcPr>
          <w:p w:rsidR="007F71BF" w:rsidRPr="00B57DAB" w:rsidRDefault="007F71BF" w:rsidP="00770F24">
            <w:pPr>
              <w:pStyle w:val="ListParagraph"/>
              <w:numPr>
                <w:ilvl w:val="0"/>
                <w:numId w:val="10"/>
              </w:numPr>
              <w:tabs>
                <w:tab w:val="left" w:pos="459"/>
              </w:tabs>
              <w:spacing w:line="256" w:lineRule="auto"/>
              <w:ind w:left="34" w:firstLine="236"/>
              <w:rPr>
                <w:rFonts w:ascii="GHEA Grapalat" w:hAnsi="GHEA Grapalat"/>
                <w:sz w:val="18"/>
                <w:szCs w:val="18"/>
                <w:lang w:val="hy-AM"/>
              </w:rPr>
            </w:pPr>
            <w:r w:rsidRPr="00B57DAB">
              <w:rPr>
                <w:rFonts w:ascii="GHEA Grapalat" w:hAnsi="GHEA Grapalat"/>
                <w:sz w:val="18"/>
                <w:szCs w:val="18"/>
                <w:lang w:val="hy-AM"/>
              </w:rPr>
              <w:t>ՀՀ կառավարության ներքին պարտք</w:t>
            </w:r>
          </w:p>
        </w:tc>
        <w:tc>
          <w:tcPr>
            <w:tcW w:w="1349" w:type="dxa"/>
            <w:tcBorders>
              <w:top w:val="nil"/>
              <w:left w:val="single" w:sz="4" w:space="0" w:color="auto"/>
              <w:bottom w:val="single" w:sz="4" w:space="0" w:color="auto"/>
              <w:right w:val="single" w:sz="4" w:space="0" w:color="auto"/>
            </w:tcBorders>
            <w:hideMark/>
          </w:tcPr>
          <w:p w:rsidR="007F71BF" w:rsidRPr="00B57DAB" w:rsidRDefault="007F71BF" w:rsidP="00F7377C">
            <w:pPr>
              <w:spacing w:line="256" w:lineRule="auto"/>
              <w:jc w:val="right"/>
              <w:rPr>
                <w:rFonts w:ascii="GHEA Grapalat" w:hAnsi="GHEA Grapalat" w:cs="Calibri"/>
                <w:sz w:val="18"/>
                <w:szCs w:val="18"/>
              </w:rPr>
            </w:pPr>
            <w:r w:rsidRPr="00B57DAB">
              <w:rPr>
                <w:rFonts w:ascii="GHEA Grapalat" w:hAnsi="GHEA Grapalat" w:cs="Calibri"/>
                <w:sz w:val="18"/>
                <w:szCs w:val="18"/>
              </w:rPr>
              <w:t>1,237.4</w:t>
            </w:r>
          </w:p>
        </w:tc>
        <w:tc>
          <w:tcPr>
            <w:tcW w:w="1439" w:type="dxa"/>
            <w:tcBorders>
              <w:top w:val="nil"/>
              <w:left w:val="single" w:sz="4" w:space="0" w:color="auto"/>
              <w:bottom w:val="single" w:sz="4" w:space="0" w:color="auto"/>
              <w:right w:val="single" w:sz="4" w:space="0" w:color="auto"/>
            </w:tcBorders>
            <w:noWrap/>
            <w:hideMark/>
          </w:tcPr>
          <w:p w:rsidR="007F71BF" w:rsidRPr="00B57DAB" w:rsidRDefault="007F71BF" w:rsidP="00F7377C">
            <w:pPr>
              <w:spacing w:line="256" w:lineRule="auto"/>
              <w:jc w:val="right"/>
              <w:rPr>
                <w:rFonts w:ascii="GHEA Grapalat" w:hAnsi="GHEA Grapalat" w:cs="Calibri"/>
                <w:sz w:val="18"/>
                <w:szCs w:val="18"/>
              </w:rPr>
            </w:pPr>
            <w:r w:rsidRPr="00B57DAB">
              <w:rPr>
                <w:rFonts w:ascii="GHEA Grapalat" w:hAnsi="GHEA Grapalat" w:cs="Calibri"/>
                <w:sz w:val="18"/>
                <w:szCs w:val="18"/>
              </w:rPr>
              <w:t>1,322.5</w:t>
            </w:r>
          </w:p>
        </w:tc>
        <w:tc>
          <w:tcPr>
            <w:tcW w:w="1619" w:type="dxa"/>
            <w:tcBorders>
              <w:top w:val="nil"/>
              <w:left w:val="nil"/>
              <w:bottom w:val="single" w:sz="4" w:space="0" w:color="auto"/>
              <w:right w:val="single" w:sz="4" w:space="0" w:color="auto"/>
            </w:tcBorders>
            <w:noWrap/>
            <w:hideMark/>
          </w:tcPr>
          <w:p w:rsidR="007F71BF" w:rsidRPr="00B57DAB" w:rsidRDefault="007F71BF" w:rsidP="0035191B">
            <w:pPr>
              <w:spacing w:line="256" w:lineRule="auto"/>
              <w:jc w:val="right"/>
              <w:rPr>
                <w:rFonts w:ascii="GHEA Grapalat" w:hAnsi="GHEA Grapalat" w:cs="Calibri"/>
                <w:sz w:val="18"/>
                <w:szCs w:val="18"/>
              </w:rPr>
            </w:pPr>
            <w:r w:rsidRPr="00B57DAB">
              <w:rPr>
                <w:rFonts w:ascii="GHEA Grapalat" w:hAnsi="GHEA Grapalat" w:cs="Calibri"/>
                <w:sz w:val="18"/>
                <w:szCs w:val="18"/>
              </w:rPr>
              <w:t>85.</w:t>
            </w:r>
            <w:r w:rsidR="0035191B" w:rsidRPr="00B57DAB">
              <w:rPr>
                <w:rFonts w:ascii="GHEA Grapalat" w:hAnsi="GHEA Grapalat" w:cs="Calibri"/>
                <w:sz w:val="18"/>
                <w:szCs w:val="18"/>
              </w:rPr>
              <w:t>0</w:t>
            </w:r>
          </w:p>
        </w:tc>
        <w:tc>
          <w:tcPr>
            <w:tcW w:w="1542" w:type="dxa"/>
            <w:tcBorders>
              <w:top w:val="nil"/>
              <w:left w:val="nil"/>
              <w:bottom w:val="single" w:sz="4" w:space="0" w:color="auto"/>
              <w:right w:val="single" w:sz="4" w:space="0" w:color="auto"/>
            </w:tcBorders>
            <w:noWrap/>
            <w:hideMark/>
          </w:tcPr>
          <w:p w:rsidR="007F71BF" w:rsidRPr="00B57DAB" w:rsidRDefault="007F71BF" w:rsidP="00F7377C">
            <w:pPr>
              <w:spacing w:line="256" w:lineRule="auto"/>
              <w:jc w:val="right"/>
              <w:rPr>
                <w:rFonts w:ascii="GHEA Grapalat" w:hAnsi="GHEA Grapalat" w:cs="Calibri"/>
                <w:sz w:val="18"/>
                <w:szCs w:val="18"/>
              </w:rPr>
            </w:pPr>
            <w:r w:rsidRPr="00B57DAB">
              <w:rPr>
                <w:rFonts w:ascii="GHEA Grapalat" w:hAnsi="GHEA Grapalat" w:cs="Calibri"/>
                <w:sz w:val="18"/>
                <w:szCs w:val="18"/>
              </w:rPr>
              <w:t>6.9</w:t>
            </w:r>
          </w:p>
        </w:tc>
      </w:tr>
      <w:tr w:rsidR="007F71BF" w:rsidRPr="00B57DAB" w:rsidTr="00F7377C">
        <w:trPr>
          <w:trHeight w:val="160"/>
        </w:trPr>
        <w:tc>
          <w:tcPr>
            <w:tcW w:w="4251" w:type="dxa"/>
            <w:tcBorders>
              <w:top w:val="nil"/>
              <w:left w:val="single" w:sz="4" w:space="0" w:color="auto"/>
              <w:bottom w:val="single" w:sz="4" w:space="0" w:color="auto"/>
              <w:right w:val="single" w:sz="4" w:space="0" w:color="auto"/>
            </w:tcBorders>
            <w:noWrap/>
            <w:hideMark/>
          </w:tcPr>
          <w:p w:rsidR="007F71BF" w:rsidRPr="00B57DAB" w:rsidRDefault="007F71BF" w:rsidP="00F7377C">
            <w:pPr>
              <w:spacing w:line="256" w:lineRule="auto"/>
              <w:rPr>
                <w:rFonts w:ascii="GHEA Grapalat" w:hAnsi="GHEA Grapalat" w:cs="Calibri"/>
                <w:sz w:val="18"/>
                <w:szCs w:val="18"/>
              </w:rPr>
            </w:pPr>
            <w:r w:rsidRPr="00B57DAB">
              <w:rPr>
                <w:rFonts w:ascii="GHEA Grapalat" w:hAnsi="GHEA Grapalat" w:cs="Calibri"/>
                <w:sz w:val="18"/>
                <w:szCs w:val="18"/>
              </w:rPr>
              <w:t>ՀՀ կենտրոնական բանկի պարտք (արտաքին)</w:t>
            </w:r>
          </w:p>
        </w:tc>
        <w:tc>
          <w:tcPr>
            <w:tcW w:w="1349" w:type="dxa"/>
            <w:tcBorders>
              <w:top w:val="nil"/>
              <w:left w:val="single" w:sz="4" w:space="0" w:color="auto"/>
              <w:bottom w:val="single" w:sz="4" w:space="0" w:color="auto"/>
              <w:right w:val="single" w:sz="4" w:space="0" w:color="auto"/>
            </w:tcBorders>
            <w:hideMark/>
          </w:tcPr>
          <w:p w:rsidR="007F71BF" w:rsidRPr="00B57DAB" w:rsidRDefault="007F71BF" w:rsidP="00F7377C">
            <w:pPr>
              <w:spacing w:line="256" w:lineRule="auto"/>
              <w:jc w:val="right"/>
              <w:rPr>
                <w:rFonts w:ascii="GHEA Grapalat" w:hAnsi="GHEA Grapalat" w:cs="Calibri"/>
                <w:sz w:val="18"/>
                <w:szCs w:val="18"/>
              </w:rPr>
            </w:pPr>
            <w:r w:rsidRPr="00B57DAB">
              <w:rPr>
                <w:rFonts w:ascii="GHEA Grapalat" w:hAnsi="GHEA Grapalat" w:cs="Calibri"/>
                <w:sz w:val="18"/>
                <w:szCs w:val="18"/>
              </w:rPr>
              <w:t>219.8</w:t>
            </w:r>
          </w:p>
        </w:tc>
        <w:tc>
          <w:tcPr>
            <w:tcW w:w="1439" w:type="dxa"/>
            <w:tcBorders>
              <w:top w:val="nil"/>
              <w:left w:val="single" w:sz="4" w:space="0" w:color="auto"/>
              <w:bottom w:val="single" w:sz="4" w:space="0" w:color="auto"/>
              <w:right w:val="single" w:sz="4" w:space="0" w:color="auto"/>
            </w:tcBorders>
            <w:noWrap/>
            <w:hideMark/>
          </w:tcPr>
          <w:p w:rsidR="007F71BF" w:rsidRPr="00B57DAB" w:rsidRDefault="007F71BF" w:rsidP="00F7377C">
            <w:pPr>
              <w:spacing w:line="256" w:lineRule="auto"/>
              <w:jc w:val="right"/>
              <w:rPr>
                <w:rFonts w:ascii="GHEA Grapalat" w:hAnsi="GHEA Grapalat" w:cs="Calibri"/>
                <w:sz w:val="18"/>
                <w:szCs w:val="18"/>
              </w:rPr>
            </w:pPr>
            <w:r w:rsidRPr="00B57DAB">
              <w:rPr>
                <w:rFonts w:ascii="GHEA Grapalat" w:hAnsi="GHEA Grapalat" w:cs="Calibri"/>
                <w:sz w:val="18"/>
                <w:szCs w:val="18"/>
              </w:rPr>
              <w:t>231.0</w:t>
            </w:r>
          </w:p>
        </w:tc>
        <w:tc>
          <w:tcPr>
            <w:tcW w:w="1619" w:type="dxa"/>
            <w:tcBorders>
              <w:top w:val="nil"/>
              <w:left w:val="nil"/>
              <w:bottom w:val="single" w:sz="4" w:space="0" w:color="auto"/>
              <w:right w:val="single" w:sz="4" w:space="0" w:color="auto"/>
            </w:tcBorders>
            <w:noWrap/>
            <w:hideMark/>
          </w:tcPr>
          <w:p w:rsidR="007F71BF" w:rsidRPr="00B57DAB" w:rsidRDefault="007F71BF" w:rsidP="00F7377C">
            <w:pPr>
              <w:spacing w:line="256" w:lineRule="auto"/>
              <w:jc w:val="right"/>
              <w:rPr>
                <w:rFonts w:ascii="GHEA Grapalat" w:hAnsi="GHEA Grapalat" w:cs="Calibri"/>
                <w:sz w:val="18"/>
                <w:szCs w:val="18"/>
              </w:rPr>
            </w:pPr>
            <w:r w:rsidRPr="00B57DAB">
              <w:rPr>
                <w:rFonts w:ascii="GHEA Grapalat" w:hAnsi="GHEA Grapalat" w:cs="Calibri"/>
                <w:sz w:val="18"/>
                <w:szCs w:val="18"/>
              </w:rPr>
              <w:t>11.2</w:t>
            </w:r>
          </w:p>
        </w:tc>
        <w:tc>
          <w:tcPr>
            <w:tcW w:w="1542" w:type="dxa"/>
            <w:tcBorders>
              <w:top w:val="nil"/>
              <w:left w:val="nil"/>
              <w:bottom w:val="single" w:sz="4" w:space="0" w:color="auto"/>
              <w:right w:val="single" w:sz="4" w:space="0" w:color="auto"/>
            </w:tcBorders>
            <w:noWrap/>
            <w:hideMark/>
          </w:tcPr>
          <w:p w:rsidR="007F71BF" w:rsidRPr="00B57DAB" w:rsidRDefault="007F71BF" w:rsidP="00F7377C">
            <w:pPr>
              <w:spacing w:line="256" w:lineRule="auto"/>
              <w:jc w:val="right"/>
              <w:rPr>
                <w:rFonts w:ascii="GHEA Grapalat" w:hAnsi="GHEA Grapalat" w:cs="Calibri"/>
                <w:sz w:val="18"/>
                <w:szCs w:val="18"/>
              </w:rPr>
            </w:pPr>
            <w:r w:rsidRPr="00B57DAB">
              <w:rPr>
                <w:rFonts w:ascii="GHEA Grapalat" w:hAnsi="GHEA Grapalat" w:cs="Calibri"/>
                <w:sz w:val="18"/>
                <w:szCs w:val="18"/>
              </w:rPr>
              <w:t>5.1</w:t>
            </w:r>
          </w:p>
        </w:tc>
      </w:tr>
      <w:tr w:rsidR="007F71BF" w:rsidRPr="00B57DAB" w:rsidTr="00F7377C">
        <w:trPr>
          <w:trHeight w:val="177"/>
        </w:trPr>
        <w:tc>
          <w:tcPr>
            <w:tcW w:w="4251" w:type="dxa"/>
            <w:tcBorders>
              <w:top w:val="single" w:sz="4" w:space="0" w:color="auto"/>
              <w:left w:val="single" w:sz="4" w:space="0" w:color="auto"/>
              <w:bottom w:val="single" w:sz="4" w:space="0" w:color="auto"/>
              <w:right w:val="single" w:sz="4" w:space="0" w:color="auto"/>
            </w:tcBorders>
            <w:noWrap/>
            <w:hideMark/>
          </w:tcPr>
          <w:p w:rsidR="007F71BF" w:rsidRPr="00B57DAB" w:rsidRDefault="007F71BF" w:rsidP="00F7377C">
            <w:pPr>
              <w:spacing w:line="256" w:lineRule="auto"/>
              <w:jc w:val="right"/>
              <w:rPr>
                <w:rFonts w:ascii="GHEA Grapalat" w:hAnsi="GHEA Grapalat" w:cs="Calibri"/>
                <w:b/>
                <w:sz w:val="18"/>
                <w:szCs w:val="18"/>
              </w:rPr>
            </w:pPr>
            <w:r w:rsidRPr="00B57DAB">
              <w:rPr>
                <w:rFonts w:ascii="GHEA Grapalat" w:hAnsi="GHEA Grapalat" w:cs="Calibri"/>
                <w:b/>
                <w:i/>
                <w:sz w:val="18"/>
                <w:szCs w:val="18"/>
              </w:rPr>
              <w:t>(մլն ԱՄՆ դոլար)</w:t>
            </w:r>
          </w:p>
        </w:tc>
        <w:tc>
          <w:tcPr>
            <w:tcW w:w="1349" w:type="dxa"/>
            <w:tcBorders>
              <w:top w:val="single" w:sz="4" w:space="0" w:color="auto"/>
              <w:left w:val="single" w:sz="4" w:space="0" w:color="auto"/>
              <w:bottom w:val="single" w:sz="4" w:space="0" w:color="auto"/>
              <w:right w:val="single" w:sz="4" w:space="0" w:color="auto"/>
            </w:tcBorders>
            <w:shd w:val="clear" w:color="auto" w:fill="FFFFFF"/>
            <w:vAlign w:val="center"/>
          </w:tcPr>
          <w:p w:rsidR="007F71BF" w:rsidRPr="00B57DAB" w:rsidRDefault="007F71BF" w:rsidP="00F7377C">
            <w:pPr>
              <w:spacing w:line="256" w:lineRule="auto"/>
              <w:jc w:val="center"/>
              <w:rPr>
                <w:rFonts w:ascii="GHEA Grapalat" w:hAnsi="GHEA Grapalat" w:cs="Calibri"/>
                <w:b/>
                <w:bCs/>
                <w:sz w:val="18"/>
                <w:szCs w:val="18"/>
              </w:rPr>
            </w:pPr>
          </w:p>
        </w:tc>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7F71BF" w:rsidRPr="00B57DAB" w:rsidRDefault="007F71BF" w:rsidP="00F7377C">
            <w:pPr>
              <w:spacing w:line="256" w:lineRule="auto"/>
              <w:jc w:val="center"/>
              <w:rPr>
                <w:rFonts w:ascii="GHEA Grapalat" w:hAnsi="GHEA Grapalat" w:cs="Calibri"/>
                <w:b/>
                <w:bCs/>
                <w:sz w:val="18"/>
                <w:szCs w:val="18"/>
              </w:rPr>
            </w:pPr>
          </w:p>
        </w:tc>
        <w:tc>
          <w:tcPr>
            <w:tcW w:w="1619" w:type="dxa"/>
            <w:tcBorders>
              <w:top w:val="single" w:sz="4" w:space="0" w:color="auto"/>
              <w:left w:val="nil"/>
              <w:bottom w:val="single" w:sz="4" w:space="0" w:color="auto"/>
              <w:right w:val="single" w:sz="4" w:space="0" w:color="auto"/>
            </w:tcBorders>
            <w:shd w:val="clear" w:color="auto" w:fill="FFFFFF"/>
            <w:vAlign w:val="center"/>
          </w:tcPr>
          <w:p w:rsidR="007F71BF" w:rsidRPr="00B57DAB" w:rsidRDefault="007F71BF" w:rsidP="00F7377C">
            <w:pPr>
              <w:spacing w:line="256" w:lineRule="auto"/>
              <w:jc w:val="center"/>
              <w:rPr>
                <w:rFonts w:ascii="GHEA Grapalat" w:hAnsi="GHEA Grapalat" w:cs="Calibri"/>
                <w:b/>
                <w:bCs/>
                <w:sz w:val="18"/>
                <w:szCs w:val="18"/>
              </w:rPr>
            </w:pPr>
          </w:p>
        </w:tc>
        <w:tc>
          <w:tcPr>
            <w:tcW w:w="1542" w:type="dxa"/>
            <w:tcBorders>
              <w:top w:val="single" w:sz="4" w:space="0" w:color="auto"/>
              <w:left w:val="nil"/>
              <w:bottom w:val="single" w:sz="4" w:space="0" w:color="auto"/>
              <w:right w:val="single" w:sz="4" w:space="0" w:color="auto"/>
            </w:tcBorders>
            <w:shd w:val="clear" w:color="auto" w:fill="FFFFFF"/>
            <w:vAlign w:val="center"/>
          </w:tcPr>
          <w:p w:rsidR="007F71BF" w:rsidRPr="00B57DAB" w:rsidRDefault="007F71BF" w:rsidP="00F7377C">
            <w:pPr>
              <w:spacing w:line="256" w:lineRule="auto"/>
              <w:jc w:val="center"/>
              <w:rPr>
                <w:rFonts w:ascii="GHEA Grapalat" w:hAnsi="GHEA Grapalat" w:cs="Calibri"/>
                <w:b/>
                <w:bCs/>
                <w:sz w:val="18"/>
                <w:szCs w:val="18"/>
              </w:rPr>
            </w:pPr>
          </w:p>
        </w:tc>
      </w:tr>
      <w:tr w:rsidR="007F71BF" w:rsidRPr="00B57DAB" w:rsidTr="00F7377C">
        <w:trPr>
          <w:trHeight w:val="271"/>
        </w:trPr>
        <w:tc>
          <w:tcPr>
            <w:tcW w:w="4251" w:type="dxa"/>
            <w:tcBorders>
              <w:top w:val="nil"/>
              <w:left w:val="single" w:sz="4" w:space="0" w:color="auto"/>
              <w:bottom w:val="single" w:sz="4" w:space="0" w:color="auto"/>
              <w:right w:val="single" w:sz="4" w:space="0" w:color="auto"/>
            </w:tcBorders>
            <w:hideMark/>
          </w:tcPr>
          <w:p w:rsidR="007F71BF" w:rsidRPr="00B57DAB" w:rsidRDefault="007F71BF" w:rsidP="00F7377C">
            <w:pPr>
              <w:spacing w:line="256" w:lineRule="auto"/>
              <w:rPr>
                <w:rFonts w:ascii="GHEA Grapalat" w:hAnsi="GHEA Grapalat" w:cs="Calibri"/>
                <w:b/>
                <w:bCs/>
                <w:sz w:val="18"/>
                <w:szCs w:val="18"/>
              </w:rPr>
            </w:pPr>
            <w:r w:rsidRPr="00B57DAB">
              <w:rPr>
                <w:rFonts w:ascii="GHEA Grapalat" w:hAnsi="GHEA Grapalat" w:cs="Calibri"/>
                <w:b/>
                <w:sz w:val="18"/>
                <w:szCs w:val="18"/>
              </w:rPr>
              <w:t>ՀՀ պետական պարտք</w:t>
            </w:r>
          </w:p>
        </w:tc>
        <w:tc>
          <w:tcPr>
            <w:tcW w:w="1349" w:type="dxa"/>
            <w:tcBorders>
              <w:top w:val="nil"/>
              <w:left w:val="single" w:sz="4" w:space="0" w:color="auto"/>
              <w:bottom w:val="single" w:sz="4" w:space="0" w:color="auto"/>
              <w:right w:val="single" w:sz="4" w:space="0" w:color="auto"/>
            </w:tcBorders>
            <w:hideMark/>
          </w:tcPr>
          <w:p w:rsidR="007F71BF" w:rsidRPr="00B57DAB" w:rsidRDefault="007F71BF" w:rsidP="00F7377C">
            <w:pPr>
              <w:spacing w:line="256" w:lineRule="auto"/>
              <w:jc w:val="right"/>
              <w:rPr>
                <w:rFonts w:ascii="GHEA Grapalat" w:hAnsi="GHEA Grapalat" w:cs="Calibri"/>
                <w:b/>
                <w:bCs/>
                <w:sz w:val="18"/>
                <w:szCs w:val="18"/>
              </w:rPr>
            </w:pPr>
            <w:r w:rsidRPr="00B57DAB">
              <w:rPr>
                <w:rFonts w:ascii="GHEA Grapalat" w:hAnsi="GHEA Grapalat" w:cs="Calibri"/>
                <w:b/>
                <w:bCs/>
                <w:sz w:val="18"/>
                <w:szCs w:val="18"/>
              </w:rPr>
              <w:t>9,225.6</w:t>
            </w:r>
          </w:p>
        </w:tc>
        <w:tc>
          <w:tcPr>
            <w:tcW w:w="1439" w:type="dxa"/>
            <w:tcBorders>
              <w:top w:val="nil"/>
              <w:left w:val="single" w:sz="4" w:space="0" w:color="auto"/>
              <w:bottom w:val="single" w:sz="4" w:space="0" w:color="auto"/>
              <w:right w:val="single" w:sz="4" w:space="0" w:color="auto"/>
            </w:tcBorders>
            <w:noWrap/>
            <w:hideMark/>
          </w:tcPr>
          <w:p w:rsidR="007F71BF" w:rsidRPr="00B57DAB" w:rsidRDefault="007F71BF" w:rsidP="00F7377C">
            <w:pPr>
              <w:spacing w:line="256" w:lineRule="auto"/>
              <w:jc w:val="right"/>
              <w:rPr>
                <w:rFonts w:ascii="GHEA Grapalat" w:hAnsi="GHEA Grapalat" w:cs="Calibri"/>
                <w:b/>
                <w:bCs/>
                <w:sz w:val="18"/>
                <w:szCs w:val="18"/>
              </w:rPr>
            </w:pPr>
            <w:r w:rsidRPr="00B57DAB">
              <w:rPr>
                <w:rFonts w:ascii="GHEA Grapalat" w:hAnsi="GHEA Grapalat" w:cs="Calibri"/>
                <w:b/>
                <w:bCs/>
                <w:sz w:val="18"/>
                <w:szCs w:val="18"/>
              </w:rPr>
              <w:t>9,356.5</w:t>
            </w:r>
          </w:p>
        </w:tc>
        <w:tc>
          <w:tcPr>
            <w:tcW w:w="1619" w:type="dxa"/>
            <w:tcBorders>
              <w:top w:val="nil"/>
              <w:left w:val="nil"/>
              <w:bottom w:val="single" w:sz="4" w:space="0" w:color="auto"/>
              <w:right w:val="single" w:sz="4" w:space="0" w:color="auto"/>
            </w:tcBorders>
            <w:noWrap/>
            <w:hideMark/>
          </w:tcPr>
          <w:p w:rsidR="007F71BF" w:rsidRPr="00B57DAB" w:rsidRDefault="007F71BF" w:rsidP="00F7377C">
            <w:pPr>
              <w:spacing w:line="256" w:lineRule="auto"/>
              <w:jc w:val="right"/>
              <w:rPr>
                <w:rFonts w:ascii="GHEA Grapalat" w:hAnsi="GHEA Grapalat" w:cs="Calibri"/>
                <w:b/>
                <w:bCs/>
                <w:sz w:val="18"/>
                <w:szCs w:val="18"/>
              </w:rPr>
            </w:pPr>
            <w:r w:rsidRPr="00B57DAB">
              <w:rPr>
                <w:rFonts w:ascii="GHEA Grapalat" w:hAnsi="GHEA Grapalat" w:cs="Calibri"/>
                <w:b/>
                <w:bCs/>
                <w:sz w:val="18"/>
                <w:szCs w:val="18"/>
              </w:rPr>
              <w:t>130.9</w:t>
            </w:r>
          </w:p>
        </w:tc>
        <w:tc>
          <w:tcPr>
            <w:tcW w:w="1542" w:type="dxa"/>
            <w:tcBorders>
              <w:top w:val="nil"/>
              <w:left w:val="nil"/>
              <w:bottom w:val="single" w:sz="4" w:space="0" w:color="auto"/>
              <w:right w:val="single" w:sz="4" w:space="0" w:color="auto"/>
            </w:tcBorders>
            <w:noWrap/>
            <w:hideMark/>
          </w:tcPr>
          <w:p w:rsidR="007F71BF" w:rsidRPr="00B57DAB" w:rsidRDefault="007F71BF" w:rsidP="00F7377C">
            <w:pPr>
              <w:spacing w:line="256" w:lineRule="auto"/>
              <w:jc w:val="right"/>
              <w:rPr>
                <w:rFonts w:ascii="GHEA Grapalat" w:hAnsi="GHEA Grapalat" w:cs="Calibri"/>
                <w:b/>
                <w:bCs/>
                <w:sz w:val="18"/>
                <w:szCs w:val="18"/>
              </w:rPr>
            </w:pPr>
            <w:r w:rsidRPr="00B57DAB">
              <w:rPr>
                <w:rFonts w:ascii="GHEA Grapalat" w:hAnsi="GHEA Grapalat" w:cs="Calibri"/>
                <w:b/>
                <w:bCs/>
                <w:sz w:val="18"/>
                <w:szCs w:val="18"/>
              </w:rPr>
              <w:t>1.4</w:t>
            </w:r>
          </w:p>
        </w:tc>
      </w:tr>
      <w:tr w:rsidR="007F71BF" w:rsidRPr="00B57DAB" w:rsidTr="00F7377C">
        <w:trPr>
          <w:trHeight w:val="262"/>
        </w:trPr>
        <w:tc>
          <w:tcPr>
            <w:tcW w:w="4251" w:type="dxa"/>
            <w:tcBorders>
              <w:top w:val="nil"/>
              <w:left w:val="single" w:sz="4" w:space="0" w:color="auto"/>
              <w:bottom w:val="single" w:sz="4" w:space="0" w:color="auto"/>
              <w:right w:val="single" w:sz="4" w:space="0" w:color="auto"/>
            </w:tcBorders>
            <w:noWrap/>
            <w:hideMark/>
          </w:tcPr>
          <w:p w:rsidR="007F71BF" w:rsidRPr="00B57DAB" w:rsidRDefault="007F71BF" w:rsidP="00F7377C">
            <w:pPr>
              <w:spacing w:line="256" w:lineRule="auto"/>
              <w:rPr>
                <w:rFonts w:ascii="GHEA Grapalat" w:hAnsi="GHEA Grapalat" w:cs="Calibri"/>
                <w:sz w:val="18"/>
                <w:szCs w:val="18"/>
              </w:rPr>
            </w:pPr>
            <w:r w:rsidRPr="00B57DAB">
              <w:rPr>
                <w:rFonts w:ascii="GHEA Grapalat" w:hAnsi="GHEA Grapalat" w:cs="Calibri"/>
                <w:sz w:val="18"/>
                <w:szCs w:val="18"/>
              </w:rPr>
              <w:t>ՀՀ կառավարության պարտք, այդ թվում՝</w:t>
            </w:r>
          </w:p>
        </w:tc>
        <w:tc>
          <w:tcPr>
            <w:tcW w:w="1349" w:type="dxa"/>
            <w:tcBorders>
              <w:top w:val="nil"/>
              <w:left w:val="single" w:sz="4" w:space="0" w:color="auto"/>
              <w:bottom w:val="single" w:sz="4" w:space="0" w:color="auto"/>
              <w:right w:val="single" w:sz="4" w:space="0" w:color="auto"/>
            </w:tcBorders>
            <w:hideMark/>
          </w:tcPr>
          <w:p w:rsidR="007F71BF" w:rsidRPr="00B57DAB" w:rsidRDefault="007F71BF" w:rsidP="00F7377C">
            <w:pPr>
              <w:spacing w:line="256" w:lineRule="auto"/>
              <w:jc w:val="right"/>
              <w:rPr>
                <w:rFonts w:ascii="GHEA Grapalat" w:hAnsi="GHEA Grapalat" w:cs="Calibri"/>
                <w:sz w:val="18"/>
                <w:szCs w:val="18"/>
              </w:rPr>
            </w:pPr>
            <w:r w:rsidRPr="00B57DAB">
              <w:rPr>
                <w:rFonts w:ascii="GHEA Grapalat" w:hAnsi="GHEA Grapalat" w:cs="Calibri"/>
                <w:sz w:val="18"/>
                <w:szCs w:val="18"/>
              </w:rPr>
              <w:t>8,767.9</w:t>
            </w:r>
          </w:p>
        </w:tc>
        <w:tc>
          <w:tcPr>
            <w:tcW w:w="1439" w:type="dxa"/>
            <w:tcBorders>
              <w:top w:val="nil"/>
              <w:left w:val="single" w:sz="4" w:space="0" w:color="auto"/>
              <w:bottom w:val="single" w:sz="4" w:space="0" w:color="auto"/>
              <w:right w:val="single" w:sz="4" w:space="0" w:color="auto"/>
            </w:tcBorders>
            <w:noWrap/>
            <w:hideMark/>
          </w:tcPr>
          <w:p w:rsidR="007F71BF" w:rsidRPr="00B57DAB" w:rsidRDefault="007F71BF" w:rsidP="00F7377C">
            <w:pPr>
              <w:spacing w:line="256" w:lineRule="auto"/>
              <w:jc w:val="right"/>
              <w:rPr>
                <w:rFonts w:ascii="GHEA Grapalat" w:hAnsi="GHEA Grapalat" w:cs="Calibri"/>
                <w:sz w:val="18"/>
                <w:szCs w:val="18"/>
              </w:rPr>
            </w:pPr>
            <w:r w:rsidRPr="00B57DAB">
              <w:rPr>
                <w:rFonts w:ascii="GHEA Grapalat" w:hAnsi="GHEA Grapalat" w:cs="Calibri"/>
                <w:sz w:val="18"/>
                <w:szCs w:val="18"/>
              </w:rPr>
              <w:t>8,882.9</w:t>
            </w:r>
          </w:p>
        </w:tc>
        <w:tc>
          <w:tcPr>
            <w:tcW w:w="1619" w:type="dxa"/>
            <w:tcBorders>
              <w:top w:val="nil"/>
              <w:left w:val="nil"/>
              <w:bottom w:val="single" w:sz="4" w:space="0" w:color="auto"/>
              <w:right w:val="single" w:sz="4" w:space="0" w:color="auto"/>
            </w:tcBorders>
            <w:noWrap/>
            <w:hideMark/>
          </w:tcPr>
          <w:p w:rsidR="007F71BF" w:rsidRPr="00B57DAB" w:rsidRDefault="007F71BF" w:rsidP="00F7377C">
            <w:pPr>
              <w:spacing w:line="256" w:lineRule="auto"/>
              <w:jc w:val="right"/>
              <w:rPr>
                <w:rFonts w:ascii="GHEA Grapalat" w:hAnsi="GHEA Grapalat" w:cs="Calibri"/>
                <w:sz w:val="18"/>
                <w:szCs w:val="18"/>
              </w:rPr>
            </w:pPr>
            <w:r w:rsidRPr="00B57DAB">
              <w:rPr>
                <w:rFonts w:ascii="GHEA Grapalat" w:hAnsi="GHEA Grapalat" w:cs="Calibri"/>
                <w:sz w:val="18"/>
                <w:szCs w:val="18"/>
              </w:rPr>
              <w:t>115.0</w:t>
            </w:r>
          </w:p>
        </w:tc>
        <w:tc>
          <w:tcPr>
            <w:tcW w:w="1542" w:type="dxa"/>
            <w:tcBorders>
              <w:top w:val="nil"/>
              <w:left w:val="nil"/>
              <w:bottom w:val="single" w:sz="4" w:space="0" w:color="auto"/>
              <w:right w:val="single" w:sz="4" w:space="0" w:color="auto"/>
            </w:tcBorders>
            <w:noWrap/>
            <w:hideMark/>
          </w:tcPr>
          <w:p w:rsidR="007F71BF" w:rsidRPr="00B57DAB" w:rsidRDefault="007F71BF" w:rsidP="00F7377C">
            <w:pPr>
              <w:spacing w:line="256" w:lineRule="auto"/>
              <w:jc w:val="right"/>
              <w:rPr>
                <w:rFonts w:ascii="GHEA Grapalat" w:hAnsi="GHEA Grapalat" w:cs="Calibri"/>
                <w:sz w:val="18"/>
                <w:szCs w:val="18"/>
              </w:rPr>
            </w:pPr>
            <w:r w:rsidRPr="00B57DAB">
              <w:rPr>
                <w:rFonts w:ascii="GHEA Grapalat" w:hAnsi="GHEA Grapalat" w:cs="Calibri"/>
                <w:sz w:val="18"/>
                <w:szCs w:val="18"/>
              </w:rPr>
              <w:t>1.3</w:t>
            </w:r>
          </w:p>
        </w:tc>
      </w:tr>
      <w:tr w:rsidR="007F71BF" w:rsidRPr="00B57DAB" w:rsidTr="00F7377C">
        <w:trPr>
          <w:trHeight w:val="218"/>
        </w:trPr>
        <w:tc>
          <w:tcPr>
            <w:tcW w:w="4251" w:type="dxa"/>
            <w:tcBorders>
              <w:top w:val="nil"/>
              <w:left w:val="single" w:sz="4" w:space="0" w:color="auto"/>
              <w:bottom w:val="single" w:sz="4" w:space="0" w:color="auto"/>
              <w:right w:val="single" w:sz="4" w:space="0" w:color="auto"/>
            </w:tcBorders>
            <w:noWrap/>
            <w:hideMark/>
          </w:tcPr>
          <w:p w:rsidR="007F71BF" w:rsidRPr="00B57DAB" w:rsidRDefault="007F71BF" w:rsidP="00770F24">
            <w:pPr>
              <w:pStyle w:val="ListParagraph"/>
              <w:numPr>
                <w:ilvl w:val="0"/>
                <w:numId w:val="10"/>
              </w:numPr>
              <w:tabs>
                <w:tab w:val="left" w:pos="459"/>
              </w:tabs>
              <w:spacing w:line="256" w:lineRule="auto"/>
              <w:ind w:left="34" w:firstLine="236"/>
              <w:rPr>
                <w:rFonts w:ascii="GHEA Grapalat" w:hAnsi="GHEA Grapalat"/>
                <w:sz w:val="18"/>
                <w:szCs w:val="18"/>
                <w:lang w:val="hy-AM"/>
              </w:rPr>
            </w:pPr>
            <w:r w:rsidRPr="00B57DAB">
              <w:rPr>
                <w:rFonts w:ascii="GHEA Grapalat" w:hAnsi="GHEA Grapalat"/>
                <w:sz w:val="18"/>
                <w:szCs w:val="18"/>
                <w:lang w:val="hy-AM"/>
              </w:rPr>
              <w:t>ՀՀ կառավարության արտաքին պարտք</w:t>
            </w:r>
          </w:p>
        </w:tc>
        <w:tc>
          <w:tcPr>
            <w:tcW w:w="1349" w:type="dxa"/>
            <w:tcBorders>
              <w:top w:val="nil"/>
              <w:left w:val="single" w:sz="4" w:space="0" w:color="auto"/>
              <w:bottom w:val="single" w:sz="4" w:space="0" w:color="auto"/>
              <w:right w:val="single" w:sz="4" w:space="0" w:color="auto"/>
            </w:tcBorders>
            <w:hideMark/>
          </w:tcPr>
          <w:p w:rsidR="007F71BF" w:rsidRPr="00B57DAB" w:rsidRDefault="007F71BF" w:rsidP="00F7377C">
            <w:pPr>
              <w:spacing w:line="256" w:lineRule="auto"/>
              <w:jc w:val="right"/>
              <w:rPr>
                <w:rFonts w:ascii="GHEA Grapalat" w:hAnsi="GHEA Grapalat" w:cs="Calibri"/>
                <w:sz w:val="18"/>
                <w:szCs w:val="18"/>
              </w:rPr>
            </w:pPr>
            <w:r w:rsidRPr="00B57DAB">
              <w:rPr>
                <w:rFonts w:ascii="GHEA Grapalat" w:hAnsi="GHEA Grapalat" w:cs="Calibri"/>
                <w:sz w:val="18"/>
                <w:szCs w:val="18"/>
              </w:rPr>
              <w:t>6,190.7</w:t>
            </w:r>
          </w:p>
        </w:tc>
        <w:tc>
          <w:tcPr>
            <w:tcW w:w="1439" w:type="dxa"/>
            <w:tcBorders>
              <w:top w:val="nil"/>
              <w:left w:val="single" w:sz="4" w:space="0" w:color="auto"/>
              <w:bottom w:val="single" w:sz="4" w:space="0" w:color="auto"/>
              <w:right w:val="single" w:sz="4" w:space="0" w:color="auto"/>
            </w:tcBorders>
            <w:noWrap/>
            <w:hideMark/>
          </w:tcPr>
          <w:p w:rsidR="007F71BF" w:rsidRPr="00B57DAB" w:rsidRDefault="007F71BF" w:rsidP="00F7377C">
            <w:pPr>
              <w:spacing w:line="256" w:lineRule="auto"/>
              <w:jc w:val="right"/>
              <w:rPr>
                <w:rFonts w:ascii="GHEA Grapalat" w:hAnsi="GHEA Grapalat" w:cs="Calibri"/>
                <w:sz w:val="18"/>
                <w:szCs w:val="18"/>
              </w:rPr>
            </w:pPr>
            <w:r w:rsidRPr="00B57DAB">
              <w:rPr>
                <w:rFonts w:ascii="GHEA Grapalat" w:hAnsi="GHEA Grapalat" w:cs="Calibri"/>
                <w:sz w:val="18"/>
                <w:szCs w:val="18"/>
              </w:rPr>
              <w:t>6,171.7</w:t>
            </w:r>
          </w:p>
        </w:tc>
        <w:tc>
          <w:tcPr>
            <w:tcW w:w="1619" w:type="dxa"/>
            <w:tcBorders>
              <w:top w:val="nil"/>
              <w:left w:val="nil"/>
              <w:bottom w:val="single" w:sz="4" w:space="0" w:color="auto"/>
              <w:right w:val="single" w:sz="4" w:space="0" w:color="auto"/>
            </w:tcBorders>
            <w:noWrap/>
            <w:hideMark/>
          </w:tcPr>
          <w:p w:rsidR="007F71BF" w:rsidRPr="00B57DAB" w:rsidRDefault="007F71BF" w:rsidP="00F7377C">
            <w:pPr>
              <w:spacing w:line="256" w:lineRule="auto"/>
              <w:jc w:val="right"/>
              <w:rPr>
                <w:rFonts w:ascii="GHEA Grapalat" w:hAnsi="GHEA Grapalat" w:cs="Calibri"/>
                <w:sz w:val="18"/>
                <w:szCs w:val="18"/>
              </w:rPr>
            </w:pPr>
            <w:r w:rsidRPr="00B57DAB">
              <w:rPr>
                <w:rFonts w:ascii="GHEA Grapalat" w:hAnsi="GHEA Grapalat" w:cs="Calibri"/>
                <w:sz w:val="18"/>
                <w:szCs w:val="18"/>
              </w:rPr>
              <w:t>(19.0)</w:t>
            </w:r>
          </w:p>
        </w:tc>
        <w:tc>
          <w:tcPr>
            <w:tcW w:w="1542" w:type="dxa"/>
            <w:tcBorders>
              <w:top w:val="nil"/>
              <w:left w:val="nil"/>
              <w:bottom w:val="single" w:sz="4" w:space="0" w:color="auto"/>
              <w:right w:val="single" w:sz="4" w:space="0" w:color="auto"/>
            </w:tcBorders>
            <w:noWrap/>
            <w:hideMark/>
          </w:tcPr>
          <w:p w:rsidR="007F71BF" w:rsidRPr="00B57DAB" w:rsidRDefault="007F71BF" w:rsidP="00F7377C">
            <w:pPr>
              <w:spacing w:line="256" w:lineRule="auto"/>
              <w:jc w:val="right"/>
              <w:rPr>
                <w:rFonts w:ascii="GHEA Grapalat" w:hAnsi="GHEA Grapalat" w:cs="Calibri"/>
                <w:sz w:val="18"/>
                <w:szCs w:val="18"/>
              </w:rPr>
            </w:pPr>
            <w:r w:rsidRPr="00B57DAB">
              <w:rPr>
                <w:rFonts w:ascii="GHEA Grapalat" w:hAnsi="GHEA Grapalat" w:cs="Calibri"/>
                <w:sz w:val="18"/>
                <w:szCs w:val="18"/>
              </w:rPr>
              <w:t>(0.3)</w:t>
            </w:r>
          </w:p>
        </w:tc>
      </w:tr>
      <w:tr w:rsidR="007F71BF" w:rsidRPr="00B57DAB" w:rsidTr="00F7377C">
        <w:trPr>
          <w:trHeight w:val="207"/>
        </w:trPr>
        <w:tc>
          <w:tcPr>
            <w:tcW w:w="4251" w:type="dxa"/>
            <w:tcBorders>
              <w:top w:val="nil"/>
              <w:left w:val="single" w:sz="4" w:space="0" w:color="auto"/>
              <w:bottom w:val="single" w:sz="4" w:space="0" w:color="auto"/>
              <w:right w:val="single" w:sz="4" w:space="0" w:color="auto"/>
            </w:tcBorders>
            <w:noWrap/>
            <w:hideMark/>
          </w:tcPr>
          <w:p w:rsidR="007F71BF" w:rsidRPr="00B57DAB" w:rsidRDefault="007F71BF" w:rsidP="00770F24">
            <w:pPr>
              <w:pStyle w:val="ListParagraph"/>
              <w:numPr>
                <w:ilvl w:val="0"/>
                <w:numId w:val="10"/>
              </w:numPr>
              <w:tabs>
                <w:tab w:val="left" w:pos="459"/>
              </w:tabs>
              <w:spacing w:line="256" w:lineRule="auto"/>
              <w:ind w:left="34" w:firstLine="236"/>
              <w:rPr>
                <w:rFonts w:ascii="GHEA Grapalat" w:hAnsi="GHEA Grapalat"/>
                <w:sz w:val="18"/>
                <w:szCs w:val="18"/>
                <w:lang w:val="hy-AM"/>
              </w:rPr>
            </w:pPr>
            <w:r w:rsidRPr="00B57DAB">
              <w:rPr>
                <w:rFonts w:ascii="GHEA Grapalat" w:hAnsi="GHEA Grapalat"/>
                <w:sz w:val="18"/>
                <w:szCs w:val="18"/>
                <w:lang w:val="hy-AM"/>
              </w:rPr>
              <w:t>ՀՀ կառավարության ներքին պարտք</w:t>
            </w:r>
          </w:p>
        </w:tc>
        <w:tc>
          <w:tcPr>
            <w:tcW w:w="1349" w:type="dxa"/>
            <w:tcBorders>
              <w:top w:val="nil"/>
              <w:left w:val="single" w:sz="4" w:space="0" w:color="auto"/>
              <w:bottom w:val="single" w:sz="4" w:space="0" w:color="auto"/>
              <w:right w:val="single" w:sz="4" w:space="0" w:color="auto"/>
            </w:tcBorders>
            <w:hideMark/>
          </w:tcPr>
          <w:p w:rsidR="007F71BF" w:rsidRPr="00B57DAB" w:rsidRDefault="007F71BF" w:rsidP="00F7377C">
            <w:pPr>
              <w:spacing w:line="256" w:lineRule="auto"/>
              <w:jc w:val="right"/>
              <w:rPr>
                <w:rFonts w:ascii="GHEA Grapalat" w:hAnsi="GHEA Grapalat" w:cs="Calibri"/>
                <w:sz w:val="18"/>
                <w:szCs w:val="18"/>
              </w:rPr>
            </w:pPr>
            <w:r w:rsidRPr="00B57DAB">
              <w:rPr>
                <w:rFonts w:ascii="GHEA Grapalat" w:hAnsi="GHEA Grapalat" w:cs="Calibri"/>
                <w:sz w:val="18"/>
                <w:szCs w:val="18"/>
              </w:rPr>
              <w:t>2,577.2</w:t>
            </w:r>
          </w:p>
        </w:tc>
        <w:tc>
          <w:tcPr>
            <w:tcW w:w="1439" w:type="dxa"/>
            <w:tcBorders>
              <w:top w:val="nil"/>
              <w:left w:val="single" w:sz="4" w:space="0" w:color="auto"/>
              <w:bottom w:val="single" w:sz="4" w:space="0" w:color="auto"/>
              <w:right w:val="single" w:sz="4" w:space="0" w:color="auto"/>
            </w:tcBorders>
            <w:noWrap/>
            <w:hideMark/>
          </w:tcPr>
          <w:p w:rsidR="007F71BF" w:rsidRPr="00B57DAB" w:rsidRDefault="007F71BF" w:rsidP="00F7377C">
            <w:pPr>
              <w:spacing w:line="256" w:lineRule="auto"/>
              <w:jc w:val="right"/>
              <w:rPr>
                <w:rFonts w:ascii="GHEA Grapalat" w:hAnsi="GHEA Grapalat" w:cs="Calibri"/>
                <w:sz w:val="18"/>
                <w:szCs w:val="18"/>
              </w:rPr>
            </w:pPr>
            <w:r w:rsidRPr="00B57DAB">
              <w:rPr>
                <w:rFonts w:ascii="GHEA Grapalat" w:hAnsi="GHEA Grapalat" w:cs="Calibri"/>
                <w:sz w:val="18"/>
                <w:szCs w:val="18"/>
              </w:rPr>
              <w:t>2,711.3</w:t>
            </w:r>
          </w:p>
        </w:tc>
        <w:tc>
          <w:tcPr>
            <w:tcW w:w="1619" w:type="dxa"/>
            <w:tcBorders>
              <w:top w:val="nil"/>
              <w:left w:val="nil"/>
              <w:bottom w:val="single" w:sz="4" w:space="0" w:color="auto"/>
              <w:right w:val="single" w:sz="4" w:space="0" w:color="auto"/>
            </w:tcBorders>
            <w:noWrap/>
            <w:hideMark/>
          </w:tcPr>
          <w:p w:rsidR="007F71BF" w:rsidRPr="00B57DAB" w:rsidRDefault="007F71BF" w:rsidP="0035191B">
            <w:pPr>
              <w:spacing w:line="256" w:lineRule="auto"/>
              <w:jc w:val="right"/>
              <w:rPr>
                <w:rFonts w:ascii="GHEA Grapalat" w:hAnsi="GHEA Grapalat" w:cs="Calibri"/>
                <w:sz w:val="18"/>
                <w:szCs w:val="18"/>
              </w:rPr>
            </w:pPr>
            <w:r w:rsidRPr="00B57DAB">
              <w:rPr>
                <w:rFonts w:ascii="GHEA Grapalat" w:hAnsi="GHEA Grapalat" w:cs="Calibri"/>
                <w:sz w:val="18"/>
                <w:szCs w:val="18"/>
              </w:rPr>
              <w:t>134.</w:t>
            </w:r>
            <w:r w:rsidR="0035191B" w:rsidRPr="00B57DAB">
              <w:rPr>
                <w:rFonts w:ascii="GHEA Grapalat" w:hAnsi="GHEA Grapalat" w:cs="Calibri"/>
                <w:sz w:val="18"/>
                <w:szCs w:val="18"/>
              </w:rPr>
              <w:t>0</w:t>
            </w:r>
          </w:p>
        </w:tc>
        <w:tc>
          <w:tcPr>
            <w:tcW w:w="1542" w:type="dxa"/>
            <w:tcBorders>
              <w:top w:val="nil"/>
              <w:left w:val="nil"/>
              <w:bottom w:val="single" w:sz="4" w:space="0" w:color="auto"/>
              <w:right w:val="single" w:sz="4" w:space="0" w:color="auto"/>
            </w:tcBorders>
            <w:noWrap/>
            <w:hideMark/>
          </w:tcPr>
          <w:p w:rsidR="007F71BF" w:rsidRPr="00B57DAB" w:rsidRDefault="007F71BF" w:rsidP="00F7377C">
            <w:pPr>
              <w:spacing w:line="256" w:lineRule="auto"/>
              <w:jc w:val="right"/>
              <w:rPr>
                <w:rFonts w:ascii="GHEA Grapalat" w:hAnsi="GHEA Grapalat" w:cs="Calibri"/>
                <w:sz w:val="18"/>
                <w:szCs w:val="18"/>
              </w:rPr>
            </w:pPr>
            <w:r w:rsidRPr="00B57DAB">
              <w:rPr>
                <w:rFonts w:ascii="GHEA Grapalat" w:hAnsi="GHEA Grapalat" w:cs="Calibri"/>
                <w:sz w:val="18"/>
                <w:szCs w:val="18"/>
              </w:rPr>
              <w:t>5.2</w:t>
            </w:r>
          </w:p>
        </w:tc>
      </w:tr>
      <w:tr w:rsidR="007F71BF" w:rsidRPr="00B57DAB" w:rsidTr="00F7377C">
        <w:trPr>
          <w:trHeight w:val="228"/>
        </w:trPr>
        <w:tc>
          <w:tcPr>
            <w:tcW w:w="4251" w:type="dxa"/>
            <w:tcBorders>
              <w:top w:val="nil"/>
              <w:left w:val="single" w:sz="4" w:space="0" w:color="auto"/>
              <w:bottom w:val="single" w:sz="4" w:space="0" w:color="auto"/>
              <w:right w:val="single" w:sz="4" w:space="0" w:color="auto"/>
            </w:tcBorders>
            <w:noWrap/>
            <w:hideMark/>
          </w:tcPr>
          <w:p w:rsidR="007F71BF" w:rsidRPr="00B57DAB" w:rsidRDefault="007F71BF" w:rsidP="00F7377C">
            <w:pPr>
              <w:spacing w:line="256" w:lineRule="auto"/>
              <w:rPr>
                <w:rFonts w:ascii="GHEA Grapalat" w:hAnsi="GHEA Grapalat" w:cs="Calibri"/>
                <w:sz w:val="18"/>
                <w:szCs w:val="18"/>
              </w:rPr>
            </w:pPr>
            <w:r w:rsidRPr="00B57DAB">
              <w:rPr>
                <w:rFonts w:ascii="GHEA Grapalat" w:hAnsi="GHEA Grapalat" w:cs="Calibri"/>
                <w:sz w:val="18"/>
                <w:szCs w:val="18"/>
              </w:rPr>
              <w:t>ՀՀ կենտրոնական բանկի պարտք (արտաքին)</w:t>
            </w:r>
          </w:p>
        </w:tc>
        <w:tc>
          <w:tcPr>
            <w:tcW w:w="1349" w:type="dxa"/>
            <w:tcBorders>
              <w:top w:val="nil"/>
              <w:left w:val="single" w:sz="4" w:space="0" w:color="auto"/>
              <w:bottom w:val="single" w:sz="4" w:space="0" w:color="auto"/>
              <w:right w:val="single" w:sz="4" w:space="0" w:color="auto"/>
            </w:tcBorders>
            <w:hideMark/>
          </w:tcPr>
          <w:p w:rsidR="007F71BF" w:rsidRPr="00B57DAB" w:rsidRDefault="007F71BF" w:rsidP="00F7377C">
            <w:pPr>
              <w:spacing w:line="256" w:lineRule="auto"/>
              <w:jc w:val="right"/>
              <w:rPr>
                <w:rFonts w:ascii="GHEA Grapalat" w:hAnsi="GHEA Grapalat" w:cs="Calibri"/>
                <w:sz w:val="18"/>
                <w:szCs w:val="18"/>
              </w:rPr>
            </w:pPr>
            <w:r w:rsidRPr="00B57DAB">
              <w:rPr>
                <w:rFonts w:ascii="GHEA Grapalat" w:hAnsi="GHEA Grapalat" w:cs="Calibri"/>
                <w:sz w:val="18"/>
                <w:szCs w:val="18"/>
              </w:rPr>
              <w:t>457.7</w:t>
            </w:r>
          </w:p>
        </w:tc>
        <w:tc>
          <w:tcPr>
            <w:tcW w:w="1439" w:type="dxa"/>
            <w:tcBorders>
              <w:top w:val="nil"/>
              <w:left w:val="single" w:sz="4" w:space="0" w:color="auto"/>
              <w:bottom w:val="single" w:sz="4" w:space="0" w:color="auto"/>
              <w:right w:val="single" w:sz="4" w:space="0" w:color="auto"/>
            </w:tcBorders>
            <w:noWrap/>
            <w:hideMark/>
          </w:tcPr>
          <w:p w:rsidR="007F71BF" w:rsidRPr="00B57DAB" w:rsidRDefault="007F71BF" w:rsidP="00F7377C">
            <w:pPr>
              <w:spacing w:line="256" w:lineRule="auto"/>
              <w:jc w:val="right"/>
              <w:rPr>
                <w:rFonts w:ascii="GHEA Grapalat" w:hAnsi="GHEA Grapalat" w:cs="Calibri"/>
                <w:sz w:val="18"/>
                <w:szCs w:val="18"/>
              </w:rPr>
            </w:pPr>
            <w:r w:rsidRPr="00B57DAB">
              <w:rPr>
                <w:rFonts w:ascii="GHEA Grapalat" w:hAnsi="GHEA Grapalat" w:cs="Calibri"/>
                <w:sz w:val="18"/>
                <w:szCs w:val="18"/>
              </w:rPr>
              <w:t>473.6</w:t>
            </w:r>
          </w:p>
        </w:tc>
        <w:tc>
          <w:tcPr>
            <w:tcW w:w="1619" w:type="dxa"/>
            <w:tcBorders>
              <w:top w:val="nil"/>
              <w:left w:val="nil"/>
              <w:bottom w:val="single" w:sz="4" w:space="0" w:color="auto"/>
              <w:right w:val="single" w:sz="4" w:space="0" w:color="auto"/>
            </w:tcBorders>
            <w:noWrap/>
            <w:hideMark/>
          </w:tcPr>
          <w:p w:rsidR="007F71BF" w:rsidRPr="00B57DAB" w:rsidRDefault="007F71BF" w:rsidP="00F7377C">
            <w:pPr>
              <w:spacing w:line="256" w:lineRule="auto"/>
              <w:jc w:val="right"/>
              <w:rPr>
                <w:rFonts w:ascii="GHEA Grapalat" w:hAnsi="GHEA Grapalat" w:cs="Calibri"/>
                <w:sz w:val="18"/>
                <w:szCs w:val="18"/>
              </w:rPr>
            </w:pPr>
            <w:r w:rsidRPr="00B57DAB">
              <w:rPr>
                <w:rFonts w:ascii="GHEA Grapalat" w:hAnsi="GHEA Grapalat" w:cs="Calibri"/>
                <w:sz w:val="18"/>
                <w:szCs w:val="18"/>
              </w:rPr>
              <w:t>15.9</w:t>
            </w:r>
          </w:p>
        </w:tc>
        <w:tc>
          <w:tcPr>
            <w:tcW w:w="1542" w:type="dxa"/>
            <w:tcBorders>
              <w:top w:val="nil"/>
              <w:left w:val="nil"/>
              <w:bottom w:val="single" w:sz="4" w:space="0" w:color="auto"/>
              <w:right w:val="single" w:sz="4" w:space="0" w:color="auto"/>
            </w:tcBorders>
            <w:noWrap/>
            <w:hideMark/>
          </w:tcPr>
          <w:p w:rsidR="007F71BF" w:rsidRPr="00B57DAB" w:rsidRDefault="007F71BF" w:rsidP="00F7377C">
            <w:pPr>
              <w:spacing w:line="256" w:lineRule="auto"/>
              <w:jc w:val="right"/>
              <w:rPr>
                <w:rFonts w:ascii="GHEA Grapalat" w:hAnsi="GHEA Grapalat" w:cs="Calibri"/>
                <w:sz w:val="18"/>
                <w:szCs w:val="18"/>
              </w:rPr>
            </w:pPr>
            <w:r w:rsidRPr="00B57DAB">
              <w:rPr>
                <w:rFonts w:ascii="GHEA Grapalat" w:hAnsi="GHEA Grapalat" w:cs="Calibri"/>
                <w:sz w:val="18"/>
                <w:szCs w:val="18"/>
              </w:rPr>
              <w:t>3.5</w:t>
            </w:r>
          </w:p>
        </w:tc>
      </w:tr>
    </w:tbl>
    <w:p w:rsidR="007F71BF" w:rsidRPr="00B57DAB" w:rsidRDefault="007F71BF" w:rsidP="007F71BF">
      <w:pPr>
        <w:autoSpaceDE w:val="0"/>
        <w:autoSpaceDN w:val="0"/>
        <w:adjustRightInd w:val="0"/>
        <w:spacing w:line="360" w:lineRule="auto"/>
        <w:ind w:firstLine="567"/>
        <w:jc w:val="both"/>
        <w:rPr>
          <w:rFonts w:ascii="GHEA Grapalat" w:hAnsi="GHEA Grapalat"/>
          <w:sz w:val="22"/>
          <w:szCs w:val="22"/>
        </w:rPr>
      </w:pPr>
    </w:p>
    <w:p w:rsidR="007F71BF" w:rsidRPr="00B57DAB" w:rsidRDefault="007F71BF" w:rsidP="007F71BF">
      <w:pPr>
        <w:autoSpaceDE w:val="0"/>
        <w:autoSpaceDN w:val="0"/>
        <w:adjustRightInd w:val="0"/>
        <w:spacing w:line="360" w:lineRule="auto"/>
        <w:ind w:firstLine="567"/>
        <w:jc w:val="both"/>
        <w:rPr>
          <w:rFonts w:ascii="GHEA Grapalat" w:hAnsi="GHEA Grapalat"/>
          <w:sz w:val="22"/>
          <w:szCs w:val="22"/>
        </w:rPr>
      </w:pPr>
      <w:r w:rsidRPr="00B57DAB">
        <w:rPr>
          <w:rFonts w:ascii="GHEA Grapalat" w:hAnsi="GHEA Grapalat"/>
          <w:sz w:val="22"/>
          <w:szCs w:val="22"/>
        </w:rPr>
        <w:t>2022 թվականի մարտի 31-ի դրությամբ ՀՀ պետական պարտքը նա</w:t>
      </w:r>
      <w:r w:rsidR="00B23A2C" w:rsidRPr="00B57DAB">
        <w:rPr>
          <w:rFonts w:ascii="GHEA Grapalat" w:hAnsi="GHEA Grapalat"/>
          <w:sz w:val="22"/>
          <w:szCs w:val="22"/>
        </w:rPr>
        <w:t>խորդ տարեվերջի</w:t>
      </w:r>
      <w:r w:rsidRPr="00B57DAB">
        <w:rPr>
          <w:rFonts w:ascii="GHEA Grapalat" w:hAnsi="GHEA Grapalat"/>
          <w:sz w:val="22"/>
          <w:szCs w:val="22"/>
        </w:rPr>
        <w:t xml:space="preserve"> համեմատությամբ աճել է 134.2 մլրդ դրամով (130.9 մլն ԱՄՆ դոլարով): Դա հիմնականում պայմանավորված է եղել կառավարության ներքին պարտքի աճով, որ</w:t>
      </w:r>
      <w:r w:rsidR="00A42478" w:rsidRPr="00B57DAB">
        <w:rPr>
          <w:rFonts w:ascii="GHEA Grapalat" w:hAnsi="GHEA Grapalat"/>
          <w:sz w:val="22"/>
          <w:szCs w:val="22"/>
        </w:rPr>
        <w:t>ը կազմել է</w:t>
      </w:r>
      <w:r w:rsidRPr="00B57DAB">
        <w:rPr>
          <w:rFonts w:ascii="GHEA Grapalat" w:hAnsi="GHEA Grapalat"/>
          <w:sz w:val="22"/>
          <w:szCs w:val="22"/>
        </w:rPr>
        <w:t xml:space="preserve"> 6.9%: </w:t>
      </w:r>
    </w:p>
    <w:p w:rsidR="007F71BF" w:rsidRPr="00B57DAB" w:rsidRDefault="007F71BF" w:rsidP="007F71BF">
      <w:pPr>
        <w:autoSpaceDE w:val="0"/>
        <w:autoSpaceDN w:val="0"/>
        <w:adjustRightInd w:val="0"/>
        <w:spacing w:line="360" w:lineRule="auto"/>
        <w:ind w:firstLine="567"/>
        <w:jc w:val="both"/>
        <w:rPr>
          <w:rFonts w:ascii="GHEA Grapalat" w:hAnsi="GHEA Grapalat"/>
          <w:sz w:val="22"/>
          <w:szCs w:val="22"/>
        </w:rPr>
      </w:pPr>
      <w:r w:rsidRPr="00B57DAB">
        <w:rPr>
          <w:rFonts w:ascii="GHEA Grapalat" w:hAnsi="GHEA Grapalat"/>
          <w:sz w:val="22"/>
          <w:szCs w:val="22"/>
        </w:rPr>
        <w:t>Արտաքին պետական պարտքի հիմնական մասը ՀՀ կառավարության պարտավորություններն են: Կառավարության արտաքին պարտքի բաղադրիչներն են՝</w:t>
      </w:r>
    </w:p>
    <w:p w:rsidR="007F71BF" w:rsidRPr="00B57DAB" w:rsidRDefault="007F71BF" w:rsidP="007F71BF">
      <w:pPr>
        <w:numPr>
          <w:ilvl w:val="0"/>
          <w:numId w:val="1"/>
        </w:numPr>
        <w:tabs>
          <w:tab w:val="left" w:pos="851"/>
        </w:tabs>
        <w:spacing w:line="360" w:lineRule="auto"/>
        <w:ind w:left="0" w:firstLine="567"/>
        <w:jc w:val="both"/>
        <w:rPr>
          <w:rFonts w:ascii="GHEA Grapalat" w:hAnsi="GHEA Grapalat" w:cs="GHEA Grapalat"/>
          <w:sz w:val="22"/>
          <w:szCs w:val="22"/>
        </w:rPr>
      </w:pPr>
      <w:r w:rsidRPr="00B57DAB">
        <w:rPr>
          <w:rFonts w:ascii="GHEA Grapalat" w:hAnsi="GHEA Grapalat" w:cs="GHEA Grapalat"/>
          <w:sz w:val="22"/>
          <w:szCs w:val="22"/>
        </w:rPr>
        <w:t xml:space="preserve">արտաքին վարկերը և փոխառությունները, որոնց ծավալը կազմել է 2,178.3 մլրդ դրամ, </w:t>
      </w:r>
    </w:p>
    <w:p w:rsidR="007F71BF" w:rsidRPr="00B57DAB" w:rsidRDefault="007F71BF" w:rsidP="007F71BF">
      <w:pPr>
        <w:numPr>
          <w:ilvl w:val="0"/>
          <w:numId w:val="1"/>
        </w:numPr>
        <w:tabs>
          <w:tab w:val="left" w:pos="851"/>
        </w:tabs>
        <w:spacing w:line="360" w:lineRule="auto"/>
        <w:ind w:left="0" w:firstLine="567"/>
        <w:jc w:val="both"/>
        <w:rPr>
          <w:rFonts w:ascii="GHEA Grapalat" w:hAnsi="GHEA Grapalat" w:cs="GHEA Grapalat"/>
          <w:sz w:val="22"/>
          <w:szCs w:val="22"/>
        </w:rPr>
      </w:pPr>
      <w:r w:rsidRPr="00B57DAB">
        <w:rPr>
          <w:rFonts w:ascii="GHEA Grapalat" w:hAnsi="GHEA Grapalat" w:cs="GHEA Grapalat"/>
          <w:sz w:val="22"/>
          <w:szCs w:val="22"/>
        </w:rPr>
        <w:t xml:space="preserve">ոչ ռեզիդենտների կողմից ձեռքբերված պետական գանձապետական պարտատոմսերը, որոնց ծավալը կազմել է 60.9 մլրդ դրամ, </w:t>
      </w:r>
    </w:p>
    <w:p w:rsidR="007F71BF" w:rsidRPr="00B57DAB" w:rsidRDefault="007F71BF" w:rsidP="007F71BF">
      <w:pPr>
        <w:numPr>
          <w:ilvl w:val="0"/>
          <w:numId w:val="1"/>
        </w:numPr>
        <w:tabs>
          <w:tab w:val="left" w:pos="851"/>
        </w:tabs>
        <w:spacing w:line="360" w:lineRule="auto"/>
        <w:ind w:left="0" w:firstLine="567"/>
        <w:jc w:val="both"/>
        <w:rPr>
          <w:rFonts w:ascii="GHEA Grapalat" w:hAnsi="GHEA Grapalat" w:cs="GHEA Grapalat"/>
          <w:sz w:val="22"/>
          <w:szCs w:val="22"/>
        </w:rPr>
      </w:pPr>
      <w:r w:rsidRPr="00B57DAB">
        <w:rPr>
          <w:rFonts w:ascii="GHEA Grapalat" w:hAnsi="GHEA Grapalat" w:cs="GHEA Grapalat"/>
          <w:sz w:val="22"/>
          <w:szCs w:val="22"/>
        </w:rPr>
        <w:t>ոչ ռեզիդենտների կողմից ձեռքբերված արտարժութային պետական պարտատոմսերը, որոնց ծավալը կազմել է 767.4 մլրդ դրամ,</w:t>
      </w:r>
    </w:p>
    <w:p w:rsidR="007F71BF" w:rsidRPr="00B57DAB" w:rsidRDefault="007F71BF" w:rsidP="007F71BF">
      <w:pPr>
        <w:numPr>
          <w:ilvl w:val="0"/>
          <w:numId w:val="1"/>
        </w:numPr>
        <w:tabs>
          <w:tab w:val="left" w:pos="851"/>
        </w:tabs>
        <w:spacing w:line="360" w:lineRule="auto"/>
        <w:ind w:left="0" w:firstLine="567"/>
        <w:jc w:val="both"/>
        <w:rPr>
          <w:rFonts w:ascii="GHEA Grapalat" w:hAnsi="GHEA Grapalat" w:cs="GHEA Grapalat"/>
          <w:sz w:val="22"/>
          <w:szCs w:val="22"/>
        </w:rPr>
      </w:pPr>
      <w:r w:rsidRPr="00B57DAB">
        <w:rPr>
          <w:rFonts w:ascii="GHEA Grapalat" w:hAnsi="GHEA Grapalat" w:cs="GHEA Grapalat"/>
          <w:sz w:val="22"/>
          <w:szCs w:val="22"/>
        </w:rPr>
        <w:t>ՀՀ կառավարության կողմից տրամադրված արտաքին երաշխիքները, որոնց ծավալը կազմել է 3.8</w:t>
      </w:r>
      <w:r w:rsidRPr="00B57DAB">
        <w:rPr>
          <w:rFonts w:ascii="Courier New" w:hAnsi="Courier New" w:cs="Courier New"/>
          <w:sz w:val="22"/>
          <w:szCs w:val="22"/>
        </w:rPr>
        <w:t> </w:t>
      </w:r>
      <w:r w:rsidRPr="00B57DAB">
        <w:rPr>
          <w:rFonts w:ascii="GHEA Grapalat" w:hAnsi="GHEA Grapalat" w:cs="GHEA Grapalat"/>
          <w:sz w:val="22"/>
          <w:szCs w:val="22"/>
        </w:rPr>
        <w:t>մլրդ դրամ:</w:t>
      </w:r>
    </w:p>
    <w:p w:rsidR="007F71BF" w:rsidRPr="00B57DAB" w:rsidRDefault="007F71BF" w:rsidP="007F71BF">
      <w:pPr>
        <w:autoSpaceDE w:val="0"/>
        <w:autoSpaceDN w:val="0"/>
        <w:adjustRightInd w:val="0"/>
        <w:spacing w:line="360" w:lineRule="auto"/>
        <w:ind w:firstLine="567"/>
        <w:jc w:val="both"/>
        <w:rPr>
          <w:rFonts w:ascii="GHEA Grapalat" w:hAnsi="GHEA Grapalat"/>
          <w:sz w:val="22"/>
          <w:szCs w:val="22"/>
        </w:rPr>
      </w:pPr>
      <w:r w:rsidRPr="00B57DAB">
        <w:rPr>
          <w:rFonts w:ascii="GHEA Grapalat" w:hAnsi="GHEA Grapalat"/>
          <w:sz w:val="22"/>
          <w:szCs w:val="22"/>
        </w:rPr>
        <w:lastRenderedPageBreak/>
        <w:tab/>
        <w:t xml:space="preserve">2022 թվականի մարտի 31-ի դրությամբ ՀՀ ներքին պետական պարտքը նախորդ տարեվերջի համեմատ աճել է </w:t>
      </w:r>
      <w:r w:rsidR="0035191B" w:rsidRPr="00B57DAB">
        <w:rPr>
          <w:rFonts w:ascii="GHEA Grapalat" w:hAnsi="GHEA Grapalat"/>
          <w:sz w:val="22"/>
          <w:szCs w:val="22"/>
        </w:rPr>
        <w:t>85</w:t>
      </w:r>
      <w:r w:rsidRPr="00B57DAB">
        <w:rPr>
          <w:rFonts w:ascii="GHEA Grapalat" w:hAnsi="GHEA Grapalat"/>
          <w:sz w:val="22"/>
          <w:szCs w:val="22"/>
        </w:rPr>
        <w:t xml:space="preserve"> մլրդ դրամով (6.9%-ով), և դրա տեսակարար կշիռը ՀՀ պետական պարտքի կառուցվածքում աճել է՝ 27.9%-ից հասնելով 29%-ի: Կառավարության ներքին պարտքի բաղադրիչներն են՝</w:t>
      </w:r>
    </w:p>
    <w:p w:rsidR="007F71BF" w:rsidRPr="00B57DAB" w:rsidRDefault="007F71BF" w:rsidP="007F71BF">
      <w:pPr>
        <w:numPr>
          <w:ilvl w:val="0"/>
          <w:numId w:val="1"/>
        </w:numPr>
        <w:tabs>
          <w:tab w:val="left" w:pos="851"/>
        </w:tabs>
        <w:spacing w:line="360" w:lineRule="auto"/>
        <w:ind w:left="0" w:firstLine="567"/>
        <w:jc w:val="both"/>
        <w:rPr>
          <w:rFonts w:ascii="GHEA Grapalat" w:hAnsi="GHEA Grapalat" w:cs="GHEA Grapalat"/>
          <w:sz w:val="22"/>
          <w:szCs w:val="22"/>
        </w:rPr>
      </w:pPr>
      <w:r w:rsidRPr="00B57DAB">
        <w:rPr>
          <w:rFonts w:ascii="GHEA Grapalat" w:hAnsi="GHEA Grapalat" w:cs="GHEA Grapalat"/>
          <w:sz w:val="22"/>
          <w:szCs w:val="22"/>
        </w:rPr>
        <w:t xml:space="preserve">ռեզիդենտների կողմից ձեռքբերված պետական գանձապետական պարտատոմսերը, որոնց ծավալը կազմել է 1,230.9 մլրդ դրամ, </w:t>
      </w:r>
    </w:p>
    <w:p w:rsidR="007F71BF" w:rsidRPr="00B57DAB" w:rsidRDefault="007F71BF" w:rsidP="007F71BF">
      <w:pPr>
        <w:numPr>
          <w:ilvl w:val="0"/>
          <w:numId w:val="1"/>
        </w:numPr>
        <w:tabs>
          <w:tab w:val="left" w:pos="851"/>
        </w:tabs>
        <w:spacing w:line="360" w:lineRule="auto"/>
        <w:ind w:left="0" w:firstLine="567"/>
        <w:jc w:val="both"/>
        <w:rPr>
          <w:rFonts w:ascii="GHEA Grapalat" w:hAnsi="GHEA Grapalat" w:cs="GHEA Grapalat"/>
          <w:sz w:val="22"/>
          <w:szCs w:val="22"/>
        </w:rPr>
      </w:pPr>
      <w:r w:rsidRPr="00B57DAB">
        <w:rPr>
          <w:rFonts w:ascii="GHEA Grapalat" w:hAnsi="GHEA Grapalat" w:cs="GHEA Grapalat"/>
          <w:sz w:val="22"/>
          <w:szCs w:val="22"/>
        </w:rPr>
        <w:t xml:space="preserve">ռեզիդենտների կողմից ձեռքբերված արտարժութային պետական պարտատոմսերը, որոնց ծավալը կազմել է </w:t>
      </w:r>
      <w:r w:rsidRPr="00B57DAB">
        <w:rPr>
          <w:rFonts w:ascii="GHEA Grapalat" w:hAnsi="GHEA Grapalat" w:cs="GHEA Grapalat"/>
          <w:iCs/>
          <w:sz w:val="22"/>
          <w:szCs w:val="22"/>
        </w:rPr>
        <w:t xml:space="preserve">86.2 </w:t>
      </w:r>
      <w:r w:rsidRPr="00B57DAB">
        <w:rPr>
          <w:rFonts w:ascii="GHEA Grapalat" w:hAnsi="GHEA Grapalat" w:cs="GHEA Grapalat"/>
          <w:sz w:val="22"/>
          <w:szCs w:val="22"/>
        </w:rPr>
        <w:t>մլրդ դրամ,</w:t>
      </w:r>
    </w:p>
    <w:p w:rsidR="007F71BF" w:rsidRPr="00B57DAB" w:rsidRDefault="007F71BF" w:rsidP="007F71BF">
      <w:pPr>
        <w:numPr>
          <w:ilvl w:val="0"/>
          <w:numId w:val="1"/>
        </w:numPr>
        <w:tabs>
          <w:tab w:val="left" w:pos="851"/>
        </w:tabs>
        <w:spacing w:line="360" w:lineRule="auto"/>
        <w:ind w:left="0" w:firstLine="567"/>
        <w:jc w:val="both"/>
        <w:rPr>
          <w:rFonts w:ascii="GHEA Grapalat" w:hAnsi="GHEA Grapalat" w:cs="GHEA Grapalat"/>
          <w:sz w:val="22"/>
          <w:szCs w:val="22"/>
        </w:rPr>
      </w:pPr>
      <w:r w:rsidRPr="00B57DAB">
        <w:rPr>
          <w:rFonts w:ascii="GHEA Grapalat" w:hAnsi="GHEA Grapalat" w:cs="GHEA Grapalat"/>
          <w:sz w:val="22"/>
          <w:szCs w:val="22"/>
        </w:rPr>
        <w:t>ներքին երաշխիքներ, որոնց ծավալը կազմել է 5.4 մլրդ դրամ:</w:t>
      </w:r>
    </w:p>
    <w:sectPr w:rsidR="007F71BF" w:rsidRPr="00B57DAB" w:rsidSect="00D06624">
      <w:pgSz w:w="11907" w:h="16840" w:code="9"/>
      <w:pgMar w:top="1134" w:right="567" w:bottom="567" w:left="1134" w:header="680"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BD3" w:rsidRDefault="00310BD3">
      <w:r>
        <w:separator/>
      </w:r>
    </w:p>
  </w:endnote>
  <w:endnote w:type="continuationSeparator" w:id="0">
    <w:p w:rsidR="00310BD3" w:rsidRDefault="00310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gg_Times1">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Warnock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Liberation Sans">
    <w:altName w:val="Arial"/>
    <w:panose1 w:val="00000000000000000000"/>
    <w:charset w:val="CC"/>
    <w:family w:val="swiss"/>
    <w:notTrueType/>
    <w:pitch w:val="variable"/>
    <w:sig w:usb0="00000201" w:usb1="00000000" w:usb2="00000000" w:usb3="00000000" w:csb0="00000004" w:csb1="00000000"/>
  </w:font>
  <w:font w:name="GHEA Mariam">
    <w:panose1 w:val="02000503080000020003"/>
    <w:charset w:val="00"/>
    <w:family w:val="modern"/>
    <w:notTrueType/>
    <w:pitch w:val="variable"/>
    <w:sig w:usb0="A00006A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Dallak Helv">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Helvetica Neue">
    <w:altName w:val="Times New Roman"/>
    <w:charset w:val="00"/>
    <w:family w:val="auto"/>
    <w:pitch w:val="default"/>
  </w:font>
  <w:font w:name="Liberation Serif">
    <w:altName w:val="Times New Roman"/>
    <w:charset w:val="01"/>
    <w:family w:val="roman"/>
    <w:pitch w:val="variable"/>
  </w:font>
  <w:font w:name="Noto Serif CJK SC">
    <w:altName w:val="Times New Roman"/>
    <w:panose1 w:val="00000000000000000000"/>
    <w:charset w:val="00"/>
    <w:family w:val="roman"/>
    <w:notTrueType/>
    <w:pitch w:val="default"/>
  </w:font>
  <w:font w:name="Lohit Devanagari">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mbria Math">
    <w:panose1 w:val="02040503050406030204"/>
    <w:charset w:val="00"/>
    <w:family w:val="roman"/>
    <w:pitch w:val="variable"/>
    <w:sig w:usb0="E00006FF" w:usb1="420024FF" w:usb2="02000000" w:usb3="00000000" w:csb0="0000019F" w:csb1="00000000"/>
  </w:font>
  <w:font w:name="Merriweather">
    <w:charset w:val="00"/>
    <w:family w:val="auto"/>
    <w:pitch w:val="variable"/>
    <w:sig w:usb0="20000207" w:usb1="00000002" w:usb2="00000000" w:usb3="00000000" w:csb0="00000197"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514" w:rsidRPr="00E37514" w:rsidRDefault="00E37514">
    <w:pPr>
      <w:pStyle w:val="Footer"/>
      <w:jc w:val="right"/>
      <w:rPr>
        <w:rFonts w:ascii="GHEA Grapalat" w:hAnsi="GHEA Grapalat"/>
        <w:sz w:val="22"/>
        <w:szCs w:val="22"/>
      </w:rPr>
    </w:pPr>
    <w:r w:rsidRPr="00E37514">
      <w:rPr>
        <w:rFonts w:ascii="GHEA Grapalat" w:hAnsi="GHEA Grapalat"/>
        <w:sz w:val="22"/>
        <w:szCs w:val="22"/>
      </w:rPr>
      <w:fldChar w:fldCharType="begin"/>
    </w:r>
    <w:r w:rsidRPr="00E37514">
      <w:rPr>
        <w:rFonts w:ascii="GHEA Grapalat" w:hAnsi="GHEA Grapalat"/>
        <w:sz w:val="22"/>
        <w:szCs w:val="22"/>
      </w:rPr>
      <w:instrText xml:space="preserve"> PAGE   \* MERGEFORMAT </w:instrText>
    </w:r>
    <w:r w:rsidRPr="00E37514">
      <w:rPr>
        <w:rFonts w:ascii="GHEA Grapalat" w:hAnsi="GHEA Grapalat"/>
        <w:sz w:val="22"/>
        <w:szCs w:val="22"/>
      </w:rPr>
      <w:fldChar w:fldCharType="separate"/>
    </w:r>
    <w:r w:rsidR="007723D5">
      <w:rPr>
        <w:rFonts w:ascii="GHEA Grapalat" w:hAnsi="GHEA Grapalat"/>
        <w:noProof/>
        <w:sz w:val="22"/>
        <w:szCs w:val="22"/>
      </w:rPr>
      <w:t>24</w:t>
    </w:r>
    <w:r w:rsidRPr="00E37514">
      <w:rPr>
        <w:rFonts w:ascii="GHEA Grapalat" w:hAnsi="GHEA Grapalat"/>
        <w:noProof/>
        <w:sz w:val="22"/>
        <w:szCs w:val="22"/>
      </w:rPr>
      <w:fldChar w:fldCharType="end"/>
    </w:r>
  </w:p>
  <w:p w:rsidR="00E37514" w:rsidRDefault="00E375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BD3" w:rsidRDefault="00310BD3">
      <w:r>
        <w:separator/>
      </w:r>
    </w:p>
  </w:footnote>
  <w:footnote w:type="continuationSeparator" w:id="0">
    <w:p w:rsidR="00310BD3" w:rsidRDefault="00310BD3">
      <w:r>
        <w:continuationSeparator/>
      </w:r>
    </w:p>
  </w:footnote>
  <w:footnote w:id="1">
    <w:p w:rsidR="00E37514" w:rsidRPr="00E22A16" w:rsidRDefault="00E37514" w:rsidP="00E22A16">
      <w:pPr>
        <w:pStyle w:val="FootnoteText"/>
        <w:rPr>
          <w:rFonts w:ascii="GHEA Grapalat" w:hAnsi="GHEA Grapalat"/>
          <w:sz w:val="18"/>
          <w:szCs w:val="18"/>
        </w:rPr>
      </w:pPr>
      <w:r w:rsidRPr="00E22A16">
        <w:rPr>
          <w:rStyle w:val="FootnoteReference"/>
          <w:rFonts w:ascii="GHEA Grapalat" w:hAnsi="GHEA Grapalat"/>
          <w:sz w:val="18"/>
          <w:szCs w:val="18"/>
        </w:rPr>
        <w:footnoteRef/>
      </w:r>
      <w:r w:rsidRPr="00E22A16">
        <w:rPr>
          <w:rFonts w:ascii="GHEA Grapalat" w:hAnsi="GHEA Grapalat"/>
          <w:sz w:val="18"/>
          <w:szCs w:val="18"/>
        </w:rPr>
        <w:t xml:space="preserve"> Աղբյուրը՝ Եվրոստատի՝ հոկտեմբերի 29-ի նախնական </w:t>
      </w:r>
      <w:hyperlink r:id="rId1" w:anchor=":~:text=In%20the%20third%20quarter%202021,office%20of%20the%20European%20Union" w:history="1">
        <w:r w:rsidRPr="00E22A16">
          <w:rPr>
            <w:rFonts w:ascii="GHEA Grapalat" w:hAnsi="GHEA Grapalat"/>
            <w:sz w:val="18"/>
            <w:szCs w:val="18"/>
          </w:rPr>
          <w:t>գնահատում</w:t>
        </w:r>
      </w:hyperlink>
      <w:r w:rsidRPr="00E22A16">
        <w:rPr>
          <w:rFonts w:ascii="GHEA Grapalat" w:hAnsi="GHEA Grapalat"/>
          <w:sz w:val="18"/>
          <w:szCs w:val="18"/>
        </w:rPr>
        <w:t xml:space="preserve"> (</w:t>
      </w:r>
      <w:hyperlink r:id="rId2" w:history="1">
        <w:r w:rsidRPr="00E22A16">
          <w:rPr>
            <w:rStyle w:val="Hyperlink"/>
            <w:rFonts w:ascii="GHEA Grapalat" w:hAnsi="GHEA Grapalat"/>
            <w:sz w:val="18"/>
            <w:szCs w:val="18"/>
          </w:rPr>
          <w:t>https://ec.europa.eu/eurostat/documents/2995521/14497760/2-29042022-BP-EN.pdf</w:t>
        </w:r>
      </w:hyperlink>
      <w:r w:rsidRPr="00E22A16">
        <w:rPr>
          <w:rFonts w:ascii="GHEA Grapalat" w:hAnsi="GHEA Grapalat"/>
          <w:sz w:val="18"/>
          <w:szCs w:val="18"/>
        </w:rPr>
        <w:t>), էջ 2 :</w:t>
      </w:r>
    </w:p>
  </w:footnote>
  <w:footnote w:id="2">
    <w:p w:rsidR="00E37514" w:rsidRPr="00E22A16" w:rsidRDefault="00E37514" w:rsidP="00E22A16">
      <w:pPr>
        <w:pStyle w:val="FootnoteText"/>
        <w:rPr>
          <w:rFonts w:ascii="GHEA Grapalat" w:hAnsi="GHEA Grapalat"/>
          <w:sz w:val="18"/>
          <w:szCs w:val="18"/>
        </w:rPr>
      </w:pPr>
      <w:r w:rsidRPr="00E22A16">
        <w:rPr>
          <w:rStyle w:val="FootnoteReference"/>
          <w:rFonts w:ascii="GHEA Grapalat" w:hAnsi="GHEA Grapalat"/>
          <w:sz w:val="18"/>
          <w:szCs w:val="18"/>
        </w:rPr>
        <w:footnoteRef/>
      </w:r>
      <w:r w:rsidRPr="00E22A16">
        <w:rPr>
          <w:rFonts w:ascii="GHEA Grapalat" w:hAnsi="GHEA Grapalat"/>
          <w:sz w:val="18"/>
          <w:szCs w:val="18"/>
        </w:rPr>
        <w:t xml:space="preserve"> Աղբյուրը՝ Չինաստանի վիճակագրության ազգային </w:t>
      </w:r>
      <w:hyperlink r:id="rId3" w:history="1">
        <w:r w:rsidRPr="00E22A16">
          <w:rPr>
            <w:rFonts w:ascii="GHEA Grapalat" w:hAnsi="GHEA Grapalat"/>
            <w:sz w:val="18"/>
            <w:szCs w:val="18"/>
          </w:rPr>
          <w:t>բյուրո</w:t>
        </w:r>
      </w:hyperlink>
      <w:r>
        <w:rPr>
          <w:rFonts w:ascii="GHEA Grapalat" w:hAnsi="GHEA Grapalat"/>
          <w:sz w:val="18"/>
          <w:szCs w:val="18"/>
        </w:rPr>
        <w:t xml:space="preserve"> </w:t>
      </w:r>
      <w:r w:rsidRPr="00E22A16">
        <w:rPr>
          <w:rFonts w:ascii="GHEA Grapalat" w:hAnsi="GHEA Grapalat"/>
          <w:sz w:val="18"/>
          <w:szCs w:val="18"/>
        </w:rPr>
        <w:t>(</w:t>
      </w:r>
      <w:hyperlink r:id="rId4" w:history="1">
        <w:r w:rsidRPr="00E22A16">
          <w:rPr>
            <w:rStyle w:val="Hyperlink"/>
            <w:rFonts w:ascii="GHEA Grapalat" w:hAnsi="GHEA Grapalat"/>
            <w:sz w:val="18"/>
            <w:szCs w:val="18"/>
          </w:rPr>
          <w:t>http://www.stats.gov.cn/english/PressRelease/202204/t20220418_1829688.html</w:t>
        </w:r>
      </w:hyperlink>
      <w:r w:rsidRPr="00E22A16">
        <w:rPr>
          <w:rFonts w:ascii="GHEA Grapalat" w:hAnsi="GHEA Grapalat"/>
          <w:sz w:val="18"/>
          <w:szCs w:val="18"/>
        </w:rPr>
        <w:t>) :</w:t>
      </w:r>
    </w:p>
  </w:footnote>
  <w:footnote w:id="3">
    <w:p w:rsidR="00E37514" w:rsidRPr="00497B24" w:rsidRDefault="00E37514" w:rsidP="00E22A16">
      <w:pPr>
        <w:pStyle w:val="FootnoteText"/>
        <w:rPr>
          <w:rFonts w:ascii="GHEA Grapalat" w:hAnsi="GHEA Grapalat"/>
          <w:sz w:val="18"/>
          <w:szCs w:val="18"/>
        </w:rPr>
      </w:pPr>
      <w:r w:rsidRPr="00E22A16">
        <w:rPr>
          <w:rStyle w:val="FootnoteReference"/>
          <w:rFonts w:ascii="GHEA Grapalat" w:hAnsi="GHEA Grapalat"/>
          <w:sz w:val="18"/>
          <w:szCs w:val="18"/>
        </w:rPr>
        <w:footnoteRef/>
      </w:r>
      <w:r w:rsidRPr="00E22A16">
        <w:rPr>
          <w:rFonts w:ascii="GHEA Grapalat" w:hAnsi="GHEA Grapalat"/>
          <w:sz w:val="18"/>
          <w:szCs w:val="18"/>
        </w:rPr>
        <w:t xml:space="preserve"> Աղբյուրը՝ ՌԴ տնտեսական զարգացման նախարարության </w:t>
      </w:r>
      <w:hyperlink r:id="rId5" w:history="1">
        <w:r w:rsidRPr="00E22A16">
          <w:rPr>
            <w:rFonts w:ascii="GHEA Grapalat" w:hAnsi="GHEA Grapalat"/>
            <w:sz w:val="18"/>
            <w:szCs w:val="18"/>
          </w:rPr>
          <w:t>գնահատմամբ</w:t>
        </w:r>
      </w:hyperlink>
      <w:r w:rsidRPr="00E22A16">
        <w:rPr>
          <w:rFonts w:ascii="GHEA Grapalat" w:hAnsi="GHEA Grapalat"/>
          <w:sz w:val="18"/>
          <w:szCs w:val="18"/>
        </w:rPr>
        <w:t xml:space="preserve"> </w:t>
      </w:r>
      <w:r w:rsidRPr="00497B24">
        <w:rPr>
          <w:rStyle w:val="Hyperlink"/>
          <w:rFonts w:ascii="GHEA Grapalat" w:hAnsi="GHEA Grapalat"/>
          <w:sz w:val="18"/>
          <w:szCs w:val="18"/>
        </w:rPr>
        <w:t>(https://economy.gov.ru/material/file/bffc6cc5eadc71d91c685e2fe5908112/29102021.pdf)</w:t>
      </w:r>
      <w:r w:rsidRPr="00497B24">
        <w:rPr>
          <w:rFonts w:ascii="GHEA Grapalat" w:hAnsi="GHEA Grapalat"/>
          <w:sz w:val="18"/>
          <w:szCs w:val="18"/>
        </w:rPr>
        <w:t>:</w:t>
      </w:r>
    </w:p>
  </w:footnote>
  <w:footnote w:id="4">
    <w:p w:rsidR="00E37514" w:rsidRPr="00E22A16" w:rsidRDefault="00E37514" w:rsidP="00E22A16">
      <w:pPr>
        <w:pStyle w:val="FootnoteText"/>
        <w:rPr>
          <w:rFonts w:ascii="GHEA Grapalat" w:hAnsi="GHEA Grapalat"/>
          <w:sz w:val="18"/>
          <w:szCs w:val="18"/>
        </w:rPr>
      </w:pPr>
      <w:r w:rsidRPr="00E22A16">
        <w:rPr>
          <w:rStyle w:val="FootnoteReference"/>
          <w:rFonts w:ascii="GHEA Grapalat" w:hAnsi="GHEA Grapalat"/>
          <w:sz w:val="18"/>
          <w:szCs w:val="18"/>
        </w:rPr>
        <w:footnoteRef/>
      </w:r>
      <w:r w:rsidRPr="00E22A16">
        <w:rPr>
          <w:rFonts w:ascii="GHEA Grapalat" w:hAnsi="GHEA Grapalat"/>
          <w:sz w:val="18"/>
          <w:szCs w:val="18"/>
        </w:rPr>
        <w:t xml:space="preserve"> Աղբյուրը՝ Համաշխարհային բանկ ( </w:t>
      </w:r>
      <w:hyperlink r:id="rId6" w:history="1">
        <w:r w:rsidRPr="00E22A16">
          <w:rPr>
            <w:rStyle w:val="Hyperlink"/>
            <w:rFonts w:ascii="GHEA Grapalat" w:hAnsi="GHEA Grapalat"/>
            <w:sz w:val="18"/>
            <w:szCs w:val="18"/>
          </w:rPr>
          <w:t>https://www.worldbank.org/en/research/commodity-markets</w:t>
        </w:r>
      </w:hyperlink>
      <w:r w:rsidRPr="00E22A16">
        <w:rPr>
          <w:rFonts w:ascii="GHEA Grapalat" w:hAnsi="GHEA Grapalat"/>
          <w:sz w:val="18"/>
          <w:szCs w:val="18"/>
        </w:rPr>
        <w:t>):</w:t>
      </w:r>
      <w:r>
        <w:rPr>
          <w:rFonts w:ascii="GHEA Grapalat" w:hAnsi="GHEA Grapalat"/>
          <w:sz w:val="18"/>
          <w:szCs w:val="18"/>
        </w:rPr>
        <w:t xml:space="preserve"> </w:t>
      </w:r>
    </w:p>
  </w:footnote>
  <w:footnote w:id="5">
    <w:p w:rsidR="00E37514" w:rsidRPr="00E22A16" w:rsidRDefault="00E37514" w:rsidP="00563135">
      <w:pPr>
        <w:pStyle w:val="FootnoteText"/>
        <w:rPr>
          <w:rFonts w:ascii="GHEA Grapalat" w:hAnsi="GHEA Grapalat"/>
          <w:sz w:val="18"/>
          <w:szCs w:val="18"/>
        </w:rPr>
      </w:pPr>
      <w:r w:rsidRPr="00E22A16">
        <w:rPr>
          <w:rStyle w:val="FootnoteReference"/>
          <w:rFonts w:ascii="GHEA Grapalat" w:hAnsi="GHEA Grapalat"/>
          <w:sz w:val="18"/>
          <w:szCs w:val="18"/>
        </w:rPr>
        <w:footnoteRef/>
      </w:r>
      <w:r w:rsidRPr="00E22A16">
        <w:rPr>
          <w:rFonts w:ascii="GHEA Grapalat" w:hAnsi="GHEA Grapalat"/>
          <w:sz w:val="18"/>
          <w:szCs w:val="18"/>
        </w:rPr>
        <w:t xml:space="preserve"> Աղբ</w:t>
      </w:r>
      <w:r>
        <w:rPr>
          <w:rFonts w:ascii="GHEA Grapalat" w:hAnsi="GHEA Grapalat"/>
          <w:sz w:val="18"/>
          <w:szCs w:val="18"/>
        </w:rPr>
        <w:t>յուրը՝ ՄԱԿ-</w:t>
      </w:r>
      <w:r w:rsidRPr="00E22A16">
        <w:rPr>
          <w:rFonts w:ascii="GHEA Grapalat" w:hAnsi="GHEA Grapalat"/>
          <w:sz w:val="18"/>
          <w:szCs w:val="18"/>
        </w:rPr>
        <w:t xml:space="preserve">ի պարենի և գյուղատնտեսության կազմակերպություն </w:t>
      </w:r>
      <w:hyperlink r:id="rId7" w:history="1">
        <w:r w:rsidRPr="00E22A16">
          <w:rPr>
            <w:rStyle w:val="Hyperlink"/>
            <w:rFonts w:ascii="GHEA Grapalat" w:hAnsi="GHEA Grapalat"/>
            <w:sz w:val="18"/>
            <w:szCs w:val="18"/>
          </w:rPr>
          <w:t>https://www.fao.org/worldfoodsituation/foodpricesindex/en/</w:t>
        </w:r>
      </w:hyperlink>
    </w:p>
  </w:footnote>
  <w:footnote w:id="6">
    <w:p w:rsidR="00E37514" w:rsidRPr="00E22A16" w:rsidRDefault="00E37514" w:rsidP="00E22A16">
      <w:pPr>
        <w:pStyle w:val="FootnoteText"/>
        <w:jc w:val="both"/>
        <w:rPr>
          <w:rFonts w:ascii="GHEA Grapalat" w:hAnsi="GHEA Grapalat"/>
          <w:sz w:val="18"/>
          <w:szCs w:val="18"/>
        </w:rPr>
      </w:pPr>
      <w:r w:rsidRPr="00E22A16">
        <w:rPr>
          <w:rStyle w:val="FootnoteReference"/>
          <w:rFonts w:ascii="GHEA Grapalat" w:hAnsi="GHEA Grapalat"/>
          <w:sz w:val="18"/>
          <w:szCs w:val="18"/>
        </w:rPr>
        <w:footnoteRef/>
      </w:r>
      <w:r w:rsidRPr="00E22A16">
        <w:rPr>
          <w:rFonts w:ascii="GHEA Grapalat" w:hAnsi="GHEA Grapalat"/>
          <w:sz w:val="18"/>
          <w:szCs w:val="18"/>
        </w:rPr>
        <w:t xml:space="preserve"> Ճյուղերի մանրամասն ցուցանիշները ներկայացված են Հավելվածում:</w:t>
      </w:r>
    </w:p>
  </w:footnote>
  <w:footnote w:id="7">
    <w:p w:rsidR="00E37514" w:rsidRPr="007B2F12" w:rsidRDefault="00E37514" w:rsidP="00563135">
      <w:pPr>
        <w:pStyle w:val="FootnoteText"/>
        <w:jc w:val="both"/>
        <w:rPr>
          <w:rFonts w:ascii="GHEA Grapalat" w:hAnsi="GHEA Grapalat"/>
          <w:sz w:val="18"/>
          <w:szCs w:val="18"/>
        </w:rPr>
      </w:pPr>
      <w:r w:rsidRPr="007B2F12">
        <w:rPr>
          <w:rStyle w:val="FootnoteReference"/>
          <w:rFonts w:ascii="GHEA Grapalat" w:hAnsi="GHEA Grapalat"/>
          <w:sz w:val="18"/>
          <w:szCs w:val="18"/>
        </w:rPr>
        <w:footnoteRef/>
      </w:r>
      <w:r w:rsidRPr="007B2F12">
        <w:rPr>
          <w:rFonts w:ascii="GHEA Grapalat" w:hAnsi="GHEA Grapalat"/>
          <w:sz w:val="18"/>
          <w:szCs w:val="18"/>
        </w:rPr>
        <w:t xml:space="preserve"> ՏԱՑ-ի աճին ճյուղերի նպաստումները ՀՀ ֆինանսների նախարարության գնահատականներն են: Գյուղատնտեսության ցուցանիշը ոչ բոլոր հաշվարկներում է ներկայացված, քանի որ այն հրապարակվում է եռամսյակային պարբերականությամբ՝ պայմանավորված գյուղատնտեսության սեզոնայնությամբ և բնակլիմայական ոչ կայուն պայմաններից կախված</w:t>
      </w:r>
      <w:r w:rsidR="00475F7E">
        <w:rPr>
          <w:rFonts w:ascii="GHEA Grapalat" w:hAnsi="GHEA Grapalat"/>
          <w:sz w:val="18"/>
          <w:szCs w:val="18"/>
        </w:rPr>
        <w:t>՝</w:t>
      </w:r>
      <w:r w:rsidRPr="007B2F12">
        <w:rPr>
          <w:rFonts w:ascii="GHEA Grapalat" w:hAnsi="GHEA Grapalat"/>
          <w:sz w:val="18"/>
          <w:szCs w:val="18"/>
        </w:rPr>
        <w:t xml:space="preserve"> ամսական արտադրության տատանողականության հարթեցման անհրաժեշտությամբ:</w:t>
      </w:r>
    </w:p>
  </w:footnote>
  <w:footnote w:id="8">
    <w:p w:rsidR="00E37514" w:rsidRPr="00773FC6" w:rsidRDefault="00E37514" w:rsidP="00773FC6">
      <w:pPr>
        <w:pStyle w:val="FootnoteText"/>
        <w:jc w:val="both"/>
        <w:rPr>
          <w:rFonts w:ascii="GHEA Grapalat" w:hAnsi="GHEA Grapalat"/>
          <w:sz w:val="18"/>
          <w:szCs w:val="18"/>
        </w:rPr>
      </w:pPr>
      <w:r w:rsidRPr="00773FC6">
        <w:rPr>
          <w:rStyle w:val="FootnoteReference"/>
          <w:rFonts w:ascii="GHEA Grapalat" w:hAnsi="GHEA Grapalat"/>
          <w:sz w:val="18"/>
          <w:szCs w:val="18"/>
        </w:rPr>
        <w:footnoteRef/>
      </w:r>
      <w:r w:rsidRPr="00773FC6">
        <w:rPr>
          <w:rFonts w:ascii="GHEA Grapalat" w:hAnsi="GHEA Grapalat"/>
          <w:sz w:val="18"/>
          <w:szCs w:val="18"/>
        </w:rPr>
        <w:t xml:space="preserve"> </w:t>
      </w:r>
      <w:r w:rsidRPr="00773FC6">
        <w:rPr>
          <w:rFonts w:ascii="GHEA Grapalat" w:eastAsia="GHEA Grapalat" w:hAnsi="GHEA Grapalat" w:cs="GHEA Grapalat"/>
          <w:color w:val="000000"/>
          <w:sz w:val="18"/>
          <w:szCs w:val="18"/>
        </w:rPr>
        <w:t>Համախառն պահանջարկի ցուցանիշները ՀՀ ֆինանսների նախարարության գնահատականներն են:</w:t>
      </w:r>
    </w:p>
  </w:footnote>
  <w:footnote w:id="9">
    <w:p w:rsidR="00E37514" w:rsidRPr="00773FC6" w:rsidRDefault="00E37514" w:rsidP="00773FC6">
      <w:pPr>
        <w:jc w:val="both"/>
        <w:rPr>
          <w:rFonts w:ascii="GHEA Grapalat" w:eastAsia="GHEA Grapalat" w:hAnsi="GHEA Grapalat" w:cs="GHEA Grapalat"/>
          <w:color w:val="000000"/>
          <w:sz w:val="18"/>
          <w:szCs w:val="18"/>
          <w:highlight w:val="yellow"/>
        </w:rPr>
      </w:pPr>
      <w:r w:rsidRPr="00773FC6">
        <w:rPr>
          <w:rStyle w:val="FootnoteReference"/>
          <w:rFonts w:ascii="GHEA Grapalat" w:hAnsi="GHEA Grapalat"/>
          <w:sz w:val="18"/>
          <w:szCs w:val="18"/>
        </w:rPr>
        <w:footnoteRef/>
      </w:r>
      <w:r w:rsidRPr="00773FC6">
        <w:rPr>
          <w:rFonts w:ascii="GHEA Grapalat" w:eastAsia="GHEA Grapalat" w:hAnsi="GHEA Grapalat" w:cs="GHEA Grapalat"/>
          <w:color w:val="000000"/>
          <w:sz w:val="18"/>
          <w:szCs w:val="18"/>
        </w:rPr>
        <w:t xml:space="preserve"> </w:t>
      </w:r>
      <w:r w:rsidRPr="00773FC6">
        <w:rPr>
          <w:rFonts w:ascii="GHEA Grapalat" w:eastAsia="GHEA Grapalat" w:hAnsi="GHEA Grapalat"/>
          <w:color w:val="000000"/>
          <w:sz w:val="18"/>
          <w:szCs w:val="18"/>
        </w:rPr>
        <w:t>Այստեղ ներկայացված են հիմնական միջոցներում ներդրումները՝ հաշվի առնելով, որ 2019 թվականից ՀՀ ՎԿ-ի կողմից համախառն կուտակման մեջ հաշվառվող պաշարների փոփոխության մեջ ներառում են նաև վիճակագրական շեղումները:</w:t>
      </w:r>
    </w:p>
  </w:footnote>
  <w:footnote w:id="10">
    <w:p w:rsidR="00E37514" w:rsidRPr="00773FC6" w:rsidRDefault="00E37514" w:rsidP="00773FC6">
      <w:pPr>
        <w:jc w:val="both"/>
        <w:rPr>
          <w:rFonts w:ascii="GHEA Grapalat" w:eastAsia="GHEA Grapalat" w:hAnsi="GHEA Grapalat"/>
          <w:color w:val="000000"/>
          <w:sz w:val="18"/>
          <w:szCs w:val="18"/>
        </w:rPr>
      </w:pPr>
      <w:r w:rsidRPr="00773FC6">
        <w:rPr>
          <w:rFonts w:ascii="GHEA Grapalat" w:eastAsia="GHEA Grapalat" w:hAnsi="GHEA Grapalat"/>
          <w:color w:val="000000"/>
          <w:sz w:val="18"/>
          <w:szCs w:val="18"/>
          <w:vertAlign w:val="superscript"/>
        </w:rPr>
        <w:footnoteRef/>
      </w:r>
      <w:r w:rsidRPr="00773FC6">
        <w:rPr>
          <w:rFonts w:ascii="GHEA Grapalat" w:eastAsia="GHEA Grapalat" w:hAnsi="GHEA Grapalat"/>
          <w:color w:val="000000"/>
          <w:sz w:val="18"/>
          <w:szCs w:val="18"/>
        </w:rPr>
        <w:t xml:space="preserve"> Ներդրումների ճյուղային կառուցվածքի ցուցանիշները վերաբերում են ներդրումների՝ կապիտալ շինարարությանն ուղղվող մասին: Ավելի մանրամասն տե՛ս Շինարարություն հատվածում:</w:t>
      </w:r>
    </w:p>
  </w:footnote>
  <w:footnote w:id="11">
    <w:p w:rsidR="00E37514" w:rsidRPr="00773FC6" w:rsidRDefault="00E37514" w:rsidP="00773FC6">
      <w:pPr>
        <w:pStyle w:val="FootnoteText"/>
        <w:jc w:val="both"/>
        <w:rPr>
          <w:rFonts w:ascii="GHEA Grapalat" w:hAnsi="GHEA Grapalat"/>
          <w:sz w:val="18"/>
          <w:szCs w:val="18"/>
        </w:rPr>
      </w:pPr>
      <w:r w:rsidRPr="00773FC6">
        <w:rPr>
          <w:rStyle w:val="FootnoteReference"/>
          <w:rFonts w:ascii="GHEA Grapalat" w:hAnsi="GHEA Grapalat"/>
          <w:sz w:val="18"/>
          <w:szCs w:val="18"/>
        </w:rPr>
        <w:footnoteRef/>
      </w:r>
      <w:r w:rsidRPr="00773FC6">
        <w:rPr>
          <w:rFonts w:ascii="GHEA Grapalat" w:hAnsi="GHEA Grapalat"/>
          <w:sz w:val="18"/>
          <w:szCs w:val="18"/>
        </w:rPr>
        <w:t xml:space="preserve"> Աղբյուրը՝ ՀՀ ՎԿ և ՀՀ ՖՆ հաշվարկներ։</w:t>
      </w:r>
    </w:p>
  </w:footnote>
  <w:footnote w:id="12">
    <w:p w:rsidR="00E37514" w:rsidRPr="00773FC6" w:rsidRDefault="00E37514" w:rsidP="00AE25A7">
      <w:pPr>
        <w:pBdr>
          <w:top w:val="nil"/>
          <w:left w:val="nil"/>
          <w:bottom w:val="nil"/>
          <w:right w:val="nil"/>
          <w:between w:val="nil"/>
        </w:pBdr>
        <w:jc w:val="both"/>
        <w:rPr>
          <w:rFonts w:ascii="GHEA Grapalat" w:hAnsi="GHEA Grapalat"/>
          <w:sz w:val="18"/>
          <w:szCs w:val="18"/>
        </w:rPr>
      </w:pPr>
      <w:r w:rsidRPr="00773FC6">
        <w:rPr>
          <w:rStyle w:val="FootnoteReference"/>
          <w:rFonts w:ascii="GHEA Grapalat" w:hAnsi="GHEA Grapalat"/>
          <w:sz w:val="18"/>
          <w:szCs w:val="18"/>
        </w:rPr>
        <w:footnoteRef/>
      </w:r>
      <w:r w:rsidRPr="00773FC6">
        <w:rPr>
          <w:rFonts w:ascii="GHEA Grapalat" w:eastAsia="GHEA Grapalat" w:hAnsi="GHEA Grapalat" w:cs="GHEA Grapalat"/>
          <w:color w:val="000000"/>
          <w:sz w:val="18"/>
          <w:szCs w:val="18"/>
        </w:rPr>
        <w:t xml:space="preserve"> </w:t>
      </w:r>
      <w:r w:rsidRPr="00773FC6">
        <w:rPr>
          <w:rFonts w:ascii="GHEA Grapalat" w:hAnsi="GHEA Grapalat"/>
          <w:sz w:val="18"/>
          <w:szCs w:val="18"/>
        </w:rPr>
        <w:t xml:space="preserve">Ներմուծման տվյալները ներկայացված են ՍԻՖ գներով: </w:t>
      </w:r>
    </w:p>
  </w:footnote>
  <w:footnote w:id="13">
    <w:p w:rsidR="00E37514" w:rsidRPr="005D5E98" w:rsidRDefault="00E37514" w:rsidP="005D5E98">
      <w:pPr>
        <w:pStyle w:val="FootnoteText"/>
        <w:jc w:val="both"/>
        <w:rPr>
          <w:rFonts w:ascii="GHEA Grapalat" w:eastAsia="GHEA Grapalat" w:hAnsi="GHEA Grapalat" w:cs="GHEA Grapalat"/>
          <w:color w:val="000000"/>
          <w:sz w:val="18"/>
          <w:szCs w:val="18"/>
        </w:rPr>
      </w:pPr>
      <w:r w:rsidRPr="005D5E98">
        <w:rPr>
          <w:rStyle w:val="FootnoteReference"/>
          <w:rFonts w:ascii="GHEA Grapalat" w:hAnsi="GHEA Grapalat"/>
          <w:sz w:val="18"/>
          <w:szCs w:val="18"/>
        </w:rPr>
        <w:footnoteRef/>
      </w:r>
      <w:r w:rsidRPr="005D5E98">
        <w:rPr>
          <w:rFonts w:ascii="GHEA Grapalat" w:hAnsi="GHEA Grapalat"/>
          <w:sz w:val="18"/>
          <w:szCs w:val="18"/>
        </w:rPr>
        <w:t xml:space="preserve"> </w:t>
      </w:r>
      <w:r w:rsidRPr="005D5E98">
        <w:rPr>
          <w:rFonts w:ascii="GHEA Grapalat" w:eastAsia="GHEA Grapalat" w:hAnsi="GHEA Grapalat" w:cs="GHEA Grapalat"/>
          <w:color w:val="000000"/>
          <w:sz w:val="18"/>
          <w:szCs w:val="18"/>
        </w:rPr>
        <w:t>Աղբյուրը` ՀՀ</w:t>
      </w:r>
      <w:r>
        <w:rPr>
          <w:rFonts w:ascii="GHEA Grapalat" w:eastAsia="GHEA Grapalat" w:hAnsi="GHEA Grapalat" w:cs="GHEA Grapalat"/>
          <w:color w:val="000000"/>
          <w:sz w:val="18"/>
          <w:szCs w:val="18"/>
        </w:rPr>
        <w:t xml:space="preserve"> </w:t>
      </w:r>
      <w:r w:rsidRPr="005D5E98">
        <w:rPr>
          <w:rFonts w:ascii="GHEA Grapalat" w:eastAsia="GHEA Grapalat" w:hAnsi="GHEA Grapalat" w:cs="GHEA Grapalat"/>
          <w:color w:val="000000"/>
          <w:sz w:val="18"/>
          <w:szCs w:val="18"/>
        </w:rPr>
        <w:t xml:space="preserve">վիճակագրական </w:t>
      </w:r>
      <w:r>
        <w:rPr>
          <w:rFonts w:ascii="GHEA Grapalat" w:eastAsia="GHEA Grapalat" w:hAnsi="GHEA Grapalat" w:cs="GHEA Grapalat"/>
          <w:color w:val="000000"/>
          <w:sz w:val="18"/>
          <w:szCs w:val="18"/>
        </w:rPr>
        <w:t>կոմիտե</w:t>
      </w:r>
      <w:r w:rsidRPr="005D5E98">
        <w:rPr>
          <w:rFonts w:ascii="GHEA Grapalat" w:eastAsia="GHEA Grapalat" w:hAnsi="GHEA Grapalat" w:cs="GHEA Grapalat"/>
          <w:color w:val="000000"/>
          <w:sz w:val="18"/>
          <w:szCs w:val="18"/>
        </w:rPr>
        <w:t>,</w:t>
      </w:r>
      <w:r>
        <w:rPr>
          <w:rFonts w:ascii="GHEA Grapalat" w:eastAsia="GHEA Grapalat" w:hAnsi="GHEA Grapalat" w:cs="GHEA Grapalat"/>
          <w:color w:val="000000"/>
          <w:sz w:val="18"/>
          <w:szCs w:val="18"/>
        </w:rPr>
        <w:t xml:space="preserve"> </w:t>
      </w:r>
      <w:r w:rsidRPr="005D5E98">
        <w:rPr>
          <w:rFonts w:ascii="GHEA Grapalat" w:eastAsia="GHEA Grapalat" w:hAnsi="GHEA Grapalat" w:cs="GHEA Grapalat"/>
          <w:color w:val="000000"/>
          <w:sz w:val="18"/>
          <w:szCs w:val="18"/>
        </w:rPr>
        <w:t>«Հայաստանի Հանրապետության սոցիալ-տնտեսական վիճակը» ամսական զեկույցներ:</w:t>
      </w:r>
    </w:p>
  </w:footnote>
  <w:footnote w:id="14">
    <w:p w:rsidR="00E37514" w:rsidRPr="00F533F8" w:rsidRDefault="00E37514" w:rsidP="00AE25A7">
      <w:pPr>
        <w:spacing w:line="276" w:lineRule="auto"/>
        <w:jc w:val="both"/>
        <w:rPr>
          <w:sz w:val="18"/>
          <w:szCs w:val="18"/>
        </w:rPr>
      </w:pPr>
      <w:r w:rsidRPr="00F533F8">
        <w:rPr>
          <w:rStyle w:val="FootnoteReference"/>
          <w:rFonts w:ascii="GHEA Grapalat" w:hAnsi="GHEA Grapalat"/>
          <w:sz w:val="18"/>
          <w:szCs w:val="18"/>
        </w:rPr>
        <w:footnoteRef/>
      </w:r>
      <w:r w:rsidRPr="00F533F8">
        <w:rPr>
          <w:rStyle w:val="FootnoteReference"/>
          <w:rFonts w:ascii="GHEA Grapalat" w:hAnsi="GHEA Grapalat"/>
          <w:sz w:val="18"/>
          <w:szCs w:val="18"/>
        </w:rPr>
        <w:t xml:space="preserve"> </w:t>
      </w:r>
      <w:r w:rsidRPr="00F533F8">
        <w:rPr>
          <w:rFonts w:ascii="GHEA Grapalat" w:eastAsia="GHEA Grapalat" w:hAnsi="GHEA Grapalat" w:cs="GHEA Grapalat"/>
          <w:color w:val="000000"/>
          <w:sz w:val="18"/>
          <w:szCs w:val="18"/>
        </w:rPr>
        <w:t>Աղբյուրը՝ ՀՀ</w:t>
      </w:r>
      <w:r>
        <w:rPr>
          <w:rFonts w:ascii="GHEA Grapalat" w:eastAsia="GHEA Grapalat" w:hAnsi="GHEA Grapalat" w:cs="GHEA Grapalat"/>
          <w:color w:val="000000"/>
          <w:sz w:val="18"/>
          <w:szCs w:val="18"/>
        </w:rPr>
        <w:t xml:space="preserve"> </w:t>
      </w:r>
      <w:r w:rsidRPr="00F533F8">
        <w:rPr>
          <w:rFonts w:ascii="GHEA Grapalat" w:eastAsia="GHEA Grapalat" w:hAnsi="GHEA Grapalat" w:cs="GHEA Grapalat"/>
          <w:color w:val="000000"/>
          <w:sz w:val="18"/>
          <w:szCs w:val="18"/>
        </w:rPr>
        <w:t>վիճակագրական կոմիտե,</w:t>
      </w:r>
      <w:r>
        <w:rPr>
          <w:rFonts w:ascii="GHEA Grapalat" w:eastAsia="GHEA Grapalat" w:hAnsi="GHEA Grapalat" w:cs="GHEA Grapalat"/>
          <w:color w:val="000000"/>
          <w:sz w:val="18"/>
          <w:szCs w:val="18"/>
        </w:rPr>
        <w:t xml:space="preserve"> </w:t>
      </w:r>
      <w:r w:rsidRPr="00F533F8">
        <w:rPr>
          <w:rFonts w:ascii="GHEA Grapalat" w:eastAsia="GHEA Grapalat" w:hAnsi="GHEA Grapalat" w:cs="GHEA Grapalat"/>
          <w:color w:val="000000"/>
          <w:sz w:val="18"/>
          <w:szCs w:val="18"/>
        </w:rPr>
        <w:t>«Հայաստանի Հանրապետության սոցիալ-տնտեսական վիճակը» ամսական զեկույցներ և ՀՀ ՖՆ հաշվարկներ:</w:t>
      </w:r>
    </w:p>
  </w:footnote>
  <w:footnote w:id="15">
    <w:p w:rsidR="00E37514" w:rsidRPr="00F533F8" w:rsidRDefault="00E37514" w:rsidP="00AE25A7">
      <w:pPr>
        <w:pStyle w:val="FootnoteText"/>
        <w:rPr>
          <w:rFonts w:ascii="GHEA Grapalat" w:hAnsi="GHEA Grapalat"/>
          <w:sz w:val="18"/>
          <w:szCs w:val="18"/>
        </w:rPr>
      </w:pPr>
      <w:r w:rsidRPr="00F533F8">
        <w:rPr>
          <w:rStyle w:val="FootnoteReference"/>
          <w:rFonts w:ascii="GHEA Grapalat" w:hAnsi="GHEA Grapalat"/>
          <w:sz w:val="18"/>
          <w:szCs w:val="18"/>
        </w:rPr>
        <w:footnoteRef/>
      </w:r>
      <w:r w:rsidRPr="00F533F8">
        <w:rPr>
          <w:rFonts w:ascii="GHEA Grapalat" w:hAnsi="GHEA Grapalat"/>
          <w:sz w:val="18"/>
          <w:szCs w:val="18"/>
        </w:rPr>
        <w:t xml:space="preserve"> </w:t>
      </w:r>
      <w:r w:rsidRPr="00F533F8">
        <w:rPr>
          <w:rFonts w:ascii="GHEA Grapalat" w:eastAsia="GHEA Grapalat" w:hAnsi="GHEA Grapalat" w:cs="GHEA Grapalat"/>
          <w:color w:val="000000"/>
          <w:sz w:val="18"/>
          <w:szCs w:val="18"/>
        </w:rPr>
        <w:t>Մանրամասն ցուցանիշները ներկայացված են Հավելվածում:</w:t>
      </w:r>
    </w:p>
  </w:footnote>
  <w:footnote w:id="16">
    <w:p w:rsidR="00E37514" w:rsidRPr="005D5E98" w:rsidRDefault="00E37514" w:rsidP="005D5E98">
      <w:pPr>
        <w:pStyle w:val="FootnoteText"/>
        <w:jc w:val="both"/>
        <w:rPr>
          <w:sz w:val="18"/>
          <w:szCs w:val="18"/>
        </w:rPr>
      </w:pPr>
      <w:r w:rsidRPr="005D5E98">
        <w:rPr>
          <w:rStyle w:val="FootnoteReference"/>
          <w:rFonts w:ascii="GHEA Grapalat" w:hAnsi="GHEA Grapalat"/>
          <w:sz w:val="18"/>
          <w:szCs w:val="18"/>
        </w:rPr>
        <w:footnoteRef/>
      </w:r>
      <w:r w:rsidRPr="005D5E98">
        <w:rPr>
          <w:rStyle w:val="FootnoteReference"/>
          <w:rFonts w:ascii="GHEA Grapalat" w:hAnsi="GHEA Grapalat"/>
          <w:sz w:val="18"/>
          <w:szCs w:val="18"/>
        </w:rPr>
        <w:t xml:space="preserve"> </w:t>
      </w:r>
      <w:r w:rsidRPr="005D5E98">
        <w:rPr>
          <w:rFonts w:ascii="GHEA Grapalat" w:eastAsia="GHEA Grapalat" w:hAnsi="GHEA Grapalat" w:cs="GHEA Grapalat"/>
          <w:color w:val="000000"/>
          <w:sz w:val="18"/>
          <w:szCs w:val="18"/>
        </w:rPr>
        <w:t>Աղբյուրը՝ ՀՀ</w:t>
      </w:r>
      <w:r>
        <w:rPr>
          <w:rFonts w:ascii="GHEA Grapalat" w:eastAsia="GHEA Grapalat" w:hAnsi="GHEA Grapalat" w:cs="GHEA Grapalat"/>
          <w:color w:val="000000"/>
          <w:sz w:val="18"/>
          <w:szCs w:val="18"/>
        </w:rPr>
        <w:t xml:space="preserve"> </w:t>
      </w:r>
      <w:r w:rsidRPr="005D5E98">
        <w:rPr>
          <w:rFonts w:ascii="GHEA Grapalat" w:eastAsia="GHEA Grapalat" w:hAnsi="GHEA Grapalat" w:cs="GHEA Grapalat"/>
          <w:color w:val="000000"/>
          <w:sz w:val="18"/>
          <w:szCs w:val="18"/>
        </w:rPr>
        <w:t>վիճակագրական կոմիտե,</w:t>
      </w:r>
      <w:r>
        <w:rPr>
          <w:rFonts w:ascii="GHEA Grapalat" w:eastAsia="GHEA Grapalat" w:hAnsi="GHEA Grapalat" w:cs="GHEA Grapalat"/>
          <w:color w:val="000000"/>
          <w:sz w:val="18"/>
          <w:szCs w:val="18"/>
        </w:rPr>
        <w:t xml:space="preserve"> </w:t>
      </w:r>
      <w:r w:rsidRPr="005D5E98">
        <w:rPr>
          <w:rFonts w:ascii="GHEA Grapalat" w:eastAsia="GHEA Grapalat" w:hAnsi="GHEA Grapalat" w:cs="GHEA Grapalat"/>
          <w:color w:val="000000"/>
          <w:sz w:val="18"/>
          <w:szCs w:val="18"/>
        </w:rPr>
        <w:t>«Հայաստանի Հանրապետության սոցիալ-տնտեսական վիճակը» ամսական զեկույցներ և ՀՀ ՖՆ հաշվարկներ:</w:t>
      </w:r>
    </w:p>
  </w:footnote>
  <w:footnote w:id="17">
    <w:p w:rsidR="00E37514" w:rsidRPr="005D5E98" w:rsidRDefault="00E37514" w:rsidP="005D5E98">
      <w:pPr>
        <w:pStyle w:val="FootnoteText"/>
        <w:jc w:val="both"/>
        <w:rPr>
          <w:rFonts w:ascii="GHEA Grapalat" w:hAnsi="GHEA Grapalat"/>
          <w:sz w:val="18"/>
          <w:szCs w:val="18"/>
        </w:rPr>
      </w:pPr>
      <w:r w:rsidRPr="005D5E98">
        <w:rPr>
          <w:rStyle w:val="FootnoteReference"/>
          <w:rFonts w:ascii="GHEA Grapalat" w:hAnsi="GHEA Grapalat"/>
          <w:sz w:val="18"/>
          <w:szCs w:val="18"/>
        </w:rPr>
        <w:footnoteRef/>
      </w:r>
      <w:r w:rsidRPr="005D5E98">
        <w:rPr>
          <w:rFonts w:ascii="GHEA Grapalat" w:hAnsi="GHEA Grapalat"/>
          <w:sz w:val="18"/>
          <w:szCs w:val="18"/>
        </w:rPr>
        <w:t xml:space="preserve"> </w:t>
      </w:r>
      <w:r w:rsidRPr="005D5E98">
        <w:rPr>
          <w:rFonts w:ascii="GHEA Grapalat" w:eastAsia="GHEA Grapalat" w:hAnsi="GHEA Grapalat" w:cs="GHEA Grapalat"/>
          <w:color w:val="000000"/>
          <w:sz w:val="18"/>
          <w:szCs w:val="18"/>
        </w:rPr>
        <w:t>Մանրամասն ցուցանիշները ներկայացված են Հավելվածում:</w:t>
      </w:r>
    </w:p>
  </w:footnote>
  <w:footnote w:id="18">
    <w:p w:rsidR="00E37514" w:rsidRPr="005D5E98" w:rsidRDefault="00E37514" w:rsidP="005D5E98">
      <w:pPr>
        <w:jc w:val="both"/>
        <w:rPr>
          <w:rFonts w:ascii="GHEA Grapalat" w:eastAsia="Merriweather" w:hAnsi="GHEA Grapalat" w:cs="Merriweather"/>
          <w:color w:val="000000"/>
          <w:sz w:val="18"/>
          <w:szCs w:val="18"/>
        </w:rPr>
      </w:pPr>
      <w:r w:rsidRPr="005D5E98">
        <w:rPr>
          <w:rStyle w:val="FootnoteReference"/>
          <w:rFonts w:ascii="GHEA Grapalat" w:hAnsi="GHEA Grapalat"/>
          <w:sz w:val="18"/>
          <w:szCs w:val="18"/>
        </w:rPr>
        <w:footnoteRef/>
      </w:r>
      <w:r w:rsidRPr="005D5E98">
        <w:rPr>
          <w:rFonts w:ascii="GHEA Grapalat" w:hAnsi="GHEA Grapalat"/>
          <w:color w:val="000000"/>
          <w:sz w:val="18"/>
          <w:szCs w:val="18"/>
        </w:rPr>
        <w:t xml:space="preserve"> </w:t>
      </w:r>
      <w:r w:rsidRPr="005D5E98">
        <w:rPr>
          <w:rFonts w:ascii="GHEA Grapalat" w:eastAsia="GHEA Grapalat" w:hAnsi="GHEA Grapalat" w:cs="GHEA Grapalat"/>
          <w:color w:val="000000"/>
          <w:sz w:val="18"/>
          <w:szCs w:val="18"/>
        </w:rPr>
        <w:t>Ապրանքների լայն տնտեսական դասակարգմամբ (BEC) պաշտոնական տվյալները հրապարակվում են տարեկան կրտվածքով և կհրապարակվեն հաջորդ տարվա՝ 2023 թվականի վերջին, ուստի այս հատվածում ներկայացված են ՀՀ ՖՆ գնահատականները (կիրառվել են արտաքին առևտրի 4-անիշ վիճակագրությունից BEC-ին անցման միջազգային փորձում ընդունված անցումային բանալիներ):</w:t>
      </w:r>
    </w:p>
  </w:footnote>
  <w:footnote w:id="19">
    <w:p w:rsidR="00E37514" w:rsidRPr="005D5E98" w:rsidRDefault="00E37514" w:rsidP="005D5E98">
      <w:pPr>
        <w:pStyle w:val="FootnoteText"/>
        <w:jc w:val="both"/>
        <w:rPr>
          <w:rFonts w:ascii="GHEA Grapalat" w:hAnsi="GHEA Grapalat"/>
          <w:sz w:val="18"/>
          <w:szCs w:val="18"/>
        </w:rPr>
      </w:pPr>
      <w:r w:rsidRPr="005D5E98">
        <w:rPr>
          <w:rStyle w:val="FootnoteReference"/>
          <w:rFonts w:ascii="GHEA Grapalat" w:hAnsi="GHEA Grapalat"/>
          <w:sz w:val="18"/>
          <w:szCs w:val="18"/>
        </w:rPr>
        <w:footnoteRef/>
      </w:r>
      <w:r w:rsidRPr="005D5E98">
        <w:rPr>
          <w:rFonts w:ascii="GHEA Grapalat" w:hAnsi="GHEA Grapalat"/>
          <w:sz w:val="18"/>
          <w:szCs w:val="18"/>
        </w:rPr>
        <w:t xml:space="preserve"> </w:t>
      </w:r>
      <w:r w:rsidRPr="005D5E98">
        <w:rPr>
          <w:rFonts w:ascii="GHEA Grapalat" w:eastAsia="GHEA Grapalat" w:hAnsi="GHEA Grapalat" w:cs="GHEA Grapalat"/>
          <w:color w:val="000000"/>
          <w:sz w:val="18"/>
          <w:szCs w:val="18"/>
        </w:rPr>
        <w:t>Մանրամասն ցուցանիշները ներկայացված են Հավելվածում:</w:t>
      </w:r>
    </w:p>
  </w:footnote>
  <w:footnote w:id="20">
    <w:p w:rsidR="00E37514" w:rsidRPr="00606D99" w:rsidRDefault="00E37514" w:rsidP="00606D99">
      <w:pPr>
        <w:pBdr>
          <w:top w:val="nil"/>
          <w:left w:val="nil"/>
          <w:bottom w:val="nil"/>
          <w:right w:val="nil"/>
          <w:between w:val="nil"/>
        </w:pBdr>
        <w:jc w:val="both"/>
        <w:rPr>
          <w:rFonts w:ascii="GHEA Grapalat" w:eastAsia="GHEA Grapalat" w:hAnsi="GHEA Grapalat" w:cs="GHEA Grapalat"/>
          <w:color w:val="000000"/>
          <w:sz w:val="18"/>
          <w:szCs w:val="18"/>
        </w:rPr>
      </w:pPr>
      <w:r w:rsidRPr="00606D99">
        <w:rPr>
          <w:rStyle w:val="FootnoteReference"/>
          <w:rFonts w:ascii="GHEA Grapalat" w:hAnsi="GHEA Grapalat"/>
          <w:sz w:val="18"/>
          <w:szCs w:val="18"/>
        </w:rPr>
        <w:footnoteRef/>
      </w:r>
      <w:r w:rsidRPr="00606D99">
        <w:rPr>
          <w:rFonts w:ascii="GHEA Grapalat" w:eastAsia="Merriweather" w:hAnsi="GHEA Grapalat" w:cs="Merriweather"/>
          <w:color w:val="000000"/>
          <w:sz w:val="18"/>
          <w:szCs w:val="18"/>
        </w:rPr>
        <w:t xml:space="preserve"> </w:t>
      </w:r>
      <w:r w:rsidRPr="00606D99">
        <w:rPr>
          <w:rFonts w:ascii="GHEA Grapalat" w:eastAsia="GHEA Grapalat" w:hAnsi="GHEA Grapalat" w:cs="GHEA Grapalat"/>
          <w:color w:val="000000"/>
          <w:sz w:val="18"/>
          <w:szCs w:val="18"/>
        </w:rPr>
        <w:t>Ընթացիկ առաջին երեք ամիսների ծառայությունների մասին տեղեկատվության բացակայության պատճառով ողջ շարքը ներկայացված է ապրանքների արտահանման և ներմուծման հարաբերակցությամբ (ՖՕԲ գներով</w:t>
      </w:r>
      <w:r>
        <w:rPr>
          <w:rFonts w:ascii="GHEA Grapalat" w:eastAsia="GHEA Grapalat" w:hAnsi="GHEA Grapalat" w:cs="GHEA Grapalat"/>
          <w:color w:val="000000"/>
          <w:sz w:val="18"/>
          <w:szCs w:val="18"/>
        </w:rPr>
        <w:t>, «</w:t>
      </w:r>
      <w:r w:rsidRPr="00606D99">
        <w:rPr>
          <w:rFonts w:ascii="GHEA Grapalat" w:eastAsia="GHEA Grapalat" w:hAnsi="GHEA Grapalat" w:cs="GHEA Grapalat"/>
          <w:color w:val="000000"/>
          <w:sz w:val="18"/>
          <w:szCs w:val="18"/>
        </w:rPr>
        <w:t>Ապրանքների առևտուրն ըստ վճարային հաշվեկշռի հիմքի</w:t>
      </w:r>
      <w:r>
        <w:rPr>
          <w:rFonts w:ascii="GHEA Grapalat" w:eastAsia="GHEA Grapalat" w:hAnsi="GHEA Grapalat" w:cs="GHEA Grapalat"/>
          <w:color w:val="000000"/>
          <w:sz w:val="18"/>
          <w:szCs w:val="18"/>
        </w:rPr>
        <w:t>»</w:t>
      </w:r>
      <w:r w:rsidRPr="00606D99">
        <w:rPr>
          <w:rFonts w:ascii="GHEA Grapalat" w:eastAsia="GHEA Grapalat" w:hAnsi="GHEA Grapalat" w:cs="GHEA Grapalat"/>
          <w:color w:val="000000"/>
          <w:sz w:val="18"/>
          <w:szCs w:val="18"/>
        </w:rPr>
        <w:t xml:space="preserve"> հոդված): 2022 թվականի առաջին եռամսյակի ցուցանիշը նախնական գնահատական է: </w:t>
      </w:r>
    </w:p>
    <w:p w:rsidR="00E37514" w:rsidRPr="00606D99" w:rsidRDefault="00E37514" w:rsidP="00606D99">
      <w:pPr>
        <w:pBdr>
          <w:top w:val="nil"/>
          <w:left w:val="nil"/>
          <w:bottom w:val="nil"/>
          <w:right w:val="nil"/>
          <w:between w:val="nil"/>
        </w:pBdr>
        <w:jc w:val="both"/>
        <w:rPr>
          <w:rFonts w:ascii="GHEA Grapalat" w:eastAsia="Merriweather" w:hAnsi="GHEA Grapalat" w:cs="Merriweather"/>
          <w:color w:val="000000"/>
          <w:sz w:val="18"/>
          <w:szCs w:val="18"/>
        </w:rPr>
      </w:pPr>
      <w:r w:rsidRPr="00606D99">
        <w:rPr>
          <w:rFonts w:ascii="GHEA Grapalat" w:eastAsia="GHEA Grapalat" w:hAnsi="GHEA Grapalat" w:cs="GHEA Grapalat"/>
          <w:color w:val="000000"/>
          <w:sz w:val="18"/>
          <w:szCs w:val="18"/>
        </w:rPr>
        <w:t>Աղբյուրը` ՀՀ</w:t>
      </w:r>
      <w:r>
        <w:rPr>
          <w:rFonts w:ascii="GHEA Grapalat" w:eastAsia="GHEA Grapalat" w:hAnsi="GHEA Grapalat" w:cs="GHEA Grapalat"/>
          <w:color w:val="000000"/>
          <w:sz w:val="18"/>
          <w:szCs w:val="18"/>
        </w:rPr>
        <w:t xml:space="preserve"> </w:t>
      </w:r>
      <w:r w:rsidRPr="00606D99">
        <w:rPr>
          <w:rFonts w:ascii="GHEA Grapalat" w:eastAsia="GHEA Grapalat" w:hAnsi="GHEA Grapalat" w:cs="GHEA Grapalat"/>
          <w:color w:val="000000"/>
          <w:sz w:val="18"/>
          <w:szCs w:val="18"/>
        </w:rPr>
        <w:t>վիճակագրական կոմիտե, «ՀՀ վճարային հաշվեկշիռ-6» տվյալների բազա և ՀՀ ՖՆ գնահատականներ:</w:t>
      </w:r>
    </w:p>
  </w:footnote>
  <w:footnote w:id="21">
    <w:p w:rsidR="00E37514" w:rsidRPr="00606D99" w:rsidRDefault="00E37514" w:rsidP="00606D99">
      <w:pPr>
        <w:pStyle w:val="FootnoteText"/>
        <w:jc w:val="both"/>
        <w:rPr>
          <w:rFonts w:ascii="GHEA Grapalat" w:hAnsi="GHEA Grapalat"/>
          <w:sz w:val="18"/>
          <w:szCs w:val="18"/>
        </w:rPr>
      </w:pPr>
      <w:r w:rsidRPr="00606D99">
        <w:rPr>
          <w:rStyle w:val="FootnoteReference"/>
          <w:rFonts w:ascii="GHEA Grapalat" w:hAnsi="GHEA Grapalat"/>
          <w:sz w:val="18"/>
          <w:szCs w:val="18"/>
        </w:rPr>
        <w:footnoteRef/>
      </w:r>
      <w:r w:rsidRPr="00606D99">
        <w:rPr>
          <w:rFonts w:ascii="GHEA Grapalat" w:hAnsi="GHEA Grapalat"/>
          <w:sz w:val="18"/>
          <w:szCs w:val="18"/>
        </w:rPr>
        <w:t xml:space="preserve"> Աղբյուրը՝ ՀՀ ԿԲ, «</w:t>
      </w:r>
      <w:r w:rsidRPr="00606D99">
        <w:rPr>
          <w:rFonts w:ascii="GHEA Grapalat" w:hAnsi="GHEA Grapalat" w:cs="Sylfaen"/>
          <w:sz w:val="18"/>
          <w:szCs w:val="18"/>
        </w:rPr>
        <w:t>ՀՀ բանկերի միջոցով ֆիզիկական անձանց անունով արտերկրից ստացված և ՀՀ-ից ֆիզիկական անձանց կողմից արտերկիր իրականացված փոխանցումներ», զուտ ներհոսք (https://www.cba.am/am/SitePages/statexternalsector.aspx)։</w:t>
      </w:r>
    </w:p>
  </w:footnote>
  <w:footnote w:id="22">
    <w:p w:rsidR="00E37514" w:rsidRPr="00606D99" w:rsidRDefault="00E37514" w:rsidP="00606D99">
      <w:pPr>
        <w:pStyle w:val="FootnoteText"/>
        <w:jc w:val="both"/>
        <w:rPr>
          <w:rFonts w:ascii="GHEA Grapalat" w:hAnsi="GHEA Grapalat"/>
          <w:sz w:val="18"/>
          <w:szCs w:val="18"/>
        </w:rPr>
      </w:pPr>
      <w:r w:rsidRPr="00606D99">
        <w:rPr>
          <w:rStyle w:val="FootnoteReference"/>
          <w:rFonts w:ascii="GHEA Grapalat" w:hAnsi="GHEA Grapalat"/>
          <w:sz w:val="18"/>
          <w:szCs w:val="18"/>
        </w:rPr>
        <w:footnoteRef/>
      </w:r>
      <w:r w:rsidRPr="00606D99">
        <w:rPr>
          <w:rFonts w:ascii="GHEA Grapalat" w:hAnsi="GHEA Grapalat"/>
          <w:sz w:val="18"/>
          <w:szCs w:val="18"/>
        </w:rPr>
        <w:t xml:space="preserve"> </w:t>
      </w:r>
      <w:r w:rsidRPr="00606D99">
        <w:rPr>
          <w:rFonts w:ascii="GHEA Grapalat" w:hAnsi="GHEA Grapalat" w:cs="Sylfaen"/>
          <w:sz w:val="18"/>
          <w:szCs w:val="18"/>
        </w:rPr>
        <w:t>Աղբյուր՝ ՀՀ ԿԲ:</w:t>
      </w:r>
    </w:p>
  </w:footnote>
  <w:footnote w:id="23">
    <w:p w:rsidR="00E37514" w:rsidRPr="00606D99" w:rsidRDefault="00E37514" w:rsidP="00606D99">
      <w:pPr>
        <w:pStyle w:val="FootnoteText"/>
        <w:tabs>
          <w:tab w:val="left" w:pos="142"/>
        </w:tabs>
        <w:jc w:val="both"/>
        <w:rPr>
          <w:rFonts w:ascii="GHEA Grapalat" w:hAnsi="GHEA Grapalat" w:cs="Sylfaen"/>
          <w:sz w:val="18"/>
          <w:szCs w:val="18"/>
        </w:rPr>
      </w:pPr>
      <w:r w:rsidRPr="00606D99">
        <w:rPr>
          <w:rStyle w:val="FootnoteReference"/>
          <w:rFonts w:ascii="GHEA Grapalat" w:hAnsi="GHEA Grapalat"/>
          <w:sz w:val="18"/>
          <w:szCs w:val="18"/>
        </w:rPr>
        <w:footnoteRef/>
      </w:r>
      <w:r w:rsidRPr="00606D99">
        <w:rPr>
          <w:rFonts w:ascii="GHEA Grapalat" w:eastAsia="GHEA Grapalat" w:hAnsi="GHEA Grapalat" w:cs="GHEA Grapalat"/>
          <w:color w:val="000000"/>
          <w:sz w:val="18"/>
          <w:szCs w:val="18"/>
        </w:rPr>
        <w:t>Ընդգրկված չեն կուտակված տոկոսները: Վարկերի մեջ ներառված են նաև ֆակտորինգային, լիզինգային գործառնությունները և ռեպո համաձայնագրերը:</w:t>
      </w:r>
    </w:p>
  </w:footnote>
  <w:footnote w:id="24">
    <w:p w:rsidR="00E37514" w:rsidRPr="00EA58C0" w:rsidRDefault="00E37514" w:rsidP="00AE25A7">
      <w:pPr>
        <w:pStyle w:val="FootnoteText"/>
        <w:jc w:val="both"/>
      </w:pPr>
      <w:r w:rsidRPr="00EA58C0">
        <w:rPr>
          <w:rStyle w:val="FootnoteReference"/>
          <w:rFonts w:ascii="GHEA Grapalat" w:hAnsi="GHEA Grapalat"/>
          <w:sz w:val="18"/>
          <w:szCs w:val="18"/>
        </w:rPr>
        <w:footnoteRef/>
      </w:r>
      <w:r w:rsidRPr="00EA58C0">
        <w:rPr>
          <w:rFonts w:ascii="GHEA Grapalat" w:hAnsi="GHEA Grapalat"/>
          <w:sz w:val="18"/>
          <w:szCs w:val="18"/>
        </w:rPr>
        <w:t xml:space="preserve"> Աղբյուրը՝ ՀՀ ԿԲ և ՀՀ ՖՆ հաշվարկներ:</w:t>
      </w:r>
    </w:p>
  </w:footnote>
  <w:footnote w:id="25">
    <w:p w:rsidR="00E37514" w:rsidRPr="00B57DAB" w:rsidRDefault="00E37514" w:rsidP="00AE25A7">
      <w:pPr>
        <w:pStyle w:val="FootnoteText"/>
        <w:jc w:val="both"/>
        <w:rPr>
          <w:rFonts w:ascii="GHEA Grapalat" w:eastAsia="GHEA Grapalat" w:hAnsi="GHEA Grapalat" w:cs="GHEA Grapalat"/>
          <w:color w:val="000000"/>
          <w:sz w:val="18"/>
          <w:szCs w:val="18"/>
        </w:rPr>
      </w:pPr>
      <w:r w:rsidRPr="00B57DAB">
        <w:rPr>
          <w:rStyle w:val="FootnoteReference"/>
          <w:rFonts w:ascii="GHEA Grapalat" w:hAnsi="GHEA Grapalat"/>
          <w:sz w:val="18"/>
          <w:szCs w:val="18"/>
        </w:rPr>
        <w:footnoteRef/>
      </w:r>
      <w:r w:rsidRPr="00B57DAB">
        <w:rPr>
          <w:rFonts w:ascii="GHEA Grapalat" w:hAnsi="GHEA Grapalat"/>
          <w:sz w:val="18"/>
          <w:szCs w:val="18"/>
        </w:rPr>
        <w:t xml:space="preserve"> </w:t>
      </w:r>
      <w:r w:rsidRPr="00B57DAB">
        <w:rPr>
          <w:rFonts w:ascii="GHEA Grapalat" w:eastAsia="GHEA Grapalat" w:hAnsi="GHEA Grapalat" w:cs="GHEA Grapalat"/>
          <w:color w:val="000000"/>
          <w:sz w:val="18"/>
          <w:szCs w:val="18"/>
        </w:rPr>
        <w:t>Աղբյուրը՝ ՀՀ ՖՆ գնահատական</w:t>
      </w:r>
    </w:p>
    <w:p w:rsidR="00E37514" w:rsidRPr="00B57DAB" w:rsidRDefault="00E37514" w:rsidP="00AE25A7">
      <w:pPr>
        <w:pStyle w:val="FootnoteText"/>
        <w:jc w:val="both"/>
        <w:rPr>
          <w:rFonts w:ascii="GHEA Grapalat" w:hAnsi="GHEA Grapalat"/>
          <w:sz w:val="18"/>
          <w:szCs w:val="18"/>
        </w:rPr>
      </w:pPr>
      <w:r w:rsidRPr="00B57DAB">
        <w:rPr>
          <w:rFonts w:ascii="GHEA Grapalat" w:eastAsia="GHEA Grapalat" w:hAnsi="GHEA Grapalat" w:cs="GHEA Grapalat"/>
          <w:color w:val="000000"/>
          <w:sz w:val="18"/>
          <w:szCs w:val="18"/>
        </w:rPr>
        <w:t>Հարկաբյուջետային ազդակի հաշվարկներում օգտագործված հարկային եկամուտների ցուցանիշները ճշգրտվել են միասնական գանձապետական հաշվի՝ համապատասխան ժամանակահատվածի շարժի ցուցանիշով: Ծախսերում ներառվել են Covid-19-ին ուղղված վարկավարման գումարները:</w:t>
      </w:r>
    </w:p>
  </w:footnote>
  <w:footnote w:id="26">
    <w:p w:rsidR="00E37514" w:rsidRPr="00B57DAB" w:rsidRDefault="00E37514" w:rsidP="00B57DAB">
      <w:pPr>
        <w:pStyle w:val="FootnoteText"/>
        <w:jc w:val="both"/>
        <w:rPr>
          <w:rFonts w:ascii="GHEA Grapalat" w:eastAsia="GHEA Grapalat" w:hAnsi="GHEA Grapalat" w:cs="GHEA Grapalat"/>
          <w:color w:val="000000"/>
          <w:sz w:val="18"/>
          <w:szCs w:val="18"/>
        </w:rPr>
      </w:pPr>
      <w:r w:rsidRPr="00B57DAB">
        <w:rPr>
          <w:rStyle w:val="FootnoteReference"/>
          <w:rFonts w:ascii="GHEA Grapalat" w:hAnsi="GHEA Grapalat"/>
          <w:sz w:val="18"/>
          <w:szCs w:val="18"/>
        </w:rPr>
        <w:footnoteRef/>
      </w:r>
      <w:r w:rsidRPr="00B57DAB">
        <w:rPr>
          <w:rFonts w:ascii="GHEA Grapalat" w:hAnsi="GHEA Grapalat"/>
          <w:sz w:val="18"/>
          <w:szCs w:val="18"/>
        </w:rPr>
        <w:t xml:space="preserve"> </w:t>
      </w:r>
      <w:r w:rsidRPr="00B57DAB">
        <w:rPr>
          <w:rFonts w:ascii="GHEA Grapalat" w:eastAsia="GHEA Grapalat" w:hAnsi="GHEA Grapalat" w:cs="GHEA Grapalat"/>
          <w:color w:val="000000"/>
          <w:sz w:val="18"/>
          <w:szCs w:val="18"/>
        </w:rPr>
        <w:t>Աղյուսակներում նպաստումները հաշվարկվել են նախորդ տարվա կշիռների հիման վրա:</w:t>
      </w:r>
    </w:p>
  </w:footnote>
  <w:footnote w:id="27">
    <w:p w:rsidR="00E37514" w:rsidRDefault="00E37514">
      <w:pPr>
        <w:pStyle w:val="FootnoteText"/>
      </w:pPr>
      <w:r>
        <w:rPr>
          <w:rStyle w:val="FootnoteReference"/>
        </w:rPr>
        <w:footnoteRef/>
      </w:r>
      <w:r>
        <w:t xml:space="preserve"> </w:t>
      </w:r>
      <w:r w:rsidRPr="00CF62B8">
        <w:rPr>
          <w:rFonts w:ascii="GHEA Grapalat" w:hAnsi="GHEA Grapalat"/>
          <w:sz w:val="18"/>
          <w:szCs w:val="18"/>
        </w:rPr>
        <w:t>Հաշվետվության մեջ ներկայացված ցուցանիշների հանրագումարների և դրանց բաղադրիչների</w:t>
      </w:r>
      <w:r>
        <w:rPr>
          <w:rFonts w:ascii="GHEA Grapalat" w:hAnsi="GHEA Grapalat"/>
          <w:sz w:val="18"/>
          <w:szCs w:val="18"/>
        </w:rPr>
        <w:t xml:space="preserve"> միջև շեղում</w:t>
      </w:r>
      <w:r w:rsidRPr="00CF62B8">
        <w:rPr>
          <w:rFonts w:ascii="GHEA Grapalat" w:hAnsi="GHEA Grapalat"/>
          <w:sz w:val="18"/>
          <w:szCs w:val="18"/>
        </w:rPr>
        <w:t>ները պայմանավորված են կլորացումներով:</w:t>
      </w:r>
    </w:p>
  </w:footnote>
  <w:footnote w:id="28">
    <w:p w:rsidR="00E37514" w:rsidRPr="00EA46CB" w:rsidRDefault="00E37514" w:rsidP="00D603B0">
      <w:pPr>
        <w:pStyle w:val="FootnoteText"/>
        <w:jc w:val="both"/>
        <w:rPr>
          <w:rFonts w:ascii="GHEA Grapalat" w:hAnsi="GHEA Grapalat"/>
          <w:sz w:val="18"/>
          <w:szCs w:val="18"/>
        </w:rPr>
      </w:pPr>
      <w:r w:rsidRPr="00EA46CB">
        <w:rPr>
          <w:rStyle w:val="FootnoteReference"/>
          <w:rFonts w:ascii="GHEA Grapalat" w:hAnsi="GHEA Grapalat"/>
          <w:sz w:val="18"/>
          <w:szCs w:val="18"/>
        </w:rPr>
        <w:footnoteRef/>
      </w:r>
      <w:r w:rsidRPr="00EA46CB">
        <w:rPr>
          <w:rFonts w:ascii="GHEA Grapalat" w:hAnsi="GHEA Grapalat"/>
          <w:sz w:val="18"/>
          <w:szCs w:val="18"/>
        </w:rPr>
        <w:t xml:space="preserve"> </w:t>
      </w:r>
      <w:hyperlink r:id="rId8" w:history="1">
        <w:r w:rsidRPr="009C03A4">
          <w:rPr>
            <w:rStyle w:val="Hyperlink"/>
            <w:rFonts w:ascii="GHEA Grapalat" w:hAnsi="GHEA Grapalat"/>
            <w:sz w:val="18"/>
            <w:szCs w:val="18"/>
          </w:rPr>
          <w:t>5.Տեղեկանքներ\3.Հարկային օրենսդրության փոփոխություններ.doc</w:t>
        </w:r>
      </w:hyperlink>
    </w:p>
  </w:footnote>
  <w:footnote w:id="29">
    <w:p w:rsidR="00E37514" w:rsidRPr="00DA1064" w:rsidRDefault="00E37514" w:rsidP="00372C78">
      <w:pPr>
        <w:pStyle w:val="FootnoteText"/>
        <w:jc w:val="both"/>
        <w:rPr>
          <w:rFonts w:ascii="GHEA Grapalat" w:hAnsi="GHEA Grapalat"/>
          <w:sz w:val="18"/>
          <w:szCs w:val="18"/>
        </w:rPr>
      </w:pPr>
      <w:r w:rsidRPr="00317C8F">
        <w:rPr>
          <w:rFonts w:ascii="GHEA Grapalat" w:hAnsi="GHEA Grapalat"/>
          <w:sz w:val="18"/>
          <w:szCs w:val="18"/>
          <w:vertAlign w:val="superscript"/>
        </w:rPr>
        <w:footnoteRef/>
      </w:r>
      <w:r w:rsidRPr="00317C8F">
        <w:rPr>
          <w:rFonts w:ascii="GHEA Grapalat" w:hAnsi="GHEA Grapalat"/>
          <w:sz w:val="18"/>
          <w:szCs w:val="18"/>
          <w:vertAlign w:val="superscript"/>
        </w:rPr>
        <w:t xml:space="preserve"> </w:t>
      </w:r>
      <w:r>
        <w:rPr>
          <w:rFonts w:ascii="GHEA Grapalat" w:hAnsi="GHEA Grapalat"/>
          <w:sz w:val="18"/>
          <w:szCs w:val="18"/>
        </w:rPr>
        <w:t xml:space="preserve">Ներառված են </w:t>
      </w:r>
      <w:r w:rsidRPr="00723B0B">
        <w:rPr>
          <w:rFonts w:ascii="GHEA Grapalat" w:hAnsi="GHEA Grapalat"/>
          <w:sz w:val="18"/>
          <w:szCs w:val="18"/>
        </w:rPr>
        <w:t xml:space="preserve">Հայաստանի Հանրապետությունում ամուսնության բացակայության մասին տեղեկանք տալու </w:t>
      </w:r>
      <w:r>
        <w:rPr>
          <w:rFonts w:ascii="GHEA Grapalat" w:hAnsi="GHEA Grapalat"/>
          <w:sz w:val="18"/>
          <w:szCs w:val="18"/>
        </w:rPr>
        <w:t>(18.2 մլն դրամ),</w:t>
      </w:r>
      <w:r w:rsidRPr="0009350C">
        <w:rPr>
          <w:rFonts w:ascii="GHEA Grapalat" w:hAnsi="GHEA Grapalat" w:cs="Calibri"/>
          <w:bCs/>
          <w:sz w:val="22"/>
          <w:szCs w:val="22"/>
          <w:lang w:val="zu-ZA"/>
        </w:rPr>
        <w:t xml:space="preserve"> </w:t>
      </w:r>
      <w:r w:rsidRPr="00317C8F">
        <w:rPr>
          <w:rFonts w:ascii="GHEA Grapalat" w:hAnsi="GHEA Grapalat"/>
          <w:sz w:val="18"/>
          <w:szCs w:val="18"/>
        </w:rPr>
        <w:t>ՀՀ քաղաքացիություն ստանալու</w:t>
      </w:r>
      <w:r>
        <w:rPr>
          <w:rFonts w:ascii="GHEA Grapalat" w:hAnsi="GHEA Grapalat"/>
          <w:sz w:val="18"/>
          <w:szCs w:val="18"/>
        </w:rPr>
        <w:t xml:space="preserve"> (23.8 մլն դրամ)</w:t>
      </w:r>
      <w:r w:rsidRPr="00317C8F">
        <w:rPr>
          <w:rFonts w:ascii="GHEA Grapalat" w:hAnsi="GHEA Grapalat"/>
          <w:sz w:val="18"/>
          <w:szCs w:val="18"/>
        </w:rPr>
        <w:t>, Մշակութային արժեքների արտահանման կամ ժամանակավոր արտահանման իրավունքի վկայագիր տրամադրելու</w:t>
      </w:r>
      <w:r>
        <w:rPr>
          <w:rFonts w:ascii="GHEA Grapalat" w:hAnsi="GHEA Grapalat"/>
          <w:sz w:val="18"/>
          <w:szCs w:val="18"/>
        </w:rPr>
        <w:t xml:space="preserve"> (165 հազար դրամ) և</w:t>
      </w:r>
      <w:r w:rsidRPr="00317C8F">
        <w:rPr>
          <w:rFonts w:ascii="GHEA Grapalat" w:hAnsi="GHEA Grapalat"/>
          <w:sz w:val="18"/>
          <w:szCs w:val="18"/>
        </w:rPr>
        <w:t xml:space="preserve"> Գյուտերի, արդյունաբերական դիզայնների, բույսերի սորտերի, ապրանքային նշանների, աշխարհագրական նշումների, ծագման տեղանունների, երաշխավորված ավանդական արտադրանքի, ֆիրմային անվանումների, ինտեգրալ միկրոսխեմաների տոպոլոգիաների իրավական պահպանության հետ կապված իրավաբանական նշանակություն</w:t>
      </w:r>
      <w:r>
        <w:rPr>
          <w:rFonts w:ascii="GHEA Grapalat" w:hAnsi="GHEA Grapalat"/>
          <w:sz w:val="18"/>
          <w:szCs w:val="18"/>
        </w:rPr>
        <w:t xml:space="preserve"> ունեցող գործողությունների (79 մլն դրամ) </w:t>
      </w:r>
      <w:r w:rsidRPr="00317C8F">
        <w:rPr>
          <w:rFonts w:ascii="GHEA Grapalat" w:hAnsi="GHEA Grapalat"/>
          <w:sz w:val="18"/>
          <w:szCs w:val="18"/>
        </w:rPr>
        <w:t xml:space="preserve">համար ՀՀ պետական բյուջե վճարվող պետական տուրքերը: </w:t>
      </w:r>
    </w:p>
  </w:footnote>
  <w:footnote w:id="30">
    <w:p w:rsidR="00E37514" w:rsidRPr="00F548E1" w:rsidRDefault="00E37514" w:rsidP="00F548E1">
      <w:pPr>
        <w:pStyle w:val="FootnoteText"/>
        <w:jc w:val="both"/>
        <w:rPr>
          <w:rFonts w:ascii="GHEA Grapalat" w:hAnsi="GHEA Grapalat" w:cs="Arial"/>
          <w:sz w:val="18"/>
          <w:szCs w:val="18"/>
        </w:rPr>
      </w:pPr>
      <w:r w:rsidRPr="00F548E1">
        <w:rPr>
          <w:rStyle w:val="FootnoteReference"/>
          <w:rFonts w:ascii="GHEA Grapalat" w:hAnsi="GHEA Grapalat"/>
          <w:sz w:val="18"/>
          <w:szCs w:val="18"/>
        </w:rPr>
        <w:footnoteRef/>
      </w:r>
      <w:r w:rsidRPr="00F548E1">
        <w:rPr>
          <w:rFonts w:ascii="GHEA Grapalat" w:hAnsi="GHEA Grapalat"/>
          <w:sz w:val="18"/>
          <w:szCs w:val="18"/>
        </w:rPr>
        <w:t xml:space="preserve"> </w:t>
      </w:r>
      <w:proofErr w:type="gramStart"/>
      <w:r w:rsidRPr="00F548E1">
        <w:rPr>
          <w:rFonts w:ascii="GHEA Grapalat" w:hAnsi="GHEA Grapalat" w:cs="GHEA Grapalat"/>
          <w:sz w:val="18"/>
          <w:szCs w:val="18"/>
        </w:rPr>
        <w:t>Արտաքին աջակցությամբ իրականացվող</w:t>
      </w:r>
      <w:r w:rsidRPr="00F548E1">
        <w:rPr>
          <w:rFonts w:ascii="GHEA Grapalat" w:hAnsi="GHEA Grapalat" w:cs="Arial"/>
          <w:sz w:val="18"/>
          <w:szCs w:val="18"/>
        </w:rPr>
        <w:t xml:space="preserve"> </w:t>
      </w:r>
      <w:r>
        <w:rPr>
          <w:rFonts w:ascii="GHEA Grapalat" w:hAnsi="GHEA Grapalat" w:cs="Arial"/>
          <w:sz w:val="18"/>
          <w:szCs w:val="18"/>
        </w:rPr>
        <w:t xml:space="preserve">վարկային և դրամաշնորհային ծրագրերի շրջանակներում կատարված ծախսերի վերաբերյալ տեղեկատվությունը ներկայացված է հետևյալ հավելվածներում՝ </w:t>
      </w:r>
      <w:hyperlink r:id="rId9" w:history="1">
        <w:r w:rsidRPr="004D4AA6">
          <w:rPr>
            <w:rStyle w:val="Hyperlink"/>
            <w:rFonts w:ascii="GHEA Grapalat" w:hAnsi="GHEA Grapalat" w:cs="Arial"/>
            <w:sz w:val="18"/>
            <w:szCs w:val="18"/>
          </w:rPr>
          <w:t>4.Հավելվածներ\3.</w:t>
        </w:r>
        <w:proofErr w:type="gramEnd"/>
        <w:r w:rsidRPr="004D4AA6">
          <w:rPr>
            <w:rStyle w:val="Hyperlink"/>
            <w:rFonts w:ascii="GHEA Grapalat" w:hAnsi="GHEA Grapalat" w:cs="Arial"/>
            <w:sz w:val="18"/>
            <w:szCs w:val="18"/>
          </w:rPr>
          <w:t xml:space="preserve"> </w:t>
        </w:r>
        <w:proofErr w:type="gramStart"/>
        <w:r w:rsidRPr="004D4AA6">
          <w:rPr>
            <w:rStyle w:val="Hyperlink"/>
            <w:rFonts w:ascii="GHEA Grapalat" w:hAnsi="GHEA Grapalat" w:cs="Arial"/>
            <w:sz w:val="18"/>
            <w:szCs w:val="18"/>
          </w:rPr>
          <w:t>2022_I եռամսյակ_վարկ.xls</w:t>
        </w:r>
      </w:hyperlink>
      <w:r>
        <w:rPr>
          <w:rFonts w:ascii="GHEA Grapalat" w:hAnsi="GHEA Grapalat" w:cs="Arial"/>
          <w:sz w:val="18"/>
          <w:szCs w:val="18"/>
        </w:rPr>
        <w:t xml:space="preserve">, </w:t>
      </w:r>
      <w:hyperlink r:id="rId10" w:history="1">
        <w:r w:rsidRPr="004D4AA6">
          <w:rPr>
            <w:rStyle w:val="Hyperlink"/>
            <w:rFonts w:ascii="GHEA Grapalat" w:hAnsi="GHEA Grapalat" w:cs="Arial"/>
            <w:sz w:val="18"/>
            <w:szCs w:val="18"/>
          </w:rPr>
          <w:t>4.Հավելվածներ\4.</w:t>
        </w:r>
        <w:proofErr w:type="gramEnd"/>
        <w:r w:rsidRPr="004D4AA6">
          <w:rPr>
            <w:rStyle w:val="Hyperlink"/>
            <w:rFonts w:ascii="GHEA Grapalat" w:hAnsi="GHEA Grapalat" w:cs="Arial"/>
            <w:sz w:val="18"/>
            <w:szCs w:val="18"/>
          </w:rPr>
          <w:t xml:space="preserve"> 2022_I եռամսյակ_դրամաշնորհ.xls</w:t>
        </w:r>
      </w:hyperlink>
    </w:p>
  </w:footnote>
  <w:footnote w:id="31">
    <w:p w:rsidR="00E37514" w:rsidRPr="00F548E1" w:rsidRDefault="00E37514" w:rsidP="00F548E1">
      <w:pPr>
        <w:pStyle w:val="FootnoteText"/>
        <w:jc w:val="both"/>
        <w:rPr>
          <w:rFonts w:ascii="GHEA Grapalat" w:hAnsi="GHEA Grapalat"/>
          <w:sz w:val="18"/>
          <w:szCs w:val="18"/>
        </w:rPr>
      </w:pPr>
      <w:r w:rsidRPr="00F548E1">
        <w:rPr>
          <w:rStyle w:val="FootnoteReference"/>
          <w:rFonts w:ascii="GHEA Grapalat" w:hAnsi="GHEA Grapalat"/>
          <w:sz w:val="18"/>
          <w:szCs w:val="18"/>
        </w:rPr>
        <w:footnoteRef/>
      </w:r>
      <w:r w:rsidRPr="00F548E1">
        <w:rPr>
          <w:rFonts w:ascii="GHEA Grapalat" w:hAnsi="GHEA Grapalat"/>
          <w:sz w:val="18"/>
          <w:szCs w:val="18"/>
        </w:rPr>
        <w:t xml:space="preserve"> </w:t>
      </w:r>
      <w:r w:rsidRPr="00F548E1">
        <w:rPr>
          <w:rFonts w:ascii="GHEA Grapalat" w:hAnsi="GHEA Grapalat" w:cs="GHEA Grapalat"/>
          <w:sz w:val="18"/>
          <w:szCs w:val="18"/>
        </w:rPr>
        <w:t xml:space="preserve">ՀՀ պետական բյուջեի ծախսերն ըստ տնտեսագիտական դասակարգման ներկայացված են հետևյալ տեղեկանքում՝ </w:t>
      </w:r>
      <w:hyperlink r:id="rId11" w:history="1">
        <w:r w:rsidRPr="00F548E1">
          <w:rPr>
            <w:rStyle w:val="Hyperlink"/>
            <w:rFonts w:ascii="GHEA Grapalat" w:hAnsi="GHEA Grapalat" w:cs="GHEA Grapalat"/>
            <w:sz w:val="18"/>
            <w:szCs w:val="18"/>
          </w:rPr>
          <w:t>5.Տեղեկանքներ\1.Ծախսեր_տնտեսագիտական դաս</w:t>
        </w:r>
        <w:proofErr w:type="gramStart"/>
        <w:r w:rsidRPr="00F548E1">
          <w:rPr>
            <w:rStyle w:val="Hyperlink"/>
            <w:rFonts w:ascii="GHEA Grapalat" w:hAnsi="GHEA Grapalat" w:cs="GHEA Grapalat"/>
            <w:sz w:val="18"/>
            <w:szCs w:val="18"/>
          </w:rPr>
          <w:t>..</w:t>
        </w:r>
        <w:proofErr w:type="gramEnd"/>
        <w:r w:rsidRPr="00F548E1">
          <w:rPr>
            <w:rStyle w:val="Hyperlink"/>
            <w:rFonts w:ascii="GHEA Grapalat" w:hAnsi="GHEA Grapalat" w:cs="GHEA Grapalat"/>
            <w:sz w:val="18"/>
            <w:szCs w:val="18"/>
          </w:rPr>
          <w:t>xls</w:t>
        </w:r>
      </w:hyperlink>
    </w:p>
  </w:footnote>
  <w:footnote w:id="32">
    <w:p w:rsidR="00E37514" w:rsidRPr="00222EDE" w:rsidRDefault="00E37514" w:rsidP="00222EDE">
      <w:pPr>
        <w:pStyle w:val="FootnoteText"/>
        <w:jc w:val="both"/>
        <w:rPr>
          <w:rFonts w:ascii="GHEA Grapalat" w:hAnsi="GHEA Grapalat" w:cs="GHEA Grapalat"/>
          <w:sz w:val="18"/>
          <w:szCs w:val="18"/>
        </w:rPr>
      </w:pPr>
      <w:r w:rsidRPr="00222EDE">
        <w:rPr>
          <w:rStyle w:val="FootnoteReference"/>
          <w:rFonts w:ascii="GHEA Grapalat" w:hAnsi="GHEA Grapalat"/>
          <w:sz w:val="18"/>
          <w:szCs w:val="18"/>
        </w:rPr>
        <w:footnoteRef/>
      </w:r>
      <w:r w:rsidRPr="00222EDE">
        <w:rPr>
          <w:rFonts w:ascii="GHEA Grapalat" w:hAnsi="GHEA Grapalat"/>
          <w:sz w:val="18"/>
          <w:szCs w:val="18"/>
        </w:rPr>
        <w:t xml:space="preserve"> </w:t>
      </w:r>
      <w:r w:rsidRPr="00222EDE">
        <w:rPr>
          <w:rFonts w:ascii="GHEA Grapalat" w:hAnsi="GHEA Grapalat" w:cs="GHEA Grapalat"/>
          <w:sz w:val="18"/>
          <w:szCs w:val="18"/>
        </w:rPr>
        <w:t>Բյուջետային ծախսային ծրագրերի և միջոցառումների գծով ֆինանսական և արդյունքային (կատարողական) ցուցանիշների վերաբերյալ տեղեկատվությունը ներկայացված է հետևյալ հավելվածներում՝</w:t>
      </w:r>
    </w:p>
    <w:p w:rsidR="00E37514" w:rsidRPr="00222EDE" w:rsidRDefault="00310BD3" w:rsidP="00222EDE">
      <w:pPr>
        <w:pStyle w:val="FootnoteText"/>
        <w:jc w:val="both"/>
        <w:rPr>
          <w:rFonts w:ascii="GHEA Grapalat" w:hAnsi="GHEA Grapalat"/>
          <w:sz w:val="18"/>
          <w:szCs w:val="18"/>
        </w:rPr>
      </w:pPr>
      <w:hyperlink r:id="rId12" w:history="1">
        <w:r w:rsidR="00E37514" w:rsidRPr="00222EDE">
          <w:rPr>
            <w:rStyle w:val="Hyperlink"/>
            <w:rFonts w:ascii="GHEA Grapalat" w:hAnsi="GHEA Grapalat"/>
            <w:sz w:val="18"/>
            <w:szCs w:val="18"/>
          </w:rPr>
          <w:t>4.</w:t>
        </w:r>
        <w:r w:rsidR="00E37514" w:rsidRPr="00222EDE">
          <w:rPr>
            <w:rStyle w:val="Hyperlink"/>
            <w:rFonts w:ascii="GHEA Grapalat" w:hAnsi="GHEA Grapalat" w:cs="Arial"/>
            <w:sz w:val="18"/>
            <w:szCs w:val="18"/>
          </w:rPr>
          <w:t>Հավելվածներ</w:t>
        </w:r>
        <w:r w:rsidR="00E37514" w:rsidRPr="00222EDE">
          <w:rPr>
            <w:rStyle w:val="Hyperlink"/>
            <w:rFonts w:ascii="GHEA Grapalat" w:hAnsi="GHEA Grapalat"/>
            <w:sz w:val="18"/>
            <w:szCs w:val="18"/>
          </w:rPr>
          <w:t xml:space="preserve">\1. 2022_I </w:t>
        </w:r>
        <w:r w:rsidR="00E37514" w:rsidRPr="00222EDE">
          <w:rPr>
            <w:rStyle w:val="Hyperlink"/>
            <w:rFonts w:ascii="GHEA Grapalat" w:hAnsi="GHEA Grapalat" w:cs="Arial"/>
            <w:sz w:val="18"/>
            <w:szCs w:val="18"/>
          </w:rPr>
          <w:t>եռամսյակ</w:t>
        </w:r>
        <w:r w:rsidR="00E37514" w:rsidRPr="00222EDE">
          <w:rPr>
            <w:rStyle w:val="Hyperlink"/>
            <w:rFonts w:ascii="GHEA Grapalat" w:hAnsi="GHEA Grapalat"/>
            <w:sz w:val="18"/>
            <w:szCs w:val="18"/>
          </w:rPr>
          <w:t>_</w:t>
        </w:r>
        <w:r w:rsidR="00E37514" w:rsidRPr="00222EDE">
          <w:rPr>
            <w:rStyle w:val="Hyperlink"/>
            <w:rFonts w:ascii="GHEA Grapalat" w:hAnsi="GHEA Grapalat" w:cs="Arial"/>
            <w:sz w:val="18"/>
            <w:szCs w:val="18"/>
          </w:rPr>
          <w:t>ամփոփ</w:t>
        </w:r>
        <w:r w:rsidR="00E37514" w:rsidRPr="00222EDE">
          <w:rPr>
            <w:rStyle w:val="Hyperlink"/>
            <w:rFonts w:ascii="GHEA Grapalat" w:hAnsi="GHEA Grapalat"/>
            <w:sz w:val="18"/>
            <w:szCs w:val="18"/>
          </w:rPr>
          <w:t xml:space="preserve"> </w:t>
        </w:r>
        <w:r w:rsidR="00E37514" w:rsidRPr="00222EDE">
          <w:rPr>
            <w:rStyle w:val="Hyperlink"/>
            <w:rFonts w:ascii="GHEA Grapalat" w:hAnsi="GHEA Grapalat" w:cs="Arial"/>
            <w:sz w:val="18"/>
            <w:szCs w:val="18"/>
          </w:rPr>
          <w:t>ըստ</w:t>
        </w:r>
        <w:r w:rsidR="00E37514" w:rsidRPr="00222EDE">
          <w:rPr>
            <w:rStyle w:val="Hyperlink"/>
            <w:rFonts w:ascii="GHEA Grapalat" w:hAnsi="GHEA Grapalat"/>
            <w:sz w:val="18"/>
            <w:szCs w:val="18"/>
          </w:rPr>
          <w:t xml:space="preserve"> </w:t>
        </w:r>
        <w:r w:rsidR="00E37514" w:rsidRPr="00222EDE">
          <w:rPr>
            <w:rStyle w:val="Hyperlink"/>
            <w:rFonts w:ascii="GHEA Grapalat" w:hAnsi="GHEA Grapalat" w:cs="Arial"/>
            <w:sz w:val="18"/>
            <w:szCs w:val="18"/>
          </w:rPr>
          <w:t>ծրագրերի</w:t>
        </w:r>
        <w:r w:rsidR="00E37514" w:rsidRPr="00222EDE">
          <w:rPr>
            <w:rStyle w:val="Hyperlink"/>
            <w:rFonts w:ascii="GHEA Grapalat" w:hAnsi="GHEA Grapalat"/>
            <w:sz w:val="18"/>
            <w:szCs w:val="18"/>
          </w:rPr>
          <w:t>.xls</w:t>
        </w:r>
      </w:hyperlink>
    </w:p>
    <w:p w:rsidR="00E37514" w:rsidRPr="00222EDE" w:rsidRDefault="00310BD3" w:rsidP="00222EDE">
      <w:pPr>
        <w:pStyle w:val="FootnoteText"/>
        <w:jc w:val="both"/>
        <w:rPr>
          <w:rFonts w:ascii="GHEA Grapalat" w:hAnsi="GHEA Grapalat"/>
          <w:sz w:val="18"/>
          <w:szCs w:val="18"/>
        </w:rPr>
      </w:pPr>
      <w:hyperlink r:id="rId13" w:history="1">
        <w:r w:rsidR="00E37514" w:rsidRPr="00222EDE">
          <w:rPr>
            <w:rStyle w:val="Hyperlink"/>
            <w:rFonts w:ascii="GHEA Grapalat" w:hAnsi="GHEA Grapalat"/>
            <w:sz w:val="18"/>
            <w:szCs w:val="18"/>
          </w:rPr>
          <w:t>4.</w:t>
        </w:r>
        <w:r w:rsidR="00E37514" w:rsidRPr="00222EDE">
          <w:rPr>
            <w:rStyle w:val="Hyperlink"/>
            <w:rFonts w:ascii="GHEA Grapalat" w:hAnsi="GHEA Grapalat" w:cs="Arial"/>
            <w:sz w:val="18"/>
            <w:szCs w:val="18"/>
          </w:rPr>
          <w:t>Հավելվածներ</w:t>
        </w:r>
        <w:r w:rsidR="00E37514" w:rsidRPr="00222EDE">
          <w:rPr>
            <w:rStyle w:val="Hyperlink"/>
            <w:rFonts w:ascii="GHEA Grapalat" w:hAnsi="GHEA Grapalat"/>
            <w:sz w:val="18"/>
            <w:szCs w:val="18"/>
          </w:rPr>
          <w:t xml:space="preserve">\2. 2022_I </w:t>
        </w:r>
        <w:r w:rsidR="00E37514" w:rsidRPr="00222EDE">
          <w:rPr>
            <w:rStyle w:val="Hyperlink"/>
            <w:rFonts w:ascii="GHEA Grapalat" w:hAnsi="GHEA Grapalat" w:cs="Arial"/>
            <w:sz w:val="18"/>
            <w:szCs w:val="18"/>
          </w:rPr>
          <w:t>եռամսյակ</w:t>
        </w:r>
        <w:r w:rsidR="00E37514" w:rsidRPr="00222EDE">
          <w:rPr>
            <w:rStyle w:val="Hyperlink"/>
            <w:rFonts w:ascii="GHEA Grapalat" w:hAnsi="GHEA Grapalat"/>
            <w:sz w:val="18"/>
            <w:szCs w:val="18"/>
          </w:rPr>
          <w:t xml:space="preserve">_ </w:t>
        </w:r>
        <w:r w:rsidR="00E37514" w:rsidRPr="00222EDE">
          <w:rPr>
            <w:rStyle w:val="Hyperlink"/>
            <w:rFonts w:ascii="GHEA Grapalat" w:hAnsi="GHEA Grapalat" w:cs="Arial"/>
            <w:sz w:val="18"/>
            <w:szCs w:val="18"/>
          </w:rPr>
          <w:t>պատասխանատու</w:t>
        </w:r>
        <w:r w:rsidR="00E37514" w:rsidRPr="00222EDE">
          <w:rPr>
            <w:rStyle w:val="Hyperlink"/>
            <w:rFonts w:ascii="GHEA Grapalat" w:hAnsi="GHEA Grapalat"/>
            <w:sz w:val="18"/>
            <w:szCs w:val="18"/>
          </w:rPr>
          <w:t>,</w:t>
        </w:r>
        <w:r w:rsidR="00E37514" w:rsidRPr="00222EDE">
          <w:rPr>
            <w:rStyle w:val="Hyperlink"/>
            <w:rFonts w:ascii="GHEA Grapalat" w:hAnsi="GHEA Grapalat" w:cs="Arial"/>
            <w:sz w:val="18"/>
            <w:szCs w:val="18"/>
          </w:rPr>
          <w:t>ծրագիր</w:t>
        </w:r>
        <w:r w:rsidR="00E37514" w:rsidRPr="00222EDE">
          <w:rPr>
            <w:rStyle w:val="Hyperlink"/>
            <w:rFonts w:ascii="GHEA Grapalat" w:hAnsi="GHEA Grapalat"/>
            <w:sz w:val="18"/>
            <w:szCs w:val="18"/>
          </w:rPr>
          <w:t>,</w:t>
        </w:r>
        <w:r w:rsidR="00E37514" w:rsidRPr="00222EDE">
          <w:rPr>
            <w:rStyle w:val="Hyperlink"/>
            <w:rFonts w:ascii="GHEA Grapalat" w:hAnsi="GHEA Grapalat" w:cs="Arial"/>
            <w:sz w:val="18"/>
            <w:szCs w:val="18"/>
          </w:rPr>
          <w:t>միջոցառում</w:t>
        </w:r>
        <w:r w:rsidR="00E37514" w:rsidRPr="00222EDE">
          <w:rPr>
            <w:rStyle w:val="Hyperlink"/>
            <w:rFonts w:ascii="GHEA Grapalat" w:hAnsi="GHEA Grapalat"/>
            <w:sz w:val="18"/>
            <w:szCs w:val="18"/>
          </w:rPr>
          <w:t>.xls</w:t>
        </w:r>
      </w:hyperlink>
    </w:p>
    <w:p w:rsidR="00E37514" w:rsidRPr="00222EDE" w:rsidRDefault="00310BD3" w:rsidP="00222EDE">
      <w:pPr>
        <w:pStyle w:val="FootnoteText"/>
        <w:jc w:val="both"/>
        <w:rPr>
          <w:rFonts w:ascii="GHEA Grapalat" w:hAnsi="GHEA Grapalat"/>
          <w:sz w:val="18"/>
          <w:szCs w:val="18"/>
        </w:rPr>
      </w:pPr>
      <w:hyperlink r:id="rId14" w:history="1">
        <w:r w:rsidR="00E37514" w:rsidRPr="00222EDE">
          <w:rPr>
            <w:rStyle w:val="Hyperlink"/>
            <w:rFonts w:ascii="GHEA Grapalat" w:hAnsi="GHEA Grapalat"/>
            <w:sz w:val="18"/>
            <w:szCs w:val="18"/>
          </w:rPr>
          <w:t xml:space="preserve">6. 2022_I </w:t>
        </w:r>
        <w:r w:rsidR="00E37514" w:rsidRPr="00222EDE">
          <w:rPr>
            <w:rStyle w:val="Hyperlink"/>
            <w:rFonts w:ascii="GHEA Grapalat" w:hAnsi="GHEA Grapalat" w:cs="Arial"/>
            <w:sz w:val="18"/>
            <w:szCs w:val="18"/>
          </w:rPr>
          <w:t>եռամսյակ</w:t>
        </w:r>
        <w:r w:rsidR="00E37514" w:rsidRPr="00222EDE">
          <w:rPr>
            <w:rStyle w:val="Hyperlink"/>
            <w:rFonts w:ascii="GHEA Grapalat" w:hAnsi="GHEA Grapalat"/>
            <w:sz w:val="18"/>
            <w:szCs w:val="18"/>
          </w:rPr>
          <w:t>_</w:t>
        </w:r>
        <w:r w:rsidR="00E37514" w:rsidRPr="00222EDE">
          <w:rPr>
            <w:rStyle w:val="Hyperlink"/>
            <w:rFonts w:ascii="GHEA Grapalat" w:hAnsi="GHEA Grapalat" w:cs="Arial"/>
            <w:sz w:val="18"/>
            <w:szCs w:val="18"/>
          </w:rPr>
          <w:t>արդյունքային</w:t>
        </w:r>
        <w:r w:rsidR="00E37514" w:rsidRPr="00222EDE">
          <w:rPr>
            <w:rStyle w:val="Hyperlink"/>
            <w:rFonts w:ascii="GHEA Grapalat" w:hAnsi="GHEA Grapalat"/>
            <w:sz w:val="18"/>
            <w:szCs w:val="18"/>
          </w:rPr>
          <w:t xml:space="preserve">_ </w:t>
        </w:r>
        <w:r w:rsidR="00E37514" w:rsidRPr="00222EDE">
          <w:rPr>
            <w:rStyle w:val="Hyperlink"/>
            <w:rFonts w:ascii="GHEA Grapalat" w:hAnsi="GHEA Grapalat" w:cs="Arial"/>
            <w:sz w:val="18"/>
            <w:szCs w:val="18"/>
          </w:rPr>
          <w:t>ըստ</w:t>
        </w:r>
        <w:r w:rsidR="00E37514" w:rsidRPr="00222EDE">
          <w:rPr>
            <w:rStyle w:val="Hyperlink"/>
            <w:rFonts w:ascii="GHEA Grapalat" w:hAnsi="GHEA Grapalat"/>
            <w:sz w:val="18"/>
            <w:szCs w:val="18"/>
          </w:rPr>
          <w:t xml:space="preserve"> </w:t>
        </w:r>
        <w:r w:rsidR="00E37514" w:rsidRPr="00222EDE">
          <w:rPr>
            <w:rStyle w:val="Hyperlink"/>
            <w:rFonts w:ascii="GHEA Grapalat" w:hAnsi="GHEA Grapalat" w:cs="Arial"/>
            <w:sz w:val="18"/>
            <w:szCs w:val="18"/>
          </w:rPr>
          <w:t>պատասխանատուների</w:t>
        </w:r>
        <w:r w:rsidR="00E37514" w:rsidRPr="00222EDE">
          <w:rPr>
            <w:rStyle w:val="Hyperlink"/>
            <w:rFonts w:ascii="GHEA Grapalat" w:hAnsi="GHEA Grapalat"/>
            <w:sz w:val="18"/>
            <w:szCs w:val="18"/>
          </w:rPr>
          <w:t>.xls</w:t>
        </w:r>
      </w:hyperlink>
    </w:p>
    <w:p w:rsidR="00E37514" w:rsidRPr="00222EDE" w:rsidRDefault="00310BD3" w:rsidP="00222EDE">
      <w:pPr>
        <w:pStyle w:val="FootnoteText"/>
        <w:jc w:val="both"/>
        <w:rPr>
          <w:rFonts w:ascii="GHEA Grapalat" w:hAnsi="GHEA Grapalat"/>
          <w:sz w:val="18"/>
          <w:szCs w:val="18"/>
        </w:rPr>
      </w:pPr>
      <w:hyperlink r:id="rId15" w:history="1">
        <w:r w:rsidR="00E37514" w:rsidRPr="00222EDE">
          <w:rPr>
            <w:rStyle w:val="Hyperlink"/>
            <w:rFonts w:ascii="GHEA Grapalat" w:hAnsi="GHEA Grapalat"/>
            <w:sz w:val="18"/>
            <w:szCs w:val="18"/>
          </w:rPr>
          <w:t xml:space="preserve">7. 2022_I </w:t>
        </w:r>
        <w:r w:rsidR="00E37514" w:rsidRPr="00222EDE">
          <w:rPr>
            <w:rStyle w:val="Hyperlink"/>
            <w:rFonts w:ascii="GHEA Grapalat" w:hAnsi="GHEA Grapalat" w:cs="Arial"/>
            <w:sz w:val="18"/>
            <w:szCs w:val="18"/>
          </w:rPr>
          <w:t>եռամսյակ</w:t>
        </w:r>
        <w:r w:rsidR="00E37514" w:rsidRPr="00222EDE">
          <w:rPr>
            <w:rStyle w:val="Hyperlink"/>
            <w:rFonts w:ascii="GHEA Grapalat" w:hAnsi="GHEA Grapalat"/>
            <w:sz w:val="18"/>
            <w:szCs w:val="18"/>
          </w:rPr>
          <w:t>_</w:t>
        </w:r>
        <w:r w:rsidR="00E37514" w:rsidRPr="00222EDE">
          <w:rPr>
            <w:rStyle w:val="Hyperlink"/>
            <w:rFonts w:ascii="GHEA Grapalat" w:hAnsi="GHEA Grapalat" w:cs="Arial"/>
            <w:sz w:val="18"/>
            <w:szCs w:val="18"/>
          </w:rPr>
          <w:t>արդյունքային</w:t>
        </w:r>
        <w:r w:rsidR="00E37514" w:rsidRPr="00222EDE">
          <w:rPr>
            <w:rStyle w:val="Hyperlink"/>
            <w:rFonts w:ascii="GHEA Grapalat" w:hAnsi="GHEA Grapalat"/>
            <w:sz w:val="18"/>
            <w:szCs w:val="18"/>
          </w:rPr>
          <w:t xml:space="preserve">_ </w:t>
        </w:r>
        <w:r w:rsidR="00E37514" w:rsidRPr="00222EDE">
          <w:rPr>
            <w:rStyle w:val="Hyperlink"/>
            <w:rFonts w:ascii="GHEA Grapalat" w:hAnsi="GHEA Grapalat" w:cs="Arial"/>
            <w:sz w:val="18"/>
            <w:szCs w:val="18"/>
          </w:rPr>
          <w:t>ըստ</w:t>
        </w:r>
        <w:r w:rsidR="00E37514" w:rsidRPr="00222EDE">
          <w:rPr>
            <w:rStyle w:val="Hyperlink"/>
            <w:rFonts w:ascii="GHEA Grapalat" w:hAnsi="GHEA Grapalat"/>
            <w:sz w:val="18"/>
            <w:szCs w:val="18"/>
          </w:rPr>
          <w:t xml:space="preserve"> </w:t>
        </w:r>
        <w:r w:rsidR="00E37514" w:rsidRPr="00222EDE">
          <w:rPr>
            <w:rStyle w:val="Hyperlink"/>
            <w:rFonts w:ascii="GHEA Grapalat" w:hAnsi="GHEA Grapalat" w:cs="Arial"/>
            <w:sz w:val="18"/>
            <w:szCs w:val="18"/>
          </w:rPr>
          <w:t>կատարողների</w:t>
        </w:r>
        <w:r w:rsidR="00E37514" w:rsidRPr="00222EDE">
          <w:rPr>
            <w:rStyle w:val="Hyperlink"/>
            <w:rFonts w:ascii="GHEA Grapalat" w:hAnsi="GHEA Grapalat"/>
            <w:sz w:val="18"/>
            <w:szCs w:val="18"/>
          </w:rPr>
          <w:t>.xls</w:t>
        </w:r>
      </w:hyperlink>
      <w:r w:rsidR="00E37514">
        <w:rPr>
          <w:rFonts w:ascii="GHEA Grapalat" w:hAnsi="GHEA Grapalat"/>
          <w:sz w:val="18"/>
          <w:szCs w:val="18"/>
        </w:rPr>
        <w:t>:</w:t>
      </w:r>
    </w:p>
  </w:footnote>
  <w:footnote w:id="33">
    <w:p w:rsidR="00E37514" w:rsidRDefault="00E37514" w:rsidP="007173F4">
      <w:pPr>
        <w:pStyle w:val="FootnoteText"/>
      </w:pPr>
      <w:r>
        <w:rPr>
          <w:rStyle w:val="FootnoteReference"/>
        </w:rPr>
        <w:footnoteRef/>
      </w:r>
      <w:r>
        <w:t xml:space="preserve"> </w:t>
      </w:r>
      <w:r w:rsidRPr="006730F8">
        <w:rPr>
          <w:rFonts w:ascii="GHEA Grapalat" w:hAnsi="GHEA Grapalat"/>
        </w:rPr>
        <w:t>Պարտքի սպասարկման ծախսերի</w:t>
      </w:r>
      <w:r>
        <w:rPr>
          <w:rFonts w:ascii="GHEA Grapalat" w:hAnsi="GHEA Grapalat"/>
        </w:rPr>
        <w:t xml:space="preserve"> առավել մանրամասն վերլուծությունը ներկայացված է պետական բյուջեի ծախսերի տնտեսագիտական դասակարգման վերլուծության բաժնում:</w:t>
      </w:r>
    </w:p>
  </w:footnote>
  <w:footnote w:id="34">
    <w:p w:rsidR="00E37514" w:rsidRDefault="00E37514" w:rsidP="00AE6833">
      <w:pPr>
        <w:pStyle w:val="FootnoteText"/>
        <w:jc w:val="both"/>
      </w:pPr>
      <w:r>
        <w:rPr>
          <w:rStyle w:val="FootnoteReference"/>
        </w:rPr>
        <w:footnoteRef/>
      </w:r>
      <w:r>
        <w:t xml:space="preserve"> </w:t>
      </w:r>
      <w:proofErr w:type="gramStart"/>
      <w:r w:rsidRPr="001E58AB">
        <w:rPr>
          <w:rFonts w:ascii="GHEA Grapalat" w:hAnsi="GHEA Grapalat"/>
          <w:sz w:val="18"/>
          <w:szCs w:val="18"/>
        </w:rPr>
        <w:t>Պակասուրդի ֆինանսավորման աղբյուրների մասին մանրամասն տեղեկատվությունը</w:t>
      </w:r>
      <w:r>
        <w:rPr>
          <w:rFonts w:ascii="GHEA Grapalat" w:hAnsi="GHEA Grapalat"/>
          <w:sz w:val="18"/>
          <w:szCs w:val="18"/>
        </w:rPr>
        <w:t xml:space="preserve"> և </w:t>
      </w:r>
      <w:r w:rsidRPr="001E58AB">
        <w:rPr>
          <w:rFonts w:ascii="GHEA Grapalat" w:hAnsi="GHEA Grapalat"/>
          <w:sz w:val="18"/>
          <w:szCs w:val="18"/>
        </w:rPr>
        <w:t xml:space="preserve">ֆինանսական ակտիվների ձեռքբերման </w:t>
      </w:r>
      <w:r>
        <w:rPr>
          <w:rFonts w:ascii="GHEA Grapalat" w:hAnsi="GHEA Grapalat"/>
          <w:sz w:val="18"/>
          <w:szCs w:val="18"/>
        </w:rPr>
        <w:t>ու</w:t>
      </w:r>
      <w:r w:rsidRPr="001E58AB">
        <w:rPr>
          <w:rFonts w:ascii="GHEA Grapalat" w:hAnsi="GHEA Grapalat"/>
          <w:sz w:val="18"/>
          <w:szCs w:val="18"/>
        </w:rPr>
        <w:t xml:space="preserve"> ներգրավված փոխառու միջոցների մարման գծով ելքերի արդյունքային ցուցանիշները</w:t>
      </w:r>
      <w:r>
        <w:rPr>
          <w:rFonts w:ascii="GHEA Grapalat" w:hAnsi="GHEA Grapalat"/>
          <w:sz w:val="18"/>
          <w:szCs w:val="18"/>
        </w:rPr>
        <w:t xml:space="preserve"> ներկայացված են</w:t>
      </w:r>
      <w:r w:rsidRPr="001E58AB">
        <w:rPr>
          <w:rFonts w:ascii="GHEA Grapalat" w:hAnsi="GHEA Grapalat"/>
          <w:sz w:val="18"/>
          <w:szCs w:val="18"/>
        </w:rPr>
        <w:t xml:space="preserve"> հետևյալ հավելվածում՝ </w:t>
      </w:r>
      <w:hyperlink r:id="rId16" w:history="1">
        <w:r w:rsidRPr="00AE6833">
          <w:rPr>
            <w:rStyle w:val="Hyperlink"/>
            <w:rFonts w:ascii="GHEA Grapalat" w:hAnsi="GHEA Grapalat"/>
            <w:sz w:val="18"/>
            <w:szCs w:val="18"/>
          </w:rPr>
          <w:t>4.Հավելվածներ\5.</w:t>
        </w:r>
        <w:proofErr w:type="gramEnd"/>
        <w:r w:rsidRPr="00AE6833">
          <w:rPr>
            <w:rStyle w:val="Hyperlink"/>
            <w:rFonts w:ascii="GHEA Grapalat" w:hAnsi="GHEA Grapalat"/>
            <w:sz w:val="18"/>
            <w:szCs w:val="18"/>
          </w:rPr>
          <w:t xml:space="preserve"> 2022_I եռամսյակ_դեֆիցիտ.xls</w:t>
        </w:r>
      </w:hyperlink>
      <w:r>
        <w:rPr>
          <w:rFonts w:ascii="GHEA Grapalat" w:hAnsi="GHEA Grapalat"/>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F865784"/>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FE"/>
    <w:multiLevelType w:val="singleLevel"/>
    <w:tmpl w:val="6930E93A"/>
    <w:lvl w:ilvl="0">
      <w:numFmt w:val="decimal"/>
      <w:pStyle w:val="Bullet"/>
      <w:lvlText w:val="*"/>
      <w:lvlJc w:val="left"/>
    </w:lvl>
  </w:abstractNum>
  <w:abstractNum w:abstractNumId="2">
    <w:nsid w:val="063255E4"/>
    <w:multiLevelType w:val="hybridMultilevel"/>
    <w:tmpl w:val="A0F454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B661B3"/>
    <w:multiLevelType w:val="hybridMultilevel"/>
    <w:tmpl w:val="FD58BE3C"/>
    <w:lvl w:ilvl="0" w:tplc="913C2104">
      <w:start w:val="1"/>
      <w:numFmt w:val="decimal"/>
      <w:lvlText w:val="Գծապատկեր %1."/>
      <w:lvlJc w:val="left"/>
      <w:pPr>
        <w:ind w:left="728" w:hanging="360"/>
      </w:pPr>
      <w:rPr>
        <w:rFonts w:ascii="GHEA Grapalat" w:hAnsi="GHEA Grapalat" w:hint="default"/>
        <w:b/>
        <w:i/>
        <w:sz w:val="16"/>
        <w:szCs w:val="22"/>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4">
    <w:nsid w:val="0A6F62E6"/>
    <w:multiLevelType w:val="hybridMultilevel"/>
    <w:tmpl w:val="459840A8"/>
    <w:lvl w:ilvl="0" w:tplc="C2720478">
      <w:start w:val="1"/>
      <w:numFmt w:val="decimal"/>
      <w:lvlText w:val="Գծապատկեր %1."/>
      <w:lvlJc w:val="left"/>
      <w:pPr>
        <w:ind w:left="728" w:hanging="360"/>
      </w:pPr>
      <w:rPr>
        <w:rFonts w:ascii="GHEA Grapalat" w:hAnsi="GHEA Grapalat"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4E55C0"/>
    <w:multiLevelType w:val="hybridMultilevel"/>
    <w:tmpl w:val="9B5CB09A"/>
    <w:lvl w:ilvl="0" w:tplc="B8A6444C">
      <w:start w:val="5"/>
      <w:numFmt w:val="decimal"/>
      <w:lvlText w:val="Գծապատկեր %1."/>
      <w:lvlJc w:val="left"/>
      <w:pPr>
        <w:ind w:left="2629" w:hanging="360"/>
      </w:pPr>
      <w:rPr>
        <w:rFonts w:ascii="GHEA Grapalat" w:hAnsi="GHEA Grapalat" w:hint="default"/>
        <w:b/>
        <w:i/>
        <w:sz w:val="22"/>
        <w:szCs w:val="22"/>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nsid w:val="17B22D1B"/>
    <w:multiLevelType w:val="hybridMultilevel"/>
    <w:tmpl w:val="25F45C94"/>
    <w:lvl w:ilvl="0" w:tplc="913C2104">
      <w:start w:val="1"/>
      <w:numFmt w:val="decimal"/>
      <w:lvlText w:val="Գծապատկեր %1."/>
      <w:lvlJc w:val="left"/>
      <w:pPr>
        <w:ind w:left="720" w:hanging="360"/>
      </w:pPr>
      <w:rPr>
        <w:rFonts w:ascii="GHEA Grapalat" w:hAnsi="GHEA Grapalat" w:hint="default"/>
        <w:b/>
        <w:i/>
        <w:sz w:val="16"/>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2B49C3"/>
    <w:multiLevelType w:val="hybridMultilevel"/>
    <w:tmpl w:val="49C8FF18"/>
    <w:lvl w:ilvl="0" w:tplc="5FDCFCF8">
      <w:start w:val="105"/>
      <w:numFmt w:val="bullet"/>
      <w:lvlText w:val="-"/>
      <w:lvlJc w:val="left"/>
      <w:pPr>
        <w:ind w:left="630" w:hanging="360"/>
      </w:pPr>
      <w:rPr>
        <w:rFonts w:ascii="GHEA Grapalat" w:eastAsia="Times New Roman" w:hAnsi="GHEA Grapalat"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nsid w:val="3A620E8D"/>
    <w:multiLevelType w:val="multilevel"/>
    <w:tmpl w:val="7FF207AC"/>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3DAB1A43"/>
    <w:multiLevelType w:val="hybridMultilevel"/>
    <w:tmpl w:val="37588C86"/>
    <w:lvl w:ilvl="0" w:tplc="3DB25662">
      <w:start w:val="1"/>
      <w:numFmt w:val="decimal"/>
      <w:lvlText w:val="Աղյուսակ %1."/>
      <w:lvlJc w:val="left"/>
      <w:pPr>
        <w:ind w:left="2771" w:hanging="360"/>
      </w:pPr>
      <w:rPr>
        <w:rFonts w:ascii="GHEA Grapalat" w:hAnsi="GHEA Grapalat" w:hint="default"/>
        <w:b/>
        <w:i/>
        <w:sz w:val="18"/>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FC232E5"/>
    <w:multiLevelType w:val="hybridMultilevel"/>
    <w:tmpl w:val="64245336"/>
    <w:lvl w:ilvl="0" w:tplc="6CDCC3D6">
      <w:start w:val="5"/>
      <w:numFmt w:val="decimal"/>
      <w:lvlText w:val="Գծապատկեր %1."/>
      <w:lvlJc w:val="left"/>
      <w:pPr>
        <w:ind w:left="540" w:hanging="360"/>
      </w:pPr>
      <w:rPr>
        <w:rFonts w:ascii="GHEA Grapalat" w:hAnsi="GHEA Grapalat"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204E3A"/>
    <w:multiLevelType w:val="hybridMultilevel"/>
    <w:tmpl w:val="AA24B25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50911300"/>
    <w:multiLevelType w:val="hybridMultilevel"/>
    <w:tmpl w:val="96A2716C"/>
    <w:lvl w:ilvl="0" w:tplc="04090011">
      <w:start w:val="1"/>
      <w:numFmt w:val="decimal"/>
      <w:lvlText w:val="%1)"/>
      <w:lvlJc w:val="left"/>
      <w:pPr>
        <w:ind w:left="540" w:hanging="360"/>
      </w:pPr>
      <w:rPr>
        <w:rFont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3">
    <w:nsid w:val="51D770C3"/>
    <w:multiLevelType w:val="hybridMultilevel"/>
    <w:tmpl w:val="89A2859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56C22868"/>
    <w:multiLevelType w:val="singleLevel"/>
    <w:tmpl w:val="5FA23320"/>
    <w:lvl w:ilvl="0">
      <w:start w:val="1"/>
      <w:numFmt w:val="bullet"/>
      <w:pStyle w:val="Textodsaz"/>
      <w:lvlText w:val=""/>
      <w:lvlJc w:val="left"/>
      <w:pPr>
        <w:tabs>
          <w:tab w:val="num" w:pos="360"/>
        </w:tabs>
        <w:ind w:left="360" w:hanging="360"/>
      </w:pPr>
      <w:rPr>
        <w:rFonts w:ascii="Symbol" w:hAnsi="Symbol" w:hint="default"/>
      </w:rPr>
    </w:lvl>
  </w:abstractNum>
  <w:abstractNum w:abstractNumId="15">
    <w:nsid w:val="63113C22"/>
    <w:multiLevelType w:val="hybridMultilevel"/>
    <w:tmpl w:val="5A0E4CFA"/>
    <w:lvl w:ilvl="0" w:tplc="63845F3A">
      <w:start w:val="1"/>
      <w:numFmt w:val="decimal"/>
      <w:pStyle w:val="a"/>
      <w:lvlText w:val="Աղյուսակ %1."/>
      <w:lvlJc w:val="left"/>
      <w:pPr>
        <w:ind w:left="720" w:hanging="360"/>
      </w:pPr>
      <w:rPr>
        <w:rFonts w:ascii="GHEA Grapalat" w:hAnsi="GHEA Grapalat"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7A916F0"/>
    <w:multiLevelType w:val="hybridMultilevel"/>
    <w:tmpl w:val="C2A25E52"/>
    <w:lvl w:ilvl="0" w:tplc="DFBE0218">
      <w:start w:val="1"/>
      <w:numFmt w:val="bullet"/>
      <w:pStyle w:val="BULET"/>
      <w:lvlText w:val=""/>
      <w:lvlJc w:val="left"/>
      <w:pPr>
        <w:ind w:left="1174" w:hanging="360"/>
      </w:pPr>
      <w:rPr>
        <w:rFonts w:ascii="Symbol" w:hAnsi="Symbol" w:cs="Symbol"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17">
    <w:nsid w:val="6FE15BBB"/>
    <w:multiLevelType w:val="hybridMultilevel"/>
    <w:tmpl w:val="35FEA682"/>
    <w:lvl w:ilvl="0" w:tplc="647ED506">
      <w:start w:val="12"/>
      <w:numFmt w:val="decimal"/>
      <w:lvlText w:val="Գծապատկեր %1."/>
      <w:lvlJc w:val="left"/>
      <w:pPr>
        <w:ind w:left="540" w:hanging="360"/>
      </w:pPr>
      <w:rPr>
        <w:rFonts w:ascii="GHEA Grapalat" w:hAnsi="GHEA Grapalat"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A2191D"/>
    <w:multiLevelType w:val="hybridMultilevel"/>
    <w:tmpl w:val="3D3A3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8287640"/>
    <w:multiLevelType w:val="hybridMultilevel"/>
    <w:tmpl w:val="A3B60F5E"/>
    <w:lvl w:ilvl="0" w:tplc="3C96B1F6">
      <w:start w:val="1"/>
      <w:numFmt w:val="decimal"/>
      <w:lvlText w:val="Գծապատկեր %1."/>
      <w:lvlJc w:val="left"/>
      <w:pPr>
        <w:ind w:left="720" w:hanging="360"/>
      </w:pPr>
      <w:rPr>
        <w:rFonts w:ascii="GHEA Grapalat" w:hAnsi="GHEA Grapalat" w:hint="default"/>
        <w:b/>
        <w:i/>
        <w:sz w:val="16"/>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95D2BDB"/>
    <w:multiLevelType w:val="multilevel"/>
    <w:tmpl w:val="770ED810"/>
    <w:styleLink w:val="1"/>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18"/>
  </w:num>
  <w:num w:numId="2">
    <w:abstractNumId w:val="0"/>
  </w:num>
  <w:num w:numId="3">
    <w:abstractNumId w:val="1"/>
    <w:lvlOverride w:ilvl="0">
      <w:lvl w:ilvl="0">
        <w:start w:val="1"/>
        <w:numFmt w:val="bullet"/>
        <w:pStyle w:val="Bullet"/>
        <w:lvlText w:val=""/>
        <w:legacy w:legacy="1" w:legacySpace="0" w:legacyIndent="283"/>
        <w:lvlJc w:val="left"/>
        <w:pPr>
          <w:ind w:left="283" w:hanging="283"/>
        </w:pPr>
        <w:rPr>
          <w:rFonts w:ascii="Tms Rmn" w:hAnsi="Tms Rmn" w:hint="default"/>
          <w:sz w:val="18"/>
        </w:rPr>
      </w:lvl>
    </w:lvlOverride>
  </w:num>
  <w:num w:numId="4">
    <w:abstractNumId w:val="8"/>
  </w:num>
  <w:num w:numId="5">
    <w:abstractNumId w:val="16"/>
  </w:num>
  <w:num w:numId="6">
    <w:abstractNumId w:val="14"/>
  </w:num>
  <w:num w:numId="7">
    <w:abstractNumId w:val="15"/>
  </w:num>
  <w:num w:numId="8">
    <w:abstractNumId w:val="9"/>
  </w:num>
  <w:num w:numId="9">
    <w:abstractNumId w:val="5"/>
  </w:num>
  <w:num w:numId="10">
    <w:abstractNumId w:val="7"/>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13"/>
  </w:num>
  <w:num w:numId="14">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1"/>
  </w:num>
  <w:num w:numId="17">
    <w:abstractNumId w:val="12"/>
  </w:num>
  <w:num w:numId="18">
    <w:abstractNumId w:val="2"/>
  </w:num>
  <w:num w:numId="19">
    <w:abstractNumId w:val="19"/>
  </w:num>
  <w:num w:numId="20">
    <w:abstractNumId w:val="19"/>
  </w:num>
  <w:num w:numId="21">
    <w:abstractNumId w:val="19"/>
  </w:num>
  <w:num w:numId="22">
    <w:abstractNumId w:val="19"/>
  </w:num>
  <w:num w:numId="23">
    <w:abstractNumId w:val="19"/>
  </w:num>
  <w:num w:numId="24">
    <w:abstractNumId w:val="19"/>
  </w:num>
  <w:num w:numId="25">
    <w:abstractNumId w:val="19"/>
  </w:num>
  <w:num w:numId="26">
    <w:abstractNumId w:val="19"/>
  </w:num>
  <w:num w:numId="27">
    <w:abstractNumId w:val="19"/>
  </w:num>
  <w:num w:numId="28">
    <w:abstractNumId w:val="3"/>
  </w:num>
  <w:num w:numId="29">
    <w:abstractNumId w:val="4"/>
  </w:num>
  <w:num w:numId="30">
    <w:abstractNumId w:val="10"/>
  </w:num>
  <w:num w:numId="31">
    <w:abstractNumId w:val="6"/>
  </w:num>
  <w:num w:numId="32">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SystemFonts/>
  <w:hideSpellingErrors/>
  <w:hideGrammaticalErrors/>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n-GB"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54173C"/>
    <w:rsid w:val="0000059F"/>
    <w:rsid w:val="000008BF"/>
    <w:rsid w:val="00000B30"/>
    <w:rsid w:val="00000B8F"/>
    <w:rsid w:val="00000CC6"/>
    <w:rsid w:val="00000D27"/>
    <w:rsid w:val="00001056"/>
    <w:rsid w:val="0000105D"/>
    <w:rsid w:val="00001128"/>
    <w:rsid w:val="000011F1"/>
    <w:rsid w:val="00001662"/>
    <w:rsid w:val="00001C9D"/>
    <w:rsid w:val="00001EEE"/>
    <w:rsid w:val="00002068"/>
    <w:rsid w:val="000022D8"/>
    <w:rsid w:val="000025B3"/>
    <w:rsid w:val="000029AF"/>
    <w:rsid w:val="00002ABD"/>
    <w:rsid w:val="00002C1B"/>
    <w:rsid w:val="00002F7E"/>
    <w:rsid w:val="000031B4"/>
    <w:rsid w:val="0000344E"/>
    <w:rsid w:val="00003850"/>
    <w:rsid w:val="00003D93"/>
    <w:rsid w:val="00003E0C"/>
    <w:rsid w:val="00003E67"/>
    <w:rsid w:val="000043A0"/>
    <w:rsid w:val="000043EC"/>
    <w:rsid w:val="000046E0"/>
    <w:rsid w:val="00004782"/>
    <w:rsid w:val="0000488C"/>
    <w:rsid w:val="000049ED"/>
    <w:rsid w:val="00004BF5"/>
    <w:rsid w:val="00004EB7"/>
    <w:rsid w:val="000051A1"/>
    <w:rsid w:val="00005FE7"/>
    <w:rsid w:val="000062A7"/>
    <w:rsid w:val="00006BE1"/>
    <w:rsid w:val="00006C8E"/>
    <w:rsid w:val="00006D44"/>
    <w:rsid w:val="00006F51"/>
    <w:rsid w:val="0000799C"/>
    <w:rsid w:val="00007A36"/>
    <w:rsid w:val="00007B4C"/>
    <w:rsid w:val="00007B80"/>
    <w:rsid w:val="00007D4B"/>
    <w:rsid w:val="00007FBA"/>
    <w:rsid w:val="0001038E"/>
    <w:rsid w:val="000110DF"/>
    <w:rsid w:val="000110E9"/>
    <w:rsid w:val="00011CB7"/>
    <w:rsid w:val="0001221C"/>
    <w:rsid w:val="00012440"/>
    <w:rsid w:val="00012B18"/>
    <w:rsid w:val="00012BCB"/>
    <w:rsid w:val="00012DBA"/>
    <w:rsid w:val="00013BAF"/>
    <w:rsid w:val="0001467A"/>
    <w:rsid w:val="000158E4"/>
    <w:rsid w:val="00015A48"/>
    <w:rsid w:val="00015E17"/>
    <w:rsid w:val="0001629D"/>
    <w:rsid w:val="000164D9"/>
    <w:rsid w:val="00017132"/>
    <w:rsid w:val="00017218"/>
    <w:rsid w:val="00017681"/>
    <w:rsid w:val="00020407"/>
    <w:rsid w:val="00020C2C"/>
    <w:rsid w:val="00020D2D"/>
    <w:rsid w:val="000211AB"/>
    <w:rsid w:val="0002130B"/>
    <w:rsid w:val="000217F0"/>
    <w:rsid w:val="00021C51"/>
    <w:rsid w:val="00022212"/>
    <w:rsid w:val="000222C5"/>
    <w:rsid w:val="00022F8E"/>
    <w:rsid w:val="000232C2"/>
    <w:rsid w:val="00023958"/>
    <w:rsid w:val="00023C80"/>
    <w:rsid w:val="00023E03"/>
    <w:rsid w:val="00023F42"/>
    <w:rsid w:val="00023FD5"/>
    <w:rsid w:val="00024068"/>
    <w:rsid w:val="000241ED"/>
    <w:rsid w:val="00024BE3"/>
    <w:rsid w:val="000257DD"/>
    <w:rsid w:val="00025B6D"/>
    <w:rsid w:val="00025C71"/>
    <w:rsid w:val="00027266"/>
    <w:rsid w:val="00027310"/>
    <w:rsid w:val="00027DD3"/>
    <w:rsid w:val="00030036"/>
    <w:rsid w:val="000303D1"/>
    <w:rsid w:val="00030471"/>
    <w:rsid w:val="00030A56"/>
    <w:rsid w:val="00030C3C"/>
    <w:rsid w:val="00030FD4"/>
    <w:rsid w:val="00032380"/>
    <w:rsid w:val="00032DE1"/>
    <w:rsid w:val="00032E25"/>
    <w:rsid w:val="0003381E"/>
    <w:rsid w:val="0003382A"/>
    <w:rsid w:val="00033A2E"/>
    <w:rsid w:val="00033EE1"/>
    <w:rsid w:val="00034B9B"/>
    <w:rsid w:val="00034CDA"/>
    <w:rsid w:val="000354DA"/>
    <w:rsid w:val="00035A20"/>
    <w:rsid w:val="00035AF2"/>
    <w:rsid w:val="00035D8C"/>
    <w:rsid w:val="00035E1E"/>
    <w:rsid w:val="00035E85"/>
    <w:rsid w:val="00035EFF"/>
    <w:rsid w:val="000360E4"/>
    <w:rsid w:val="00036A8B"/>
    <w:rsid w:val="00036F10"/>
    <w:rsid w:val="000373AC"/>
    <w:rsid w:val="0003746F"/>
    <w:rsid w:val="00037C39"/>
    <w:rsid w:val="00037FCE"/>
    <w:rsid w:val="00040285"/>
    <w:rsid w:val="00040458"/>
    <w:rsid w:val="000404CC"/>
    <w:rsid w:val="00040A33"/>
    <w:rsid w:val="00040CBC"/>
    <w:rsid w:val="000417E7"/>
    <w:rsid w:val="000419FD"/>
    <w:rsid w:val="00041D39"/>
    <w:rsid w:val="000422ED"/>
    <w:rsid w:val="000423AB"/>
    <w:rsid w:val="0004241C"/>
    <w:rsid w:val="00042900"/>
    <w:rsid w:val="00042AA2"/>
    <w:rsid w:val="00042B70"/>
    <w:rsid w:val="00042CB7"/>
    <w:rsid w:val="0004304A"/>
    <w:rsid w:val="00043219"/>
    <w:rsid w:val="00043303"/>
    <w:rsid w:val="00043415"/>
    <w:rsid w:val="00043CDF"/>
    <w:rsid w:val="00044115"/>
    <w:rsid w:val="0004424A"/>
    <w:rsid w:val="000442D5"/>
    <w:rsid w:val="0004480E"/>
    <w:rsid w:val="00044B6C"/>
    <w:rsid w:val="00044C1D"/>
    <w:rsid w:val="00045097"/>
    <w:rsid w:val="000457E3"/>
    <w:rsid w:val="00045922"/>
    <w:rsid w:val="00045F1D"/>
    <w:rsid w:val="00046182"/>
    <w:rsid w:val="00046DBB"/>
    <w:rsid w:val="00046EC2"/>
    <w:rsid w:val="00046EF6"/>
    <w:rsid w:val="0005023D"/>
    <w:rsid w:val="000504E3"/>
    <w:rsid w:val="000506B4"/>
    <w:rsid w:val="00050F0E"/>
    <w:rsid w:val="000514F9"/>
    <w:rsid w:val="00051632"/>
    <w:rsid w:val="0005170D"/>
    <w:rsid w:val="00051A9F"/>
    <w:rsid w:val="00051FE6"/>
    <w:rsid w:val="00051FF3"/>
    <w:rsid w:val="00052132"/>
    <w:rsid w:val="000523C5"/>
    <w:rsid w:val="00052483"/>
    <w:rsid w:val="000526B3"/>
    <w:rsid w:val="00052F1B"/>
    <w:rsid w:val="000530E1"/>
    <w:rsid w:val="00053338"/>
    <w:rsid w:val="00053544"/>
    <w:rsid w:val="000537E3"/>
    <w:rsid w:val="00053A4A"/>
    <w:rsid w:val="00053A90"/>
    <w:rsid w:val="00053C94"/>
    <w:rsid w:val="00054624"/>
    <w:rsid w:val="00055668"/>
    <w:rsid w:val="000557B4"/>
    <w:rsid w:val="00055D53"/>
    <w:rsid w:val="00055D6A"/>
    <w:rsid w:val="0005675D"/>
    <w:rsid w:val="00056A1B"/>
    <w:rsid w:val="00057195"/>
    <w:rsid w:val="0005720C"/>
    <w:rsid w:val="0005787B"/>
    <w:rsid w:val="00057EA3"/>
    <w:rsid w:val="00057EEB"/>
    <w:rsid w:val="000601EC"/>
    <w:rsid w:val="00060244"/>
    <w:rsid w:val="000604D1"/>
    <w:rsid w:val="00060510"/>
    <w:rsid w:val="0006055C"/>
    <w:rsid w:val="0006080B"/>
    <w:rsid w:val="00060974"/>
    <w:rsid w:val="000609CE"/>
    <w:rsid w:val="00061ADF"/>
    <w:rsid w:val="000621CC"/>
    <w:rsid w:val="00062294"/>
    <w:rsid w:val="00062545"/>
    <w:rsid w:val="00062E70"/>
    <w:rsid w:val="0006351E"/>
    <w:rsid w:val="000638E7"/>
    <w:rsid w:val="00063FE2"/>
    <w:rsid w:val="00064442"/>
    <w:rsid w:val="000647F8"/>
    <w:rsid w:val="00064C91"/>
    <w:rsid w:val="00064CED"/>
    <w:rsid w:val="00064E9F"/>
    <w:rsid w:val="00065ADB"/>
    <w:rsid w:val="00066648"/>
    <w:rsid w:val="00067106"/>
    <w:rsid w:val="000677FB"/>
    <w:rsid w:val="00067916"/>
    <w:rsid w:val="000702B1"/>
    <w:rsid w:val="0007069D"/>
    <w:rsid w:val="00070B99"/>
    <w:rsid w:val="00070ED4"/>
    <w:rsid w:val="000710A9"/>
    <w:rsid w:val="00071461"/>
    <w:rsid w:val="000715C1"/>
    <w:rsid w:val="00071BFB"/>
    <w:rsid w:val="00071E16"/>
    <w:rsid w:val="00071EF6"/>
    <w:rsid w:val="000722F9"/>
    <w:rsid w:val="00072746"/>
    <w:rsid w:val="00072776"/>
    <w:rsid w:val="00072917"/>
    <w:rsid w:val="00072933"/>
    <w:rsid w:val="00072BF4"/>
    <w:rsid w:val="00073125"/>
    <w:rsid w:val="00073296"/>
    <w:rsid w:val="00073EEA"/>
    <w:rsid w:val="00074532"/>
    <w:rsid w:val="00074829"/>
    <w:rsid w:val="00074F9B"/>
    <w:rsid w:val="00075484"/>
    <w:rsid w:val="00075682"/>
    <w:rsid w:val="00075BBB"/>
    <w:rsid w:val="000763A2"/>
    <w:rsid w:val="00076548"/>
    <w:rsid w:val="000769F7"/>
    <w:rsid w:val="00076BEC"/>
    <w:rsid w:val="000776C2"/>
    <w:rsid w:val="00077865"/>
    <w:rsid w:val="000778EC"/>
    <w:rsid w:val="00077AB6"/>
    <w:rsid w:val="00077CF6"/>
    <w:rsid w:val="00080A6A"/>
    <w:rsid w:val="00080C7F"/>
    <w:rsid w:val="000810CD"/>
    <w:rsid w:val="0008143C"/>
    <w:rsid w:val="00081C42"/>
    <w:rsid w:val="00081C50"/>
    <w:rsid w:val="00082C94"/>
    <w:rsid w:val="00082E2B"/>
    <w:rsid w:val="000831EF"/>
    <w:rsid w:val="000837E3"/>
    <w:rsid w:val="00083FD5"/>
    <w:rsid w:val="000848BF"/>
    <w:rsid w:val="0008492F"/>
    <w:rsid w:val="00084FA9"/>
    <w:rsid w:val="0008542D"/>
    <w:rsid w:val="00085CFF"/>
    <w:rsid w:val="0008647B"/>
    <w:rsid w:val="000864B8"/>
    <w:rsid w:val="000864FB"/>
    <w:rsid w:val="000869F5"/>
    <w:rsid w:val="00086FAB"/>
    <w:rsid w:val="000875C7"/>
    <w:rsid w:val="00087656"/>
    <w:rsid w:val="00087836"/>
    <w:rsid w:val="00087A97"/>
    <w:rsid w:val="00087D17"/>
    <w:rsid w:val="00090551"/>
    <w:rsid w:val="00090896"/>
    <w:rsid w:val="000910AA"/>
    <w:rsid w:val="00091207"/>
    <w:rsid w:val="00091DE9"/>
    <w:rsid w:val="00092206"/>
    <w:rsid w:val="000925C8"/>
    <w:rsid w:val="00092CDA"/>
    <w:rsid w:val="00092D7E"/>
    <w:rsid w:val="00092DFE"/>
    <w:rsid w:val="00092FE8"/>
    <w:rsid w:val="00092FF5"/>
    <w:rsid w:val="0009304F"/>
    <w:rsid w:val="000930E8"/>
    <w:rsid w:val="0009326E"/>
    <w:rsid w:val="000935B0"/>
    <w:rsid w:val="00093A0E"/>
    <w:rsid w:val="00093F78"/>
    <w:rsid w:val="0009408E"/>
    <w:rsid w:val="00094B8A"/>
    <w:rsid w:val="0009531A"/>
    <w:rsid w:val="0009536E"/>
    <w:rsid w:val="000959EB"/>
    <w:rsid w:val="00095B5B"/>
    <w:rsid w:val="00095DAC"/>
    <w:rsid w:val="00096C25"/>
    <w:rsid w:val="00097145"/>
    <w:rsid w:val="000977F9"/>
    <w:rsid w:val="000A00F2"/>
    <w:rsid w:val="000A0728"/>
    <w:rsid w:val="000A0910"/>
    <w:rsid w:val="000A0F70"/>
    <w:rsid w:val="000A0F85"/>
    <w:rsid w:val="000A13EE"/>
    <w:rsid w:val="000A1454"/>
    <w:rsid w:val="000A1873"/>
    <w:rsid w:val="000A1C94"/>
    <w:rsid w:val="000A1CEF"/>
    <w:rsid w:val="000A1D13"/>
    <w:rsid w:val="000A1E59"/>
    <w:rsid w:val="000A1EF0"/>
    <w:rsid w:val="000A25DD"/>
    <w:rsid w:val="000A26B4"/>
    <w:rsid w:val="000A310C"/>
    <w:rsid w:val="000A3AA7"/>
    <w:rsid w:val="000A4193"/>
    <w:rsid w:val="000A42FD"/>
    <w:rsid w:val="000A4E32"/>
    <w:rsid w:val="000A4F76"/>
    <w:rsid w:val="000A512A"/>
    <w:rsid w:val="000A54A3"/>
    <w:rsid w:val="000A5790"/>
    <w:rsid w:val="000A5961"/>
    <w:rsid w:val="000A5BEC"/>
    <w:rsid w:val="000A5D74"/>
    <w:rsid w:val="000A62A3"/>
    <w:rsid w:val="000A6673"/>
    <w:rsid w:val="000A67FF"/>
    <w:rsid w:val="000A6ACE"/>
    <w:rsid w:val="000A6FCA"/>
    <w:rsid w:val="000A7633"/>
    <w:rsid w:val="000B0356"/>
    <w:rsid w:val="000B04BA"/>
    <w:rsid w:val="000B112B"/>
    <w:rsid w:val="000B13C7"/>
    <w:rsid w:val="000B18ED"/>
    <w:rsid w:val="000B20BF"/>
    <w:rsid w:val="000B27D3"/>
    <w:rsid w:val="000B2944"/>
    <w:rsid w:val="000B2B5C"/>
    <w:rsid w:val="000B2CE5"/>
    <w:rsid w:val="000B3222"/>
    <w:rsid w:val="000B32BA"/>
    <w:rsid w:val="000B380A"/>
    <w:rsid w:val="000B3BD0"/>
    <w:rsid w:val="000B3BE7"/>
    <w:rsid w:val="000B45C7"/>
    <w:rsid w:val="000B4796"/>
    <w:rsid w:val="000B4CEC"/>
    <w:rsid w:val="000B4D60"/>
    <w:rsid w:val="000B507B"/>
    <w:rsid w:val="000B522D"/>
    <w:rsid w:val="000B53C0"/>
    <w:rsid w:val="000B5693"/>
    <w:rsid w:val="000B6458"/>
    <w:rsid w:val="000B67DC"/>
    <w:rsid w:val="000B7B4F"/>
    <w:rsid w:val="000C0BFF"/>
    <w:rsid w:val="000C1002"/>
    <w:rsid w:val="000C1290"/>
    <w:rsid w:val="000C210B"/>
    <w:rsid w:val="000C23B5"/>
    <w:rsid w:val="000C24E8"/>
    <w:rsid w:val="000C2743"/>
    <w:rsid w:val="000C29A3"/>
    <w:rsid w:val="000C2A6F"/>
    <w:rsid w:val="000C30AD"/>
    <w:rsid w:val="000C3B9A"/>
    <w:rsid w:val="000C3F37"/>
    <w:rsid w:val="000C42BC"/>
    <w:rsid w:val="000C4490"/>
    <w:rsid w:val="000C45D8"/>
    <w:rsid w:val="000C4A2C"/>
    <w:rsid w:val="000C4F9A"/>
    <w:rsid w:val="000C5213"/>
    <w:rsid w:val="000C5639"/>
    <w:rsid w:val="000C591A"/>
    <w:rsid w:val="000C59C4"/>
    <w:rsid w:val="000C5BC4"/>
    <w:rsid w:val="000C6364"/>
    <w:rsid w:val="000C6513"/>
    <w:rsid w:val="000C66E3"/>
    <w:rsid w:val="000C73D8"/>
    <w:rsid w:val="000C779C"/>
    <w:rsid w:val="000D0217"/>
    <w:rsid w:val="000D0331"/>
    <w:rsid w:val="000D0556"/>
    <w:rsid w:val="000D17F2"/>
    <w:rsid w:val="000D1EF9"/>
    <w:rsid w:val="000D24A0"/>
    <w:rsid w:val="000D2A95"/>
    <w:rsid w:val="000D2B9B"/>
    <w:rsid w:val="000D2BB2"/>
    <w:rsid w:val="000D3122"/>
    <w:rsid w:val="000D32BB"/>
    <w:rsid w:val="000D4325"/>
    <w:rsid w:val="000D489F"/>
    <w:rsid w:val="000D4EA0"/>
    <w:rsid w:val="000D51D6"/>
    <w:rsid w:val="000D5498"/>
    <w:rsid w:val="000D559A"/>
    <w:rsid w:val="000D5C17"/>
    <w:rsid w:val="000D6201"/>
    <w:rsid w:val="000D6397"/>
    <w:rsid w:val="000D6848"/>
    <w:rsid w:val="000D6918"/>
    <w:rsid w:val="000D7145"/>
    <w:rsid w:val="000D71D0"/>
    <w:rsid w:val="000D7226"/>
    <w:rsid w:val="000D7A77"/>
    <w:rsid w:val="000D7D4C"/>
    <w:rsid w:val="000D7EF5"/>
    <w:rsid w:val="000E02B5"/>
    <w:rsid w:val="000E08DA"/>
    <w:rsid w:val="000E08E0"/>
    <w:rsid w:val="000E08E1"/>
    <w:rsid w:val="000E17F6"/>
    <w:rsid w:val="000E1AE6"/>
    <w:rsid w:val="000E2342"/>
    <w:rsid w:val="000E2648"/>
    <w:rsid w:val="000E2AEB"/>
    <w:rsid w:val="000E2CB0"/>
    <w:rsid w:val="000E2D89"/>
    <w:rsid w:val="000E36BF"/>
    <w:rsid w:val="000E3EEF"/>
    <w:rsid w:val="000E440D"/>
    <w:rsid w:val="000E459E"/>
    <w:rsid w:val="000E45F5"/>
    <w:rsid w:val="000E50D7"/>
    <w:rsid w:val="000E561C"/>
    <w:rsid w:val="000E5AAC"/>
    <w:rsid w:val="000E5AC9"/>
    <w:rsid w:val="000E5C16"/>
    <w:rsid w:val="000E607C"/>
    <w:rsid w:val="000E6593"/>
    <w:rsid w:val="000E65BD"/>
    <w:rsid w:val="000E66A4"/>
    <w:rsid w:val="000E693B"/>
    <w:rsid w:val="000F010A"/>
    <w:rsid w:val="000F01B4"/>
    <w:rsid w:val="000F04EB"/>
    <w:rsid w:val="000F0A36"/>
    <w:rsid w:val="000F0A76"/>
    <w:rsid w:val="000F0DD9"/>
    <w:rsid w:val="000F1737"/>
    <w:rsid w:val="000F1828"/>
    <w:rsid w:val="000F1D6B"/>
    <w:rsid w:val="000F23F8"/>
    <w:rsid w:val="000F2986"/>
    <w:rsid w:val="000F2B7E"/>
    <w:rsid w:val="000F30C0"/>
    <w:rsid w:val="000F3292"/>
    <w:rsid w:val="000F3719"/>
    <w:rsid w:val="000F382C"/>
    <w:rsid w:val="000F392F"/>
    <w:rsid w:val="000F3D60"/>
    <w:rsid w:val="000F4239"/>
    <w:rsid w:val="000F479F"/>
    <w:rsid w:val="000F47F8"/>
    <w:rsid w:val="000F49A9"/>
    <w:rsid w:val="000F511A"/>
    <w:rsid w:val="000F5223"/>
    <w:rsid w:val="000F5481"/>
    <w:rsid w:val="000F5647"/>
    <w:rsid w:val="000F589E"/>
    <w:rsid w:val="000F5B1D"/>
    <w:rsid w:val="000F5B8C"/>
    <w:rsid w:val="000F5F7A"/>
    <w:rsid w:val="000F6AAE"/>
    <w:rsid w:val="000F72F5"/>
    <w:rsid w:val="000F7533"/>
    <w:rsid w:val="000F75DD"/>
    <w:rsid w:val="000F7F2A"/>
    <w:rsid w:val="000F7F5E"/>
    <w:rsid w:val="0010015A"/>
    <w:rsid w:val="001009B9"/>
    <w:rsid w:val="00101080"/>
    <w:rsid w:val="00101608"/>
    <w:rsid w:val="001019D8"/>
    <w:rsid w:val="00101C53"/>
    <w:rsid w:val="00101E99"/>
    <w:rsid w:val="00101EC2"/>
    <w:rsid w:val="00102838"/>
    <w:rsid w:val="0010292C"/>
    <w:rsid w:val="001029BA"/>
    <w:rsid w:val="00102BD7"/>
    <w:rsid w:val="00102FAB"/>
    <w:rsid w:val="00104D90"/>
    <w:rsid w:val="0010525B"/>
    <w:rsid w:val="0010537C"/>
    <w:rsid w:val="00105703"/>
    <w:rsid w:val="00105757"/>
    <w:rsid w:val="00105FE9"/>
    <w:rsid w:val="001063E9"/>
    <w:rsid w:val="001066F3"/>
    <w:rsid w:val="001068A5"/>
    <w:rsid w:val="00107170"/>
    <w:rsid w:val="001071A7"/>
    <w:rsid w:val="00107584"/>
    <w:rsid w:val="00107689"/>
    <w:rsid w:val="00107A4D"/>
    <w:rsid w:val="00107DB5"/>
    <w:rsid w:val="00110073"/>
    <w:rsid w:val="001103D9"/>
    <w:rsid w:val="001103F4"/>
    <w:rsid w:val="00110816"/>
    <w:rsid w:val="00110B8E"/>
    <w:rsid w:val="0011104F"/>
    <w:rsid w:val="00111352"/>
    <w:rsid w:val="001113B4"/>
    <w:rsid w:val="001116D2"/>
    <w:rsid w:val="0011185A"/>
    <w:rsid w:val="00111A98"/>
    <w:rsid w:val="001127E7"/>
    <w:rsid w:val="0011288C"/>
    <w:rsid w:val="00112950"/>
    <w:rsid w:val="00112A79"/>
    <w:rsid w:val="00112F5E"/>
    <w:rsid w:val="00112F7A"/>
    <w:rsid w:val="00113B42"/>
    <w:rsid w:val="00113E7E"/>
    <w:rsid w:val="0011404C"/>
    <w:rsid w:val="0011473D"/>
    <w:rsid w:val="00115A51"/>
    <w:rsid w:val="00115B85"/>
    <w:rsid w:val="001161C7"/>
    <w:rsid w:val="00116295"/>
    <w:rsid w:val="00116618"/>
    <w:rsid w:val="0011667C"/>
    <w:rsid w:val="00116AC0"/>
    <w:rsid w:val="00116BDF"/>
    <w:rsid w:val="00120218"/>
    <w:rsid w:val="00120584"/>
    <w:rsid w:val="00121052"/>
    <w:rsid w:val="00121233"/>
    <w:rsid w:val="001213D9"/>
    <w:rsid w:val="00121DDF"/>
    <w:rsid w:val="00123C2D"/>
    <w:rsid w:val="00123FD7"/>
    <w:rsid w:val="001243F3"/>
    <w:rsid w:val="001246C0"/>
    <w:rsid w:val="0012480D"/>
    <w:rsid w:val="00125BA3"/>
    <w:rsid w:val="00125F18"/>
    <w:rsid w:val="001264B5"/>
    <w:rsid w:val="0012679C"/>
    <w:rsid w:val="001269E3"/>
    <w:rsid w:val="00126ADD"/>
    <w:rsid w:val="00126D79"/>
    <w:rsid w:val="00126EA7"/>
    <w:rsid w:val="001273D3"/>
    <w:rsid w:val="0012784B"/>
    <w:rsid w:val="00127878"/>
    <w:rsid w:val="00127B32"/>
    <w:rsid w:val="00127F72"/>
    <w:rsid w:val="00127F83"/>
    <w:rsid w:val="0013020B"/>
    <w:rsid w:val="0013048C"/>
    <w:rsid w:val="0013131F"/>
    <w:rsid w:val="0013158E"/>
    <w:rsid w:val="0013195E"/>
    <w:rsid w:val="00131D35"/>
    <w:rsid w:val="00131E5E"/>
    <w:rsid w:val="001321BC"/>
    <w:rsid w:val="00132486"/>
    <w:rsid w:val="00132AA0"/>
    <w:rsid w:val="00133058"/>
    <w:rsid w:val="0013337D"/>
    <w:rsid w:val="00134213"/>
    <w:rsid w:val="00134263"/>
    <w:rsid w:val="0013434A"/>
    <w:rsid w:val="001343E2"/>
    <w:rsid w:val="00134C98"/>
    <w:rsid w:val="00134E08"/>
    <w:rsid w:val="00134FC5"/>
    <w:rsid w:val="00135268"/>
    <w:rsid w:val="00135888"/>
    <w:rsid w:val="00135D72"/>
    <w:rsid w:val="001363DF"/>
    <w:rsid w:val="00136B7B"/>
    <w:rsid w:val="00136E60"/>
    <w:rsid w:val="001376F7"/>
    <w:rsid w:val="0013772C"/>
    <w:rsid w:val="00137970"/>
    <w:rsid w:val="0014012C"/>
    <w:rsid w:val="00140193"/>
    <w:rsid w:val="001402CF"/>
    <w:rsid w:val="00140A82"/>
    <w:rsid w:val="00140F3A"/>
    <w:rsid w:val="0014138F"/>
    <w:rsid w:val="001415E8"/>
    <w:rsid w:val="00141B99"/>
    <w:rsid w:val="0014241E"/>
    <w:rsid w:val="00142659"/>
    <w:rsid w:val="001429C8"/>
    <w:rsid w:val="00142B12"/>
    <w:rsid w:val="00142DA1"/>
    <w:rsid w:val="001430CF"/>
    <w:rsid w:val="0014333B"/>
    <w:rsid w:val="00143704"/>
    <w:rsid w:val="0014378E"/>
    <w:rsid w:val="00143939"/>
    <w:rsid w:val="00143C1C"/>
    <w:rsid w:val="001445A4"/>
    <w:rsid w:val="00144B31"/>
    <w:rsid w:val="001450E0"/>
    <w:rsid w:val="00145F1C"/>
    <w:rsid w:val="00146010"/>
    <w:rsid w:val="001472B2"/>
    <w:rsid w:val="0014778B"/>
    <w:rsid w:val="00150057"/>
    <w:rsid w:val="0015008A"/>
    <w:rsid w:val="001509F7"/>
    <w:rsid w:val="00150C0E"/>
    <w:rsid w:val="00150F4B"/>
    <w:rsid w:val="00151124"/>
    <w:rsid w:val="001513A3"/>
    <w:rsid w:val="001513D7"/>
    <w:rsid w:val="001515A7"/>
    <w:rsid w:val="0015166B"/>
    <w:rsid w:val="00151C39"/>
    <w:rsid w:val="00151EFB"/>
    <w:rsid w:val="00152B8F"/>
    <w:rsid w:val="00152BEA"/>
    <w:rsid w:val="00152F82"/>
    <w:rsid w:val="00154249"/>
    <w:rsid w:val="00154C36"/>
    <w:rsid w:val="00154F69"/>
    <w:rsid w:val="00155346"/>
    <w:rsid w:val="00155FC1"/>
    <w:rsid w:val="00156493"/>
    <w:rsid w:val="001565B4"/>
    <w:rsid w:val="00156FC4"/>
    <w:rsid w:val="00157032"/>
    <w:rsid w:val="0015714D"/>
    <w:rsid w:val="00157516"/>
    <w:rsid w:val="00157776"/>
    <w:rsid w:val="00157941"/>
    <w:rsid w:val="00157A86"/>
    <w:rsid w:val="00160088"/>
    <w:rsid w:val="001603D8"/>
    <w:rsid w:val="0016068D"/>
    <w:rsid w:val="001609FD"/>
    <w:rsid w:val="00160B84"/>
    <w:rsid w:val="00160CAF"/>
    <w:rsid w:val="00160F52"/>
    <w:rsid w:val="0016104E"/>
    <w:rsid w:val="001616B6"/>
    <w:rsid w:val="00161C6D"/>
    <w:rsid w:val="00162472"/>
    <w:rsid w:val="00162647"/>
    <w:rsid w:val="001628A4"/>
    <w:rsid w:val="00162CE6"/>
    <w:rsid w:val="00162E64"/>
    <w:rsid w:val="001634D1"/>
    <w:rsid w:val="00164845"/>
    <w:rsid w:val="001650C4"/>
    <w:rsid w:val="00165285"/>
    <w:rsid w:val="001655E0"/>
    <w:rsid w:val="00166002"/>
    <w:rsid w:val="00166018"/>
    <w:rsid w:val="00166346"/>
    <w:rsid w:val="0016645C"/>
    <w:rsid w:val="001672C9"/>
    <w:rsid w:val="00167302"/>
    <w:rsid w:val="001673D8"/>
    <w:rsid w:val="00167518"/>
    <w:rsid w:val="00170134"/>
    <w:rsid w:val="00170AC8"/>
    <w:rsid w:val="00170F79"/>
    <w:rsid w:val="0017111D"/>
    <w:rsid w:val="00171AC0"/>
    <w:rsid w:val="0017289D"/>
    <w:rsid w:val="00173196"/>
    <w:rsid w:val="0017374D"/>
    <w:rsid w:val="0017386F"/>
    <w:rsid w:val="00173D47"/>
    <w:rsid w:val="001745CE"/>
    <w:rsid w:val="00174654"/>
    <w:rsid w:val="001748EE"/>
    <w:rsid w:val="00174906"/>
    <w:rsid w:val="001749A3"/>
    <w:rsid w:val="0017597B"/>
    <w:rsid w:val="001763F3"/>
    <w:rsid w:val="001764E1"/>
    <w:rsid w:val="0017695C"/>
    <w:rsid w:val="001769A0"/>
    <w:rsid w:val="001779E2"/>
    <w:rsid w:val="00177A7D"/>
    <w:rsid w:val="00177AB3"/>
    <w:rsid w:val="00177E33"/>
    <w:rsid w:val="001800AF"/>
    <w:rsid w:val="00180101"/>
    <w:rsid w:val="001807D6"/>
    <w:rsid w:val="00180C80"/>
    <w:rsid w:val="001816F5"/>
    <w:rsid w:val="001821E6"/>
    <w:rsid w:val="00182384"/>
    <w:rsid w:val="001828E9"/>
    <w:rsid w:val="00182C22"/>
    <w:rsid w:val="00182D91"/>
    <w:rsid w:val="001833C0"/>
    <w:rsid w:val="001841EF"/>
    <w:rsid w:val="00184E74"/>
    <w:rsid w:val="001855C7"/>
    <w:rsid w:val="0018564D"/>
    <w:rsid w:val="00185870"/>
    <w:rsid w:val="001863FA"/>
    <w:rsid w:val="00187045"/>
    <w:rsid w:val="0018720F"/>
    <w:rsid w:val="00187AA4"/>
    <w:rsid w:val="00187CC5"/>
    <w:rsid w:val="001913DD"/>
    <w:rsid w:val="00191B51"/>
    <w:rsid w:val="00192104"/>
    <w:rsid w:val="0019227C"/>
    <w:rsid w:val="0019240F"/>
    <w:rsid w:val="0019253B"/>
    <w:rsid w:val="0019294F"/>
    <w:rsid w:val="00192A39"/>
    <w:rsid w:val="00192AA1"/>
    <w:rsid w:val="00192BB9"/>
    <w:rsid w:val="00192CB6"/>
    <w:rsid w:val="001935DA"/>
    <w:rsid w:val="00193655"/>
    <w:rsid w:val="00193DCF"/>
    <w:rsid w:val="0019441D"/>
    <w:rsid w:val="001948A5"/>
    <w:rsid w:val="00194B63"/>
    <w:rsid w:val="00194E77"/>
    <w:rsid w:val="00194E8C"/>
    <w:rsid w:val="0019574B"/>
    <w:rsid w:val="0019579A"/>
    <w:rsid w:val="001958A2"/>
    <w:rsid w:val="00195A44"/>
    <w:rsid w:val="00196396"/>
    <w:rsid w:val="0019684E"/>
    <w:rsid w:val="00196EB5"/>
    <w:rsid w:val="001970F5"/>
    <w:rsid w:val="001976FC"/>
    <w:rsid w:val="00197719"/>
    <w:rsid w:val="00197C1E"/>
    <w:rsid w:val="001A0BCE"/>
    <w:rsid w:val="001A11DA"/>
    <w:rsid w:val="001A191E"/>
    <w:rsid w:val="001A207D"/>
    <w:rsid w:val="001A2152"/>
    <w:rsid w:val="001A21B5"/>
    <w:rsid w:val="001A231A"/>
    <w:rsid w:val="001A249E"/>
    <w:rsid w:val="001A2504"/>
    <w:rsid w:val="001A2D35"/>
    <w:rsid w:val="001A363A"/>
    <w:rsid w:val="001A37FE"/>
    <w:rsid w:val="001A3AED"/>
    <w:rsid w:val="001A3C5D"/>
    <w:rsid w:val="001A3EB3"/>
    <w:rsid w:val="001A418B"/>
    <w:rsid w:val="001A43B3"/>
    <w:rsid w:val="001A4D02"/>
    <w:rsid w:val="001A5C1D"/>
    <w:rsid w:val="001A6280"/>
    <w:rsid w:val="001A63CD"/>
    <w:rsid w:val="001A6EC8"/>
    <w:rsid w:val="001A745F"/>
    <w:rsid w:val="001A7942"/>
    <w:rsid w:val="001A7B88"/>
    <w:rsid w:val="001B0247"/>
    <w:rsid w:val="001B0D2B"/>
    <w:rsid w:val="001B1688"/>
    <w:rsid w:val="001B17F6"/>
    <w:rsid w:val="001B1890"/>
    <w:rsid w:val="001B1D38"/>
    <w:rsid w:val="001B2302"/>
    <w:rsid w:val="001B262C"/>
    <w:rsid w:val="001B31B2"/>
    <w:rsid w:val="001B369A"/>
    <w:rsid w:val="001B36B3"/>
    <w:rsid w:val="001B36DE"/>
    <w:rsid w:val="001B3917"/>
    <w:rsid w:val="001B4050"/>
    <w:rsid w:val="001B4E84"/>
    <w:rsid w:val="001B59FD"/>
    <w:rsid w:val="001B612F"/>
    <w:rsid w:val="001B6195"/>
    <w:rsid w:val="001B6546"/>
    <w:rsid w:val="001B6807"/>
    <w:rsid w:val="001B6B0D"/>
    <w:rsid w:val="001B6CF6"/>
    <w:rsid w:val="001B6FA4"/>
    <w:rsid w:val="001B7566"/>
    <w:rsid w:val="001B7881"/>
    <w:rsid w:val="001B7FDA"/>
    <w:rsid w:val="001C05B7"/>
    <w:rsid w:val="001C05FE"/>
    <w:rsid w:val="001C0D1F"/>
    <w:rsid w:val="001C0D8B"/>
    <w:rsid w:val="001C0DB1"/>
    <w:rsid w:val="001C1378"/>
    <w:rsid w:val="001C165B"/>
    <w:rsid w:val="001C1A31"/>
    <w:rsid w:val="001C228D"/>
    <w:rsid w:val="001C2633"/>
    <w:rsid w:val="001C2B59"/>
    <w:rsid w:val="001C2CA9"/>
    <w:rsid w:val="001C3187"/>
    <w:rsid w:val="001C3737"/>
    <w:rsid w:val="001C38E5"/>
    <w:rsid w:val="001C3EBB"/>
    <w:rsid w:val="001C46A3"/>
    <w:rsid w:val="001C49C9"/>
    <w:rsid w:val="001C4F78"/>
    <w:rsid w:val="001C5318"/>
    <w:rsid w:val="001C5B5A"/>
    <w:rsid w:val="001C5D64"/>
    <w:rsid w:val="001C60C1"/>
    <w:rsid w:val="001C6275"/>
    <w:rsid w:val="001C62F7"/>
    <w:rsid w:val="001C6714"/>
    <w:rsid w:val="001C6807"/>
    <w:rsid w:val="001C74A1"/>
    <w:rsid w:val="001C77D7"/>
    <w:rsid w:val="001C7F7C"/>
    <w:rsid w:val="001D009B"/>
    <w:rsid w:val="001D0801"/>
    <w:rsid w:val="001D086A"/>
    <w:rsid w:val="001D0939"/>
    <w:rsid w:val="001D0C5D"/>
    <w:rsid w:val="001D0E09"/>
    <w:rsid w:val="001D1493"/>
    <w:rsid w:val="001D1571"/>
    <w:rsid w:val="001D171A"/>
    <w:rsid w:val="001D1F16"/>
    <w:rsid w:val="001D2251"/>
    <w:rsid w:val="001D2356"/>
    <w:rsid w:val="001D24CF"/>
    <w:rsid w:val="001D2867"/>
    <w:rsid w:val="001D28DE"/>
    <w:rsid w:val="001D2EAB"/>
    <w:rsid w:val="001D3125"/>
    <w:rsid w:val="001D32AA"/>
    <w:rsid w:val="001D3714"/>
    <w:rsid w:val="001D432F"/>
    <w:rsid w:val="001D495D"/>
    <w:rsid w:val="001D4F3B"/>
    <w:rsid w:val="001D5619"/>
    <w:rsid w:val="001D57E6"/>
    <w:rsid w:val="001D5AB9"/>
    <w:rsid w:val="001D5D31"/>
    <w:rsid w:val="001D60A1"/>
    <w:rsid w:val="001D646D"/>
    <w:rsid w:val="001D6662"/>
    <w:rsid w:val="001D6865"/>
    <w:rsid w:val="001D6C20"/>
    <w:rsid w:val="001D6C44"/>
    <w:rsid w:val="001D7277"/>
    <w:rsid w:val="001D798A"/>
    <w:rsid w:val="001D7A09"/>
    <w:rsid w:val="001D7C1E"/>
    <w:rsid w:val="001E006C"/>
    <w:rsid w:val="001E0262"/>
    <w:rsid w:val="001E056A"/>
    <w:rsid w:val="001E0DA2"/>
    <w:rsid w:val="001E10A5"/>
    <w:rsid w:val="001E13A1"/>
    <w:rsid w:val="001E21C8"/>
    <w:rsid w:val="001E220B"/>
    <w:rsid w:val="001E2410"/>
    <w:rsid w:val="001E27E4"/>
    <w:rsid w:val="001E284B"/>
    <w:rsid w:val="001E3392"/>
    <w:rsid w:val="001E33A0"/>
    <w:rsid w:val="001E3944"/>
    <w:rsid w:val="001E3999"/>
    <w:rsid w:val="001E3A38"/>
    <w:rsid w:val="001E40F8"/>
    <w:rsid w:val="001E4393"/>
    <w:rsid w:val="001E57E0"/>
    <w:rsid w:val="001E5A18"/>
    <w:rsid w:val="001E63BA"/>
    <w:rsid w:val="001E6F9F"/>
    <w:rsid w:val="001E7D1C"/>
    <w:rsid w:val="001F0003"/>
    <w:rsid w:val="001F005B"/>
    <w:rsid w:val="001F0674"/>
    <w:rsid w:val="001F0C79"/>
    <w:rsid w:val="001F1381"/>
    <w:rsid w:val="001F14D2"/>
    <w:rsid w:val="001F184A"/>
    <w:rsid w:val="001F1971"/>
    <w:rsid w:val="001F1E67"/>
    <w:rsid w:val="001F222D"/>
    <w:rsid w:val="001F22D2"/>
    <w:rsid w:val="001F2349"/>
    <w:rsid w:val="001F2A93"/>
    <w:rsid w:val="001F2DA5"/>
    <w:rsid w:val="001F349C"/>
    <w:rsid w:val="001F3E3D"/>
    <w:rsid w:val="001F401C"/>
    <w:rsid w:val="001F4A87"/>
    <w:rsid w:val="001F509D"/>
    <w:rsid w:val="001F53DC"/>
    <w:rsid w:val="001F56B2"/>
    <w:rsid w:val="001F58C4"/>
    <w:rsid w:val="001F5A85"/>
    <w:rsid w:val="001F6E53"/>
    <w:rsid w:val="001F6E8C"/>
    <w:rsid w:val="001F76F5"/>
    <w:rsid w:val="001F7839"/>
    <w:rsid w:val="001F7B05"/>
    <w:rsid w:val="001F7D18"/>
    <w:rsid w:val="00200008"/>
    <w:rsid w:val="00200648"/>
    <w:rsid w:val="00200654"/>
    <w:rsid w:val="002006A0"/>
    <w:rsid w:val="00200996"/>
    <w:rsid w:val="00200A82"/>
    <w:rsid w:val="0020122A"/>
    <w:rsid w:val="002013E5"/>
    <w:rsid w:val="00203011"/>
    <w:rsid w:val="0020315E"/>
    <w:rsid w:val="0020317D"/>
    <w:rsid w:val="00203982"/>
    <w:rsid w:val="00203ACE"/>
    <w:rsid w:val="00204364"/>
    <w:rsid w:val="00204C21"/>
    <w:rsid w:val="00204CB9"/>
    <w:rsid w:val="00205003"/>
    <w:rsid w:val="00205A1D"/>
    <w:rsid w:val="00206281"/>
    <w:rsid w:val="002065CF"/>
    <w:rsid w:val="00206604"/>
    <w:rsid w:val="0020672B"/>
    <w:rsid w:val="00206803"/>
    <w:rsid w:val="002074E1"/>
    <w:rsid w:val="002075BB"/>
    <w:rsid w:val="00207A92"/>
    <w:rsid w:val="00207AE1"/>
    <w:rsid w:val="00207EA1"/>
    <w:rsid w:val="00210068"/>
    <w:rsid w:val="00210736"/>
    <w:rsid w:val="00210AF5"/>
    <w:rsid w:val="00210D0E"/>
    <w:rsid w:val="00210FC3"/>
    <w:rsid w:val="0021153D"/>
    <w:rsid w:val="00211609"/>
    <w:rsid w:val="00211976"/>
    <w:rsid w:val="002119B5"/>
    <w:rsid w:val="00211DFB"/>
    <w:rsid w:val="00211E93"/>
    <w:rsid w:val="00211F41"/>
    <w:rsid w:val="00211FB6"/>
    <w:rsid w:val="002122E1"/>
    <w:rsid w:val="00212520"/>
    <w:rsid w:val="002127B3"/>
    <w:rsid w:val="00212926"/>
    <w:rsid w:val="0021352E"/>
    <w:rsid w:val="00214A42"/>
    <w:rsid w:val="00214A63"/>
    <w:rsid w:val="00214D89"/>
    <w:rsid w:val="00214DD2"/>
    <w:rsid w:val="002157F2"/>
    <w:rsid w:val="00216631"/>
    <w:rsid w:val="0021671A"/>
    <w:rsid w:val="00216C49"/>
    <w:rsid w:val="00217093"/>
    <w:rsid w:val="002174A2"/>
    <w:rsid w:val="00217FCC"/>
    <w:rsid w:val="002206A9"/>
    <w:rsid w:val="00220A7B"/>
    <w:rsid w:val="00220DBB"/>
    <w:rsid w:val="002210EE"/>
    <w:rsid w:val="002215EF"/>
    <w:rsid w:val="00221717"/>
    <w:rsid w:val="00221B80"/>
    <w:rsid w:val="00221DAA"/>
    <w:rsid w:val="002220AD"/>
    <w:rsid w:val="00222134"/>
    <w:rsid w:val="00222288"/>
    <w:rsid w:val="002222A2"/>
    <w:rsid w:val="00222654"/>
    <w:rsid w:val="002227AD"/>
    <w:rsid w:val="002228CA"/>
    <w:rsid w:val="0022298F"/>
    <w:rsid w:val="00222A67"/>
    <w:rsid w:val="00222D67"/>
    <w:rsid w:val="00222EDE"/>
    <w:rsid w:val="00222F47"/>
    <w:rsid w:val="00222F8F"/>
    <w:rsid w:val="00223225"/>
    <w:rsid w:val="002235C9"/>
    <w:rsid w:val="002239BD"/>
    <w:rsid w:val="00223B7E"/>
    <w:rsid w:val="00223C32"/>
    <w:rsid w:val="00223D5E"/>
    <w:rsid w:val="0022402F"/>
    <w:rsid w:val="00224350"/>
    <w:rsid w:val="002247AB"/>
    <w:rsid w:val="00224DBA"/>
    <w:rsid w:val="0022541C"/>
    <w:rsid w:val="002259F3"/>
    <w:rsid w:val="00226890"/>
    <w:rsid w:val="00226D15"/>
    <w:rsid w:val="002271CE"/>
    <w:rsid w:val="00227931"/>
    <w:rsid w:val="00227A68"/>
    <w:rsid w:val="00227C7A"/>
    <w:rsid w:val="00230A6E"/>
    <w:rsid w:val="00231A8D"/>
    <w:rsid w:val="00231C62"/>
    <w:rsid w:val="002325E0"/>
    <w:rsid w:val="00232E1C"/>
    <w:rsid w:val="00232EBE"/>
    <w:rsid w:val="00233363"/>
    <w:rsid w:val="00233522"/>
    <w:rsid w:val="0023358F"/>
    <w:rsid w:val="002336C0"/>
    <w:rsid w:val="002337B8"/>
    <w:rsid w:val="002338A0"/>
    <w:rsid w:val="00233E24"/>
    <w:rsid w:val="00233E5D"/>
    <w:rsid w:val="002347B4"/>
    <w:rsid w:val="00234F33"/>
    <w:rsid w:val="00234F72"/>
    <w:rsid w:val="002357F2"/>
    <w:rsid w:val="0023596E"/>
    <w:rsid w:val="00235D8C"/>
    <w:rsid w:val="00235D9E"/>
    <w:rsid w:val="00235E50"/>
    <w:rsid w:val="00236BEF"/>
    <w:rsid w:val="00236CD9"/>
    <w:rsid w:val="00237706"/>
    <w:rsid w:val="00237A24"/>
    <w:rsid w:val="00237E40"/>
    <w:rsid w:val="00240397"/>
    <w:rsid w:val="00240596"/>
    <w:rsid w:val="002406D6"/>
    <w:rsid w:val="0024098D"/>
    <w:rsid w:val="00240E3B"/>
    <w:rsid w:val="0024163D"/>
    <w:rsid w:val="00241D23"/>
    <w:rsid w:val="00241F1A"/>
    <w:rsid w:val="002420E9"/>
    <w:rsid w:val="0024223B"/>
    <w:rsid w:val="00242738"/>
    <w:rsid w:val="00242931"/>
    <w:rsid w:val="00242D20"/>
    <w:rsid w:val="0024323C"/>
    <w:rsid w:val="00243684"/>
    <w:rsid w:val="00244258"/>
    <w:rsid w:val="0024468A"/>
    <w:rsid w:val="00244862"/>
    <w:rsid w:val="002450CE"/>
    <w:rsid w:val="002452EC"/>
    <w:rsid w:val="00245978"/>
    <w:rsid w:val="00245F22"/>
    <w:rsid w:val="00246494"/>
    <w:rsid w:val="00246841"/>
    <w:rsid w:val="00246AFD"/>
    <w:rsid w:val="002470CE"/>
    <w:rsid w:val="002475F4"/>
    <w:rsid w:val="002479A4"/>
    <w:rsid w:val="00250216"/>
    <w:rsid w:val="0025043C"/>
    <w:rsid w:val="002506C3"/>
    <w:rsid w:val="00250F94"/>
    <w:rsid w:val="002511C4"/>
    <w:rsid w:val="0025134E"/>
    <w:rsid w:val="002521B4"/>
    <w:rsid w:val="00252227"/>
    <w:rsid w:val="002523A8"/>
    <w:rsid w:val="00252747"/>
    <w:rsid w:val="002528AF"/>
    <w:rsid w:val="00252B7D"/>
    <w:rsid w:val="002534E0"/>
    <w:rsid w:val="0025359D"/>
    <w:rsid w:val="00253B05"/>
    <w:rsid w:val="00253D18"/>
    <w:rsid w:val="0025461A"/>
    <w:rsid w:val="002546C6"/>
    <w:rsid w:val="00254C20"/>
    <w:rsid w:val="00255484"/>
    <w:rsid w:val="002555FF"/>
    <w:rsid w:val="00255C3A"/>
    <w:rsid w:val="002560DA"/>
    <w:rsid w:val="002564A4"/>
    <w:rsid w:val="00256FE0"/>
    <w:rsid w:val="0025704A"/>
    <w:rsid w:val="00257126"/>
    <w:rsid w:val="00257B86"/>
    <w:rsid w:val="00257BB1"/>
    <w:rsid w:val="00257D74"/>
    <w:rsid w:val="00260227"/>
    <w:rsid w:val="0026072E"/>
    <w:rsid w:val="002608DC"/>
    <w:rsid w:val="00260AA9"/>
    <w:rsid w:val="002619EC"/>
    <w:rsid w:val="00262564"/>
    <w:rsid w:val="002628D7"/>
    <w:rsid w:val="00262D10"/>
    <w:rsid w:val="002631D1"/>
    <w:rsid w:val="002633CA"/>
    <w:rsid w:val="002634CA"/>
    <w:rsid w:val="00263967"/>
    <w:rsid w:val="002639CF"/>
    <w:rsid w:val="00263F2C"/>
    <w:rsid w:val="0026517F"/>
    <w:rsid w:val="00265189"/>
    <w:rsid w:val="002655DA"/>
    <w:rsid w:val="00265B4D"/>
    <w:rsid w:val="0026691F"/>
    <w:rsid w:val="00266F81"/>
    <w:rsid w:val="002672E0"/>
    <w:rsid w:val="002678A7"/>
    <w:rsid w:val="00267ABB"/>
    <w:rsid w:val="00267B02"/>
    <w:rsid w:val="00270CBF"/>
    <w:rsid w:val="00270EC8"/>
    <w:rsid w:val="00270FB6"/>
    <w:rsid w:val="00271241"/>
    <w:rsid w:val="002712A7"/>
    <w:rsid w:val="002715B2"/>
    <w:rsid w:val="002716DF"/>
    <w:rsid w:val="002717E2"/>
    <w:rsid w:val="00271BE9"/>
    <w:rsid w:val="00271BFC"/>
    <w:rsid w:val="00271EC3"/>
    <w:rsid w:val="00272196"/>
    <w:rsid w:val="00272621"/>
    <w:rsid w:val="00272E64"/>
    <w:rsid w:val="00273354"/>
    <w:rsid w:val="00273C25"/>
    <w:rsid w:val="0027412C"/>
    <w:rsid w:val="00274DF0"/>
    <w:rsid w:val="0027577D"/>
    <w:rsid w:val="00275AB9"/>
    <w:rsid w:val="00275B55"/>
    <w:rsid w:val="00276735"/>
    <w:rsid w:val="002768B3"/>
    <w:rsid w:val="00276948"/>
    <w:rsid w:val="00276E5F"/>
    <w:rsid w:val="00276FC8"/>
    <w:rsid w:val="002770E5"/>
    <w:rsid w:val="00277376"/>
    <w:rsid w:val="002775D3"/>
    <w:rsid w:val="002778BF"/>
    <w:rsid w:val="002804EF"/>
    <w:rsid w:val="00280B74"/>
    <w:rsid w:val="00280CFC"/>
    <w:rsid w:val="0028125D"/>
    <w:rsid w:val="0028133F"/>
    <w:rsid w:val="00281811"/>
    <w:rsid w:val="00281A4A"/>
    <w:rsid w:val="00281E0E"/>
    <w:rsid w:val="002824B4"/>
    <w:rsid w:val="0028256D"/>
    <w:rsid w:val="002829FE"/>
    <w:rsid w:val="00283369"/>
    <w:rsid w:val="00283A1A"/>
    <w:rsid w:val="00283A52"/>
    <w:rsid w:val="00283F17"/>
    <w:rsid w:val="00284349"/>
    <w:rsid w:val="00284592"/>
    <w:rsid w:val="0028481E"/>
    <w:rsid w:val="00284DD7"/>
    <w:rsid w:val="00284E4E"/>
    <w:rsid w:val="00285209"/>
    <w:rsid w:val="002858E1"/>
    <w:rsid w:val="00285B51"/>
    <w:rsid w:val="00285E58"/>
    <w:rsid w:val="00285EFB"/>
    <w:rsid w:val="00285F32"/>
    <w:rsid w:val="00285F79"/>
    <w:rsid w:val="00286400"/>
    <w:rsid w:val="00286575"/>
    <w:rsid w:val="00286595"/>
    <w:rsid w:val="002865AD"/>
    <w:rsid w:val="002869E6"/>
    <w:rsid w:val="00287F21"/>
    <w:rsid w:val="0029065E"/>
    <w:rsid w:val="0029093C"/>
    <w:rsid w:val="00290BF8"/>
    <w:rsid w:val="00290D4E"/>
    <w:rsid w:val="00291387"/>
    <w:rsid w:val="00291511"/>
    <w:rsid w:val="00291AA5"/>
    <w:rsid w:val="0029236F"/>
    <w:rsid w:val="00292A1A"/>
    <w:rsid w:val="0029332E"/>
    <w:rsid w:val="002935FC"/>
    <w:rsid w:val="002935FE"/>
    <w:rsid w:val="00293933"/>
    <w:rsid w:val="0029404A"/>
    <w:rsid w:val="00294340"/>
    <w:rsid w:val="0029445E"/>
    <w:rsid w:val="002944A7"/>
    <w:rsid w:val="002944E7"/>
    <w:rsid w:val="00294B5C"/>
    <w:rsid w:val="00294C3C"/>
    <w:rsid w:val="00294DA1"/>
    <w:rsid w:val="00294DBD"/>
    <w:rsid w:val="00294EA2"/>
    <w:rsid w:val="00295356"/>
    <w:rsid w:val="0029561F"/>
    <w:rsid w:val="00295841"/>
    <w:rsid w:val="00295CE0"/>
    <w:rsid w:val="00296738"/>
    <w:rsid w:val="0029724A"/>
    <w:rsid w:val="002977AF"/>
    <w:rsid w:val="00297983"/>
    <w:rsid w:val="002979B4"/>
    <w:rsid w:val="00297C91"/>
    <w:rsid w:val="00297E6B"/>
    <w:rsid w:val="002A05A2"/>
    <w:rsid w:val="002A1007"/>
    <w:rsid w:val="002A131C"/>
    <w:rsid w:val="002A166A"/>
    <w:rsid w:val="002A1EC3"/>
    <w:rsid w:val="002A497E"/>
    <w:rsid w:val="002A4B9F"/>
    <w:rsid w:val="002A4F4D"/>
    <w:rsid w:val="002A4FA1"/>
    <w:rsid w:val="002A531B"/>
    <w:rsid w:val="002A61CA"/>
    <w:rsid w:val="002A6B26"/>
    <w:rsid w:val="002A6B39"/>
    <w:rsid w:val="002A6DC1"/>
    <w:rsid w:val="002A717D"/>
    <w:rsid w:val="002A76B2"/>
    <w:rsid w:val="002A7821"/>
    <w:rsid w:val="002A784D"/>
    <w:rsid w:val="002B01D5"/>
    <w:rsid w:val="002B0EC5"/>
    <w:rsid w:val="002B1011"/>
    <w:rsid w:val="002B1082"/>
    <w:rsid w:val="002B11F7"/>
    <w:rsid w:val="002B1343"/>
    <w:rsid w:val="002B13EA"/>
    <w:rsid w:val="002B1557"/>
    <w:rsid w:val="002B15D7"/>
    <w:rsid w:val="002B184F"/>
    <w:rsid w:val="002B1A48"/>
    <w:rsid w:val="002B1F2B"/>
    <w:rsid w:val="002B2433"/>
    <w:rsid w:val="002B319E"/>
    <w:rsid w:val="002B3603"/>
    <w:rsid w:val="002B3A74"/>
    <w:rsid w:val="002B3AF3"/>
    <w:rsid w:val="002B4467"/>
    <w:rsid w:val="002B5273"/>
    <w:rsid w:val="002B53AB"/>
    <w:rsid w:val="002B562F"/>
    <w:rsid w:val="002B5A4C"/>
    <w:rsid w:val="002B702F"/>
    <w:rsid w:val="002B76C1"/>
    <w:rsid w:val="002B7718"/>
    <w:rsid w:val="002C00C4"/>
    <w:rsid w:val="002C049B"/>
    <w:rsid w:val="002C0576"/>
    <w:rsid w:val="002C087B"/>
    <w:rsid w:val="002C0C59"/>
    <w:rsid w:val="002C1518"/>
    <w:rsid w:val="002C15CF"/>
    <w:rsid w:val="002C1EA7"/>
    <w:rsid w:val="002C2145"/>
    <w:rsid w:val="002C25BC"/>
    <w:rsid w:val="002C26CD"/>
    <w:rsid w:val="002C2A0D"/>
    <w:rsid w:val="002C3257"/>
    <w:rsid w:val="002C329A"/>
    <w:rsid w:val="002C334E"/>
    <w:rsid w:val="002C3C8E"/>
    <w:rsid w:val="002C3CA8"/>
    <w:rsid w:val="002C3FE5"/>
    <w:rsid w:val="002C438A"/>
    <w:rsid w:val="002C461A"/>
    <w:rsid w:val="002C4898"/>
    <w:rsid w:val="002C4C1D"/>
    <w:rsid w:val="002C4C43"/>
    <w:rsid w:val="002C56C2"/>
    <w:rsid w:val="002C57C8"/>
    <w:rsid w:val="002C6D82"/>
    <w:rsid w:val="002C7108"/>
    <w:rsid w:val="002D0115"/>
    <w:rsid w:val="002D0CA9"/>
    <w:rsid w:val="002D0E9D"/>
    <w:rsid w:val="002D13AA"/>
    <w:rsid w:val="002D1CA3"/>
    <w:rsid w:val="002D1D80"/>
    <w:rsid w:val="002D1DC8"/>
    <w:rsid w:val="002D202E"/>
    <w:rsid w:val="002D205D"/>
    <w:rsid w:val="002D24B9"/>
    <w:rsid w:val="002D278F"/>
    <w:rsid w:val="002D2AC3"/>
    <w:rsid w:val="002D3048"/>
    <w:rsid w:val="002D3DF4"/>
    <w:rsid w:val="002D3F25"/>
    <w:rsid w:val="002D3F27"/>
    <w:rsid w:val="002D42F2"/>
    <w:rsid w:val="002D46DD"/>
    <w:rsid w:val="002D4B6E"/>
    <w:rsid w:val="002D4BC2"/>
    <w:rsid w:val="002D4BD7"/>
    <w:rsid w:val="002D4BE7"/>
    <w:rsid w:val="002D56DD"/>
    <w:rsid w:val="002D598D"/>
    <w:rsid w:val="002D5C50"/>
    <w:rsid w:val="002D5EC0"/>
    <w:rsid w:val="002D621A"/>
    <w:rsid w:val="002D62C3"/>
    <w:rsid w:val="002D756C"/>
    <w:rsid w:val="002D7DFD"/>
    <w:rsid w:val="002E10E9"/>
    <w:rsid w:val="002E177C"/>
    <w:rsid w:val="002E1A29"/>
    <w:rsid w:val="002E1F67"/>
    <w:rsid w:val="002E222E"/>
    <w:rsid w:val="002E2329"/>
    <w:rsid w:val="002E246C"/>
    <w:rsid w:val="002E2FC7"/>
    <w:rsid w:val="002E31E4"/>
    <w:rsid w:val="002E3C80"/>
    <w:rsid w:val="002E40F6"/>
    <w:rsid w:val="002E45D0"/>
    <w:rsid w:val="002E467D"/>
    <w:rsid w:val="002E4BF6"/>
    <w:rsid w:val="002E5BFB"/>
    <w:rsid w:val="002E61D2"/>
    <w:rsid w:val="002E6E68"/>
    <w:rsid w:val="002E7262"/>
    <w:rsid w:val="002E7506"/>
    <w:rsid w:val="002E7666"/>
    <w:rsid w:val="002E76E4"/>
    <w:rsid w:val="002E7AA7"/>
    <w:rsid w:val="002E7B63"/>
    <w:rsid w:val="002F026B"/>
    <w:rsid w:val="002F04E8"/>
    <w:rsid w:val="002F0B7D"/>
    <w:rsid w:val="002F0F92"/>
    <w:rsid w:val="002F11BC"/>
    <w:rsid w:val="002F17C3"/>
    <w:rsid w:val="002F1AE5"/>
    <w:rsid w:val="002F2BD3"/>
    <w:rsid w:val="002F2E44"/>
    <w:rsid w:val="002F2F5D"/>
    <w:rsid w:val="002F398E"/>
    <w:rsid w:val="002F3E8F"/>
    <w:rsid w:val="002F41C8"/>
    <w:rsid w:val="002F466B"/>
    <w:rsid w:val="002F492A"/>
    <w:rsid w:val="002F5144"/>
    <w:rsid w:val="002F55AF"/>
    <w:rsid w:val="002F5609"/>
    <w:rsid w:val="002F5853"/>
    <w:rsid w:val="002F5B35"/>
    <w:rsid w:val="002F5D4C"/>
    <w:rsid w:val="002F5DF1"/>
    <w:rsid w:val="002F65F6"/>
    <w:rsid w:val="002F6635"/>
    <w:rsid w:val="002F6EA7"/>
    <w:rsid w:val="002F73D5"/>
    <w:rsid w:val="00300AFD"/>
    <w:rsid w:val="003014BD"/>
    <w:rsid w:val="0030157D"/>
    <w:rsid w:val="00301EFE"/>
    <w:rsid w:val="00302108"/>
    <w:rsid w:val="003024DE"/>
    <w:rsid w:val="00302791"/>
    <w:rsid w:val="003027A0"/>
    <w:rsid w:val="003028AE"/>
    <w:rsid w:val="003028D4"/>
    <w:rsid w:val="00302D5E"/>
    <w:rsid w:val="00302D61"/>
    <w:rsid w:val="00302F40"/>
    <w:rsid w:val="0030428E"/>
    <w:rsid w:val="003043E6"/>
    <w:rsid w:val="00304A61"/>
    <w:rsid w:val="00304FB6"/>
    <w:rsid w:val="00305D8D"/>
    <w:rsid w:val="0030619A"/>
    <w:rsid w:val="003062CD"/>
    <w:rsid w:val="00306BFA"/>
    <w:rsid w:val="00306C0E"/>
    <w:rsid w:val="00306F45"/>
    <w:rsid w:val="003070BE"/>
    <w:rsid w:val="0030748B"/>
    <w:rsid w:val="00307C5B"/>
    <w:rsid w:val="00307D3D"/>
    <w:rsid w:val="00310108"/>
    <w:rsid w:val="0031019C"/>
    <w:rsid w:val="0031067C"/>
    <w:rsid w:val="003106DC"/>
    <w:rsid w:val="00310801"/>
    <w:rsid w:val="003108EC"/>
    <w:rsid w:val="00310BD3"/>
    <w:rsid w:val="00311085"/>
    <w:rsid w:val="00311360"/>
    <w:rsid w:val="00311945"/>
    <w:rsid w:val="00311A55"/>
    <w:rsid w:val="003123D5"/>
    <w:rsid w:val="00312412"/>
    <w:rsid w:val="0031271E"/>
    <w:rsid w:val="00312B04"/>
    <w:rsid w:val="00312BF8"/>
    <w:rsid w:val="00312C94"/>
    <w:rsid w:val="00313320"/>
    <w:rsid w:val="0031354E"/>
    <w:rsid w:val="00313621"/>
    <w:rsid w:val="00313944"/>
    <w:rsid w:val="00313F5E"/>
    <w:rsid w:val="00314250"/>
    <w:rsid w:val="00314326"/>
    <w:rsid w:val="00314669"/>
    <w:rsid w:val="00314A8D"/>
    <w:rsid w:val="00314F8E"/>
    <w:rsid w:val="00315982"/>
    <w:rsid w:val="00315B98"/>
    <w:rsid w:val="00315C59"/>
    <w:rsid w:val="00315F34"/>
    <w:rsid w:val="00316095"/>
    <w:rsid w:val="00316502"/>
    <w:rsid w:val="0031686F"/>
    <w:rsid w:val="0031750D"/>
    <w:rsid w:val="003177CE"/>
    <w:rsid w:val="003178E0"/>
    <w:rsid w:val="00320553"/>
    <w:rsid w:val="00320794"/>
    <w:rsid w:val="00320915"/>
    <w:rsid w:val="00320AA6"/>
    <w:rsid w:val="00320DB1"/>
    <w:rsid w:val="0032103F"/>
    <w:rsid w:val="00322801"/>
    <w:rsid w:val="003229A2"/>
    <w:rsid w:val="00322AAB"/>
    <w:rsid w:val="00322AEE"/>
    <w:rsid w:val="00322C04"/>
    <w:rsid w:val="00322D2B"/>
    <w:rsid w:val="00323096"/>
    <w:rsid w:val="0032328F"/>
    <w:rsid w:val="003234F4"/>
    <w:rsid w:val="00323556"/>
    <w:rsid w:val="00323771"/>
    <w:rsid w:val="003237A8"/>
    <w:rsid w:val="00323B5A"/>
    <w:rsid w:val="00323CC3"/>
    <w:rsid w:val="00323EF9"/>
    <w:rsid w:val="00323F61"/>
    <w:rsid w:val="00323F7E"/>
    <w:rsid w:val="003242B9"/>
    <w:rsid w:val="003243A3"/>
    <w:rsid w:val="0032469C"/>
    <w:rsid w:val="0032480C"/>
    <w:rsid w:val="00324F2F"/>
    <w:rsid w:val="003254A1"/>
    <w:rsid w:val="003254D6"/>
    <w:rsid w:val="00325516"/>
    <w:rsid w:val="00325899"/>
    <w:rsid w:val="00325DBB"/>
    <w:rsid w:val="00326189"/>
    <w:rsid w:val="00326BD3"/>
    <w:rsid w:val="00326DB4"/>
    <w:rsid w:val="00326DF2"/>
    <w:rsid w:val="003270A1"/>
    <w:rsid w:val="0032768E"/>
    <w:rsid w:val="00327939"/>
    <w:rsid w:val="00327C5B"/>
    <w:rsid w:val="00327EA0"/>
    <w:rsid w:val="00327F92"/>
    <w:rsid w:val="00330277"/>
    <w:rsid w:val="0033039D"/>
    <w:rsid w:val="003306F4"/>
    <w:rsid w:val="003308EB"/>
    <w:rsid w:val="00330D13"/>
    <w:rsid w:val="003319FE"/>
    <w:rsid w:val="00331C5C"/>
    <w:rsid w:val="0033211C"/>
    <w:rsid w:val="003328E6"/>
    <w:rsid w:val="00332C58"/>
    <w:rsid w:val="00332FAB"/>
    <w:rsid w:val="00333209"/>
    <w:rsid w:val="003336AF"/>
    <w:rsid w:val="00334C7F"/>
    <w:rsid w:val="003352A6"/>
    <w:rsid w:val="00335577"/>
    <w:rsid w:val="00335F53"/>
    <w:rsid w:val="0033682C"/>
    <w:rsid w:val="00337534"/>
    <w:rsid w:val="0033753F"/>
    <w:rsid w:val="0033782A"/>
    <w:rsid w:val="00340375"/>
    <w:rsid w:val="003404D0"/>
    <w:rsid w:val="00340EE3"/>
    <w:rsid w:val="00340F52"/>
    <w:rsid w:val="00341229"/>
    <w:rsid w:val="00341291"/>
    <w:rsid w:val="0034139E"/>
    <w:rsid w:val="00341BE8"/>
    <w:rsid w:val="00341E42"/>
    <w:rsid w:val="003426FA"/>
    <w:rsid w:val="003428ED"/>
    <w:rsid w:val="00343745"/>
    <w:rsid w:val="003437D2"/>
    <w:rsid w:val="00343BF1"/>
    <w:rsid w:val="00343C2C"/>
    <w:rsid w:val="00343CA3"/>
    <w:rsid w:val="00343EE1"/>
    <w:rsid w:val="00343FFD"/>
    <w:rsid w:val="00344490"/>
    <w:rsid w:val="00344B7A"/>
    <w:rsid w:val="00345499"/>
    <w:rsid w:val="00345968"/>
    <w:rsid w:val="00345A21"/>
    <w:rsid w:val="00345C07"/>
    <w:rsid w:val="00345DAB"/>
    <w:rsid w:val="00345FAF"/>
    <w:rsid w:val="0034605D"/>
    <w:rsid w:val="003465A4"/>
    <w:rsid w:val="0034665D"/>
    <w:rsid w:val="00346F43"/>
    <w:rsid w:val="00347356"/>
    <w:rsid w:val="00347C5F"/>
    <w:rsid w:val="00347CE1"/>
    <w:rsid w:val="0035068B"/>
    <w:rsid w:val="0035093F"/>
    <w:rsid w:val="003516D5"/>
    <w:rsid w:val="0035191B"/>
    <w:rsid w:val="0035201F"/>
    <w:rsid w:val="0035205C"/>
    <w:rsid w:val="00352144"/>
    <w:rsid w:val="00352625"/>
    <w:rsid w:val="00352995"/>
    <w:rsid w:val="00352FB1"/>
    <w:rsid w:val="00353295"/>
    <w:rsid w:val="003536C4"/>
    <w:rsid w:val="003537BD"/>
    <w:rsid w:val="003539D2"/>
    <w:rsid w:val="0035433F"/>
    <w:rsid w:val="003546E7"/>
    <w:rsid w:val="00354735"/>
    <w:rsid w:val="00354AE7"/>
    <w:rsid w:val="00354BA2"/>
    <w:rsid w:val="00354C6A"/>
    <w:rsid w:val="00354E9E"/>
    <w:rsid w:val="0035540E"/>
    <w:rsid w:val="003555E7"/>
    <w:rsid w:val="00355E0C"/>
    <w:rsid w:val="00355E87"/>
    <w:rsid w:val="00355FFA"/>
    <w:rsid w:val="00356653"/>
    <w:rsid w:val="003577A1"/>
    <w:rsid w:val="00357A88"/>
    <w:rsid w:val="003600F3"/>
    <w:rsid w:val="003602B7"/>
    <w:rsid w:val="00360453"/>
    <w:rsid w:val="00360B39"/>
    <w:rsid w:val="00360DCB"/>
    <w:rsid w:val="00360E40"/>
    <w:rsid w:val="0036174B"/>
    <w:rsid w:val="00361B1B"/>
    <w:rsid w:val="00361D05"/>
    <w:rsid w:val="00362415"/>
    <w:rsid w:val="00362427"/>
    <w:rsid w:val="003624E2"/>
    <w:rsid w:val="0036274B"/>
    <w:rsid w:val="00362895"/>
    <w:rsid w:val="00362B53"/>
    <w:rsid w:val="00362F03"/>
    <w:rsid w:val="00363011"/>
    <w:rsid w:val="00363087"/>
    <w:rsid w:val="0036346B"/>
    <w:rsid w:val="00363839"/>
    <w:rsid w:val="00363BB1"/>
    <w:rsid w:val="00363BB9"/>
    <w:rsid w:val="00363C24"/>
    <w:rsid w:val="00363E10"/>
    <w:rsid w:val="003640E9"/>
    <w:rsid w:val="00364A58"/>
    <w:rsid w:val="00364F6E"/>
    <w:rsid w:val="00364F97"/>
    <w:rsid w:val="003650D2"/>
    <w:rsid w:val="00365206"/>
    <w:rsid w:val="0036529D"/>
    <w:rsid w:val="00365353"/>
    <w:rsid w:val="003654D0"/>
    <w:rsid w:val="00365774"/>
    <w:rsid w:val="00365807"/>
    <w:rsid w:val="00365D66"/>
    <w:rsid w:val="00366166"/>
    <w:rsid w:val="00366436"/>
    <w:rsid w:val="0036742E"/>
    <w:rsid w:val="00367C1D"/>
    <w:rsid w:val="00367CAC"/>
    <w:rsid w:val="00367F81"/>
    <w:rsid w:val="00367FAC"/>
    <w:rsid w:val="00370C94"/>
    <w:rsid w:val="003710E6"/>
    <w:rsid w:val="00371E28"/>
    <w:rsid w:val="003728C6"/>
    <w:rsid w:val="00372C78"/>
    <w:rsid w:val="00373251"/>
    <w:rsid w:val="003734B5"/>
    <w:rsid w:val="00373A12"/>
    <w:rsid w:val="00373AAD"/>
    <w:rsid w:val="00373E50"/>
    <w:rsid w:val="00373F7F"/>
    <w:rsid w:val="0037487E"/>
    <w:rsid w:val="00374CC6"/>
    <w:rsid w:val="00374E8E"/>
    <w:rsid w:val="00374F09"/>
    <w:rsid w:val="00375103"/>
    <w:rsid w:val="0037524F"/>
    <w:rsid w:val="003754D6"/>
    <w:rsid w:val="00375DC0"/>
    <w:rsid w:val="00375F4A"/>
    <w:rsid w:val="0037604C"/>
    <w:rsid w:val="0037612B"/>
    <w:rsid w:val="00377301"/>
    <w:rsid w:val="00377484"/>
    <w:rsid w:val="00377A7A"/>
    <w:rsid w:val="00377C21"/>
    <w:rsid w:val="00377D7C"/>
    <w:rsid w:val="00381146"/>
    <w:rsid w:val="00381891"/>
    <w:rsid w:val="00381981"/>
    <w:rsid w:val="003819D4"/>
    <w:rsid w:val="00381AFB"/>
    <w:rsid w:val="0038207D"/>
    <w:rsid w:val="003824A7"/>
    <w:rsid w:val="003831C3"/>
    <w:rsid w:val="0038343A"/>
    <w:rsid w:val="003837F6"/>
    <w:rsid w:val="0038438D"/>
    <w:rsid w:val="0038476B"/>
    <w:rsid w:val="003848F6"/>
    <w:rsid w:val="00384B03"/>
    <w:rsid w:val="00384E95"/>
    <w:rsid w:val="0038509A"/>
    <w:rsid w:val="00385FFC"/>
    <w:rsid w:val="00386441"/>
    <w:rsid w:val="003869A8"/>
    <w:rsid w:val="00386A6E"/>
    <w:rsid w:val="00386B50"/>
    <w:rsid w:val="00386F05"/>
    <w:rsid w:val="00387557"/>
    <w:rsid w:val="00387665"/>
    <w:rsid w:val="00387755"/>
    <w:rsid w:val="00387D69"/>
    <w:rsid w:val="00387EE2"/>
    <w:rsid w:val="003904F5"/>
    <w:rsid w:val="00390C28"/>
    <w:rsid w:val="00391605"/>
    <w:rsid w:val="00391791"/>
    <w:rsid w:val="00391B22"/>
    <w:rsid w:val="00391D3C"/>
    <w:rsid w:val="003925E0"/>
    <w:rsid w:val="00392AA3"/>
    <w:rsid w:val="00392E3E"/>
    <w:rsid w:val="00393257"/>
    <w:rsid w:val="0039338A"/>
    <w:rsid w:val="00393496"/>
    <w:rsid w:val="003936F8"/>
    <w:rsid w:val="0039371E"/>
    <w:rsid w:val="0039381C"/>
    <w:rsid w:val="00393977"/>
    <w:rsid w:val="00393A38"/>
    <w:rsid w:val="00393AB5"/>
    <w:rsid w:val="003941F1"/>
    <w:rsid w:val="003944FD"/>
    <w:rsid w:val="003955FA"/>
    <w:rsid w:val="00395C73"/>
    <w:rsid w:val="00395E11"/>
    <w:rsid w:val="003967EF"/>
    <w:rsid w:val="00396851"/>
    <w:rsid w:val="00396B1F"/>
    <w:rsid w:val="00396FCF"/>
    <w:rsid w:val="00397535"/>
    <w:rsid w:val="00397873"/>
    <w:rsid w:val="00397A45"/>
    <w:rsid w:val="00397FBF"/>
    <w:rsid w:val="00397FFC"/>
    <w:rsid w:val="003A001A"/>
    <w:rsid w:val="003A0325"/>
    <w:rsid w:val="003A0BAA"/>
    <w:rsid w:val="003A0C66"/>
    <w:rsid w:val="003A0E92"/>
    <w:rsid w:val="003A10B2"/>
    <w:rsid w:val="003A166B"/>
    <w:rsid w:val="003A274F"/>
    <w:rsid w:val="003A2E35"/>
    <w:rsid w:val="003A30D9"/>
    <w:rsid w:val="003A31E0"/>
    <w:rsid w:val="003A321D"/>
    <w:rsid w:val="003A410B"/>
    <w:rsid w:val="003A4970"/>
    <w:rsid w:val="003A52D2"/>
    <w:rsid w:val="003A5C26"/>
    <w:rsid w:val="003A6613"/>
    <w:rsid w:val="003A6E60"/>
    <w:rsid w:val="003A77FE"/>
    <w:rsid w:val="003A77FF"/>
    <w:rsid w:val="003A7A33"/>
    <w:rsid w:val="003A7E6E"/>
    <w:rsid w:val="003B0222"/>
    <w:rsid w:val="003B038A"/>
    <w:rsid w:val="003B08D6"/>
    <w:rsid w:val="003B0931"/>
    <w:rsid w:val="003B0955"/>
    <w:rsid w:val="003B1019"/>
    <w:rsid w:val="003B178F"/>
    <w:rsid w:val="003B21FC"/>
    <w:rsid w:val="003B2991"/>
    <w:rsid w:val="003B3026"/>
    <w:rsid w:val="003B329B"/>
    <w:rsid w:val="003B36DC"/>
    <w:rsid w:val="003B3A65"/>
    <w:rsid w:val="003B3A69"/>
    <w:rsid w:val="003B3BD2"/>
    <w:rsid w:val="003B3C86"/>
    <w:rsid w:val="003B3E36"/>
    <w:rsid w:val="003B476F"/>
    <w:rsid w:val="003B5727"/>
    <w:rsid w:val="003B5BF8"/>
    <w:rsid w:val="003B61D3"/>
    <w:rsid w:val="003B639F"/>
    <w:rsid w:val="003B642E"/>
    <w:rsid w:val="003B665C"/>
    <w:rsid w:val="003B7030"/>
    <w:rsid w:val="003B715A"/>
    <w:rsid w:val="003B7372"/>
    <w:rsid w:val="003B7397"/>
    <w:rsid w:val="003B743C"/>
    <w:rsid w:val="003B78FE"/>
    <w:rsid w:val="003B7BF6"/>
    <w:rsid w:val="003C03A2"/>
    <w:rsid w:val="003C0889"/>
    <w:rsid w:val="003C090E"/>
    <w:rsid w:val="003C0CEF"/>
    <w:rsid w:val="003C1A13"/>
    <w:rsid w:val="003C1B9E"/>
    <w:rsid w:val="003C1C96"/>
    <w:rsid w:val="003C1DF7"/>
    <w:rsid w:val="003C22A8"/>
    <w:rsid w:val="003C25DC"/>
    <w:rsid w:val="003C263F"/>
    <w:rsid w:val="003C26C1"/>
    <w:rsid w:val="003C3BF6"/>
    <w:rsid w:val="003C3CE3"/>
    <w:rsid w:val="003C4063"/>
    <w:rsid w:val="003C43CF"/>
    <w:rsid w:val="003C44D4"/>
    <w:rsid w:val="003C4709"/>
    <w:rsid w:val="003C4E38"/>
    <w:rsid w:val="003C50A2"/>
    <w:rsid w:val="003C5971"/>
    <w:rsid w:val="003C5CD2"/>
    <w:rsid w:val="003C6855"/>
    <w:rsid w:val="003C6E28"/>
    <w:rsid w:val="003C72D7"/>
    <w:rsid w:val="003C775D"/>
    <w:rsid w:val="003C780E"/>
    <w:rsid w:val="003C788F"/>
    <w:rsid w:val="003C7CA2"/>
    <w:rsid w:val="003C7ED6"/>
    <w:rsid w:val="003D00E9"/>
    <w:rsid w:val="003D081B"/>
    <w:rsid w:val="003D11E4"/>
    <w:rsid w:val="003D13D3"/>
    <w:rsid w:val="003D1D08"/>
    <w:rsid w:val="003D1F3C"/>
    <w:rsid w:val="003D2639"/>
    <w:rsid w:val="003D2739"/>
    <w:rsid w:val="003D27F8"/>
    <w:rsid w:val="003D3D92"/>
    <w:rsid w:val="003D4057"/>
    <w:rsid w:val="003D40E5"/>
    <w:rsid w:val="003D446A"/>
    <w:rsid w:val="003D4490"/>
    <w:rsid w:val="003D49D1"/>
    <w:rsid w:val="003D4E23"/>
    <w:rsid w:val="003D57E9"/>
    <w:rsid w:val="003D6258"/>
    <w:rsid w:val="003D6274"/>
    <w:rsid w:val="003D6634"/>
    <w:rsid w:val="003D68A0"/>
    <w:rsid w:val="003D73B3"/>
    <w:rsid w:val="003D769D"/>
    <w:rsid w:val="003D7A35"/>
    <w:rsid w:val="003D7BEB"/>
    <w:rsid w:val="003D7CEE"/>
    <w:rsid w:val="003D7E06"/>
    <w:rsid w:val="003E044C"/>
    <w:rsid w:val="003E06BA"/>
    <w:rsid w:val="003E075A"/>
    <w:rsid w:val="003E081A"/>
    <w:rsid w:val="003E09DF"/>
    <w:rsid w:val="003E0F08"/>
    <w:rsid w:val="003E240D"/>
    <w:rsid w:val="003E2ACD"/>
    <w:rsid w:val="003E2AED"/>
    <w:rsid w:val="003E2CA3"/>
    <w:rsid w:val="003E3681"/>
    <w:rsid w:val="003E38FC"/>
    <w:rsid w:val="003E4601"/>
    <w:rsid w:val="003E4B04"/>
    <w:rsid w:val="003E4B27"/>
    <w:rsid w:val="003E4BEE"/>
    <w:rsid w:val="003E4CF0"/>
    <w:rsid w:val="003E53F2"/>
    <w:rsid w:val="003E5981"/>
    <w:rsid w:val="003E5CA7"/>
    <w:rsid w:val="003E5F0C"/>
    <w:rsid w:val="003E6AFC"/>
    <w:rsid w:val="003E6E49"/>
    <w:rsid w:val="003E7749"/>
    <w:rsid w:val="003F018F"/>
    <w:rsid w:val="003F06F3"/>
    <w:rsid w:val="003F07DF"/>
    <w:rsid w:val="003F0912"/>
    <w:rsid w:val="003F0963"/>
    <w:rsid w:val="003F1263"/>
    <w:rsid w:val="003F12A1"/>
    <w:rsid w:val="003F1BE6"/>
    <w:rsid w:val="003F2149"/>
    <w:rsid w:val="003F230E"/>
    <w:rsid w:val="003F3323"/>
    <w:rsid w:val="003F3AF7"/>
    <w:rsid w:val="003F48DA"/>
    <w:rsid w:val="003F4A31"/>
    <w:rsid w:val="003F5571"/>
    <w:rsid w:val="003F67CC"/>
    <w:rsid w:val="003F6C6C"/>
    <w:rsid w:val="003F7359"/>
    <w:rsid w:val="003F799C"/>
    <w:rsid w:val="003F7ACA"/>
    <w:rsid w:val="003F7EA6"/>
    <w:rsid w:val="003F7F23"/>
    <w:rsid w:val="004004D2"/>
    <w:rsid w:val="00400D2A"/>
    <w:rsid w:val="00401083"/>
    <w:rsid w:val="00401527"/>
    <w:rsid w:val="0040218D"/>
    <w:rsid w:val="004025A2"/>
    <w:rsid w:val="00402774"/>
    <w:rsid w:val="004029F1"/>
    <w:rsid w:val="00402F23"/>
    <w:rsid w:val="00402F55"/>
    <w:rsid w:val="00403332"/>
    <w:rsid w:val="004034E9"/>
    <w:rsid w:val="00403527"/>
    <w:rsid w:val="00403662"/>
    <w:rsid w:val="004045CD"/>
    <w:rsid w:val="0040492B"/>
    <w:rsid w:val="00404AEA"/>
    <w:rsid w:val="00404E02"/>
    <w:rsid w:val="00405BED"/>
    <w:rsid w:val="00405D02"/>
    <w:rsid w:val="004062D0"/>
    <w:rsid w:val="0040635D"/>
    <w:rsid w:val="00406C39"/>
    <w:rsid w:val="004075EC"/>
    <w:rsid w:val="0040764B"/>
    <w:rsid w:val="004079AF"/>
    <w:rsid w:val="0041017A"/>
    <w:rsid w:val="0041092C"/>
    <w:rsid w:val="00410E01"/>
    <w:rsid w:val="0041105B"/>
    <w:rsid w:val="0041107B"/>
    <w:rsid w:val="004111E0"/>
    <w:rsid w:val="00411BD1"/>
    <w:rsid w:val="00411CA7"/>
    <w:rsid w:val="00412251"/>
    <w:rsid w:val="00412882"/>
    <w:rsid w:val="00412A05"/>
    <w:rsid w:val="00412BA3"/>
    <w:rsid w:val="00413042"/>
    <w:rsid w:val="0041319A"/>
    <w:rsid w:val="004132FF"/>
    <w:rsid w:val="00413766"/>
    <w:rsid w:val="0041389E"/>
    <w:rsid w:val="004140DA"/>
    <w:rsid w:val="00414A5B"/>
    <w:rsid w:val="004152F2"/>
    <w:rsid w:val="00415514"/>
    <w:rsid w:val="00415A03"/>
    <w:rsid w:val="00416406"/>
    <w:rsid w:val="00416828"/>
    <w:rsid w:val="00416E29"/>
    <w:rsid w:val="00417CAC"/>
    <w:rsid w:val="00417F3A"/>
    <w:rsid w:val="004205C5"/>
    <w:rsid w:val="0042069D"/>
    <w:rsid w:val="00420C1E"/>
    <w:rsid w:val="00420C93"/>
    <w:rsid w:val="00421073"/>
    <w:rsid w:val="0042109B"/>
    <w:rsid w:val="00421B68"/>
    <w:rsid w:val="004226E3"/>
    <w:rsid w:val="0042279F"/>
    <w:rsid w:val="00422C6A"/>
    <w:rsid w:val="00422D8A"/>
    <w:rsid w:val="00422EA5"/>
    <w:rsid w:val="004230E3"/>
    <w:rsid w:val="00423290"/>
    <w:rsid w:val="004235EA"/>
    <w:rsid w:val="00424556"/>
    <w:rsid w:val="0042539B"/>
    <w:rsid w:val="004253EB"/>
    <w:rsid w:val="0042557B"/>
    <w:rsid w:val="00425732"/>
    <w:rsid w:val="00425DDB"/>
    <w:rsid w:val="00425E65"/>
    <w:rsid w:val="00426078"/>
    <w:rsid w:val="004265FB"/>
    <w:rsid w:val="0042682D"/>
    <w:rsid w:val="00426DCE"/>
    <w:rsid w:val="004270E9"/>
    <w:rsid w:val="0042719A"/>
    <w:rsid w:val="0042722F"/>
    <w:rsid w:val="004275E8"/>
    <w:rsid w:val="0042769F"/>
    <w:rsid w:val="004276F1"/>
    <w:rsid w:val="00427F03"/>
    <w:rsid w:val="00430957"/>
    <w:rsid w:val="00430B1B"/>
    <w:rsid w:val="00431166"/>
    <w:rsid w:val="0043179D"/>
    <w:rsid w:val="004320A4"/>
    <w:rsid w:val="00432132"/>
    <w:rsid w:val="0043215B"/>
    <w:rsid w:val="00432D72"/>
    <w:rsid w:val="00433646"/>
    <w:rsid w:val="0043391E"/>
    <w:rsid w:val="00433B79"/>
    <w:rsid w:val="0043437C"/>
    <w:rsid w:val="00434549"/>
    <w:rsid w:val="00434B87"/>
    <w:rsid w:val="00435788"/>
    <w:rsid w:val="00435B7F"/>
    <w:rsid w:val="00436104"/>
    <w:rsid w:val="00436107"/>
    <w:rsid w:val="00436CE4"/>
    <w:rsid w:val="00437690"/>
    <w:rsid w:val="004377C4"/>
    <w:rsid w:val="00437BB1"/>
    <w:rsid w:val="00437BE1"/>
    <w:rsid w:val="00437C9F"/>
    <w:rsid w:val="00440452"/>
    <w:rsid w:val="00440733"/>
    <w:rsid w:val="004409B3"/>
    <w:rsid w:val="00440A66"/>
    <w:rsid w:val="00440F84"/>
    <w:rsid w:val="004410DB"/>
    <w:rsid w:val="004412A0"/>
    <w:rsid w:val="00441380"/>
    <w:rsid w:val="00443695"/>
    <w:rsid w:val="004438E6"/>
    <w:rsid w:val="00443BF5"/>
    <w:rsid w:val="00443F22"/>
    <w:rsid w:val="00444185"/>
    <w:rsid w:val="00444373"/>
    <w:rsid w:val="0044488B"/>
    <w:rsid w:val="004448BE"/>
    <w:rsid w:val="00444990"/>
    <w:rsid w:val="00444DA7"/>
    <w:rsid w:val="004451D1"/>
    <w:rsid w:val="00445901"/>
    <w:rsid w:val="00445F86"/>
    <w:rsid w:val="0044645E"/>
    <w:rsid w:val="00446892"/>
    <w:rsid w:val="00446AF7"/>
    <w:rsid w:val="00446B4F"/>
    <w:rsid w:val="00446F61"/>
    <w:rsid w:val="00446F86"/>
    <w:rsid w:val="004472F0"/>
    <w:rsid w:val="00447455"/>
    <w:rsid w:val="00447C75"/>
    <w:rsid w:val="00447DB4"/>
    <w:rsid w:val="00450441"/>
    <w:rsid w:val="00450509"/>
    <w:rsid w:val="004507CD"/>
    <w:rsid w:val="00450CB3"/>
    <w:rsid w:val="00450DC1"/>
    <w:rsid w:val="00450E4A"/>
    <w:rsid w:val="00451268"/>
    <w:rsid w:val="004517AD"/>
    <w:rsid w:val="00451C97"/>
    <w:rsid w:val="0045227C"/>
    <w:rsid w:val="004522C4"/>
    <w:rsid w:val="00452813"/>
    <w:rsid w:val="00453FDA"/>
    <w:rsid w:val="0045421B"/>
    <w:rsid w:val="004544AB"/>
    <w:rsid w:val="004548BD"/>
    <w:rsid w:val="00454E98"/>
    <w:rsid w:val="00454FC9"/>
    <w:rsid w:val="0045547A"/>
    <w:rsid w:val="00455508"/>
    <w:rsid w:val="0045560F"/>
    <w:rsid w:val="00455732"/>
    <w:rsid w:val="00455AE4"/>
    <w:rsid w:val="00455B5E"/>
    <w:rsid w:val="00455BF2"/>
    <w:rsid w:val="00455C5F"/>
    <w:rsid w:val="00455E6B"/>
    <w:rsid w:val="00455EB2"/>
    <w:rsid w:val="00455FD4"/>
    <w:rsid w:val="00456744"/>
    <w:rsid w:val="00456CF3"/>
    <w:rsid w:val="00456D8C"/>
    <w:rsid w:val="00457563"/>
    <w:rsid w:val="00457AF4"/>
    <w:rsid w:val="00457BFC"/>
    <w:rsid w:val="004601A3"/>
    <w:rsid w:val="0046247D"/>
    <w:rsid w:val="004624C0"/>
    <w:rsid w:val="00462B8F"/>
    <w:rsid w:val="0046313C"/>
    <w:rsid w:val="00463429"/>
    <w:rsid w:val="00463DCF"/>
    <w:rsid w:val="00463E1A"/>
    <w:rsid w:val="00463F57"/>
    <w:rsid w:val="00464537"/>
    <w:rsid w:val="00464BE4"/>
    <w:rsid w:val="00464D1B"/>
    <w:rsid w:val="00464F92"/>
    <w:rsid w:val="00465DCA"/>
    <w:rsid w:val="00466129"/>
    <w:rsid w:val="004661AD"/>
    <w:rsid w:val="00466231"/>
    <w:rsid w:val="00466316"/>
    <w:rsid w:val="0046632A"/>
    <w:rsid w:val="0046647B"/>
    <w:rsid w:val="00466724"/>
    <w:rsid w:val="004667E8"/>
    <w:rsid w:val="00467191"/>
    <w:rsid w:val="00467C77"/>
    <w:rsid w:val="00467D51"/>
    <w:rsid w:val="00470140"/>
    <w:rsid w:val="00470A3A"/>
    <w:rsid w:val="00470F43"/>
    <w:rsid w:val="00471F00"/>
    <w:rsid w:val="00471F49"/>
    <w:rsid w:val="00472769"/>
    <w:rsid w:val="00472AE9"/>
    <w:rsid w:val="004730ED"/>
    <w:rsid w:val="00473569"/>
    <w:rsid w:val="004735D6"/>
    <w:rsid w:val="00473606"/>
    <w:rsid w:val="00473EBB"/>
    <w:rsid w:val="0047469E"/>
    <w:rsid w:val="00474883"/>
    <w:rsid w:val="00474B6F"/>
    <w:rsid w:val="00474E67"/>
    <w:rsid w:val="00475D63"/>
    <w:rsid w:val="00475F70"/>
    <w:rsid w:val="00475F7E"/>
    <w:rsid w:val="004761DB"/>
    <w:rsid w:val="00476950"/>
    <w:rsid w:val="004771E3"/>
    <w:rsid w:val="004775FD"/>
    <w:rsid w:val="00477A96"/>
    <w:rsid w:val="00480664"/>
    <w:rsid w:val="004809FD"/>
    <w:rsid w:val="00481C4D"/>
    <w:rsid w:val="0048265B"/>
    <w:rsid w:val="00482E6B"/>
    <w:rsid w:val="00483389"/>
    <w:rsid w:val="00483524"/>
    <w:rsid w:val="00483A4F"/>
    <w:rsid w:val="00483F59"/>
    <w:rsid w:val="0048462D"/>
    <w:rsid w:val="004848B7"/>
    <w:rsid w:val="00484BFC"/>
    <w:rsid w:val="00484CAB"/>
    <w:rsid w:val="00485462"/>
    <w:rsid w:val="00485D99"/>
    <w:rsid w:val="0048614B"/>
    <w:rsid w:val="004862A7"/>
    <w:rsid w:val="0048668C"/>
    <w:rsid w:val="004866E1"/>
    <w:rsid w:val="00486711"/>
    <w:rsid w:val="00486734"/>
    <w:rsid w:val="00486CA2"/>
    <w:rsid w:val="00486ED6"/>
    <w:rsid w:val="0048754B"/>
    <w:rsid w:val="00487A5F"/>
    <w:rsid w:val="00487DE3"/>
    <w:rsid w:val="00490082"/>
    <w:rsid w:val="004902B1"/>
    <w:rsid w:val="004904DE"/>
    <w:rsid w:val="00490A8A"/>
    <w:rsid w:val="00490F0C"/>
    <w:rsid w:val="00491280"/>
    <w:rsid w:val="00491851"/>
    <w:rsid w:val="00491881"/>
    <w:rsid w:val="00491A1E"/>
    <w:rsid w:val="00491C0F"/>
    <w:rsid w:val="00491E9E"/>
    <w:rsid w:val="0049233C"/>
    <w:rsid w:val="004924CB"/>
    <w:rsid w:val="00492A7D"/>
    <w:rsid w:val="00492C99"/>
    <w:rsid w:val="00492FC7"/>
    <w:rsid w:val="00493AE1"/>
    <w:rsid w:val="004941EF"/>
    <w:rsid w:val="004944F2"/>
    <w:rsid w:val="00494C6A"/>
    <w:rsid w:val="0049527E"/>
    <w:rsid w:val="0049555D"/>
    <w:rsid w:val="00495FBE"/>
    <w:rsid w:val="00496486"/>
    <w:rsid w:val="00496906"/>
    <w:rsid w:val="00496DD2"/>
    <w:rsid w:val="00497007"/>
    <w:rsid w:val="00497B24"/>
    <w:rsid w:val="00497F56"/>
    <w:rsid w:val="00497FFA"/>
    <w:rsid w:val="004A022F"/>
    <w:rsid w:val="004A03F0"/>
    <w:rsid w:val="004A111F"/>
    <w:rsid w:val="004A144E"/>
    <w:rsid w:val="004A14AA"/>
    <w:rsid w:val="004A2E50"/>
    <w:rsid w:val="004A3240"/>
    <w:rsid w:val="004A4743"/>
    <w:rsid w:val="004A4AD5"/>
    <w:rsid w:val="004A4FFE"/>
    <w:rsid w:val="004A5050"/>
    <w:rsid w:val="004A5232"/>
    <w:rsid w:val="004A57A7"/>
    <w:rsid w:val="004A5C87"/>
    <w:rsid w:val="004A6370"/>
    <w:rsid w:val="004A68AE"/>
    <w:rsid w:val="004A6FBF"/>
    <w:rsid w:val="004A72E5"/>
    <w:rsid w:val="004A782A"/>
    <w:rsid w:val="004A7B83"/>
    <w:rsid w:val="004A7C16"/>
    <w:rsid w:val="004A7CB2"/>
    <w:rsid w:val="004A7EAB"/>
    <w:rsid w:val="004B03EC"/>
    <w:rsid w:val="004B0578"/>
    <w:rsid w:val="004B0A6E"/>
    <w:rsid w:val="004B0DA4"/>
    <w:rsid w:val="004B0E94"/>
    <w:rsid w:val="004B101F"/>
    <w:rsid w:val="004B1222"/>
    <w:rsid w:val="004B126B"/>
    <w:rsid w:val="004B12D7"/>
    <w:rsid w:val="004B1CD6"/>
    <w:rsid w:val="004B1DD5"/>
    <w:rsid w:val="004B1FF4"/>
    <w:rsid w:val="004B27A9"/>
    <w:rsid w:val="004B2AE4"/>
    <w:rsid w:val="004B32A2"/>
    <w:rsid w:val="004B338C"/>
    <w:rsid w:val="004B33F5"/>
    <w:rsid w:val="004B3797"/>
    <w:rsid w:val="004B3C43"/>
    <w:rsid w:val="004B3D51"/>
    <w:rsid w:val="004B3DA5"/>
    <w:rsid w:val="004B3E7A"/>
    <w:rsid w:val="004B45B0"/>
    <w:rsid w:val="004B4759"/>
    <w:rsid w:val="004B4761"/>
    <w:rsid w:val="004B48C8"/>
    <w:rsid w:val="004B578C"/>
    <w:rsid w:val="004B5FE4"/>
    <w:rsid w:val="004B6196"/>
    <w:rsid w:val="004B698A"/>
    <w:rsid w:val="004B69E5"/>
    <w:rsid w:val="004B75CF"/>
    <w:rsid w:val="004B7FB8"/>
    <w:rsid w:val="004B7FD8"/>
    <w:rsid w:val="004C03E0"/>
    <w:rsid w:val="004C0955"/>
    <w:rsid w:val="004C0AD4"/>
    <w:rsid w:val="004C0D21"/>
    <w:rsid w:val="004C10C8"/>
    <w:rsid w:val="004C12ED"/>
    <w:rsid w:val="004C15C6"/>
    <w:rsid w:val="004C1754"/>
    <w:rsid w:val="004C2051"/>
    <w:rsid w:val="004C2786"/>
    <w:rsid w:val="004C2BFB"/>
    <w:rsid w:val="004C2C4D"/>
    <w:rsid w:val="004C3783"/>
    <w:rsid w:val="004C3A9E"/>
    <w:rsid w:val="004C3AE9"/>
    <w:rsid w:val="004C3BB5"/>
    <w:rsid w:val="004C4040"/>
    <w:rsid w:val="004C4B3D"/>
    <w:rsid w:val="004C4D3C"/>
    <w:rsid w:val="004C51B6"/>
    <w:rsid w:val="004C52BD"/>
    <w:rsid w:val="004C536E"/>
    <w:rsid w:val="004C5514"/>
    <w:rsid w:val="004C57EB"/>
    <w:rsid w:val="004C6038"/>
    <w:rsid w:val="004C666A"/>
    <w:rsid w:val="004C74E0"/>
    <w:rsid w:val="004C74E6"/>
    <w:rsid w:val="004D0E12"/>
    <w:rsid w:val="004D13A2"/>
    <w:rsid w:val="004D18DE"/>
    <w:rsid w:val="004D2061"/>
    <w:rsid w:val="004D2758"/>
    <w:rsid w:val="004D29C4"/>
    <w:rsid w:val="004D2B8B"/>
    <w:rsid w:val="004D2F35"/>
    <w:rsid w:val="004D30DE"/>
    <w:rsid w:val="004D31FE"/>
    <w:rsid w:val="004D3680"/>
    <w:rsid w:val="004D3988"/>
    <w:rsid w:val="004D39C2"/>
    <w:rsid w:val="004D39D5"/>
    <w:rsid w:val="004D3F02"/>
    <w:rsid w:val="004D4AA6"/>
    <w:rsid w:val="004D4D3F"/>
    <w:rsid w:val="004D4FBC"/>
    <w:rsid w:val="004D5476"/>
    <w:rsid w:val="004D55FD"/>
    <w:rsid w:val="004D5834"/>
    <w:rsid w:val="004D5C6A"/>
    <w:rsid w:val="004D5C91"/>
    <w:rsid w:val="004D6023"/>
    <w:rsid w:val="004D6237"/>
    <w:rsid w:val="004D64D8"/>
    <w:rsid w:val="004D6925"/>
    <w:rsid w:val="004D6D5F"/>
    <w:rsid w:val="004D72D7"/>
    <w:rsid w:val="004D7841"/>
    <w:rsid w:val="004D7ACC"/>
    <w:rsid w:val="004E00F7"/>
    <w:rsid w:val="004E07A7"/>
    <w:rsid w:val="004E07D2"/>
    <w:rsid w:val="004E0FB9"/>
    <w:rsid w:val="004E11C7"/>
    <w:rsid w:val="004E15AA"/>
    <w:rsid w:val="004E1B1C"/>
    <w:rsid w:val="004E24FF"/>
    <w:rsid w:val="004E36B1"/>
    <w:rsid w:val="004E38CA"/>
    <w:rsid w:val="004E39E5"/>
    <w:rsid w:val="004E3BCA"/>
    <w:rsid w:val="004E3C1A"/>
    <w:rsid w:val="004E3EC4"/>
    <w:rsid w:val="004E3F0A"/>
    <w:rsid w:val="004E3FD6"/>
    <w:rsid w:val="004E48F2"/>
    <w:rsid w:val="004E49BC"/>
    <w:rsid w:val="004E4A52"/>
    <w:rsid w:val="004E4CEF"/>
    <w:rsid w:val="004E50B4"/>
    <w:rsid w:val="004E5433"/>
    <w:rsid w:val="004E543C"/>
    <w:rsid w:val="004E54BB"/>
    <w:rsid w:val="004E54E4"/>
    <w:rsid w:val="004E58C2"/>
    <w:rsid w:val="004E5DD6"/>
    <w:rsid w:val="004E65AE"/>
    <w:rsid w:val="004E666B"/>
    <w:rsid w:val="004E69FC"/>
    <w:rsid w:val="004E6AF3"/>
    <w:rsid w:val="004E6E32"/>
    <w:rsid w:val="004E7219"/>
    <w:rsid w:val="004E7682"/>
    <w:rsid w:val="004E7CDC"/>
    <w:rsid w:val="004E7D2E"/>
    <w:rsid w:val="004F03F8"/>
    <w:rsid w:val="004F053F"/>
    <w:rsid w:val="004F0DB3"/>
    <w:rsid w:val="004F0FAE"/>
    <w:rsid w:val="004F1B2E"/>
    <w:rsid w:val="004F2AA7"/>
    <w:rsid w:val="004F3CB3"/>
    <w:rsid w:val="004F3FF4"/>
    <w:rsid w:val="004F4637"/>
    <w:rsid w:val="004F49A4"/>
    <w:rsid w:val="004F4AB3"/>
    <w:rsid w:val="004F656F"/>
    <w:rsid w:val="004F6F8D"/>
    <w:rsid w:val="004F7312"/>
    <w:rsid w:val="004F7454"/>
    <w:rsid w:val="004F783F"/>
    <w:rsid w:val="005004D9"/>
    <w:rsid w:val="005004E7"/>
    <w:rsid w:val="005013D9"/>
    <w:rsid w:val="005017CA"/>
    <w:rsid w:val="00501BF6"/>
    <w:rsid w:val="00501E76"/>
    <w:rsid w:val="00502140"/>
    <w:rsid w:val="00502F09"/>
    <w:rsid w:val="005030D5"/>
    <w:rsid w:val="0050380D"/>
    <w:rsid w:val="00503921"/>
    <w:rsid w:val="00503DF0"/>
    <w:rsid w:val="00504566"/>
    <w:rsid w:val="005047BC"/>
    <w:rsid w:val="00504BFB"/>
    <w:rsid w:val="005054A4"/>
    <w:rsid w:val="005056F5"/>
    <w:rsid w:val="00505815"/>
    <w:rsid w:val="00505AA4"/>
    <w:rsid w:val="00505C8C"/>
    <w:rsid w:val="005065D7"/>
    <w:rsid w:val="00506DB8"/>
    <w:rsid w:val="005074C1"/>
    <w:rsid w:val="0050765E"/>
    <w:rsid w:val="005077EE"/>
    <w:rsid w:val="00510038"/>
    <w:rsid w:val="0051026C"/>
    <w:rsid w:val="005102C7"/>
    <w:rsid w:val="005109FE"/>
    <w:rsid w:val="00510E46"/>
    <w:rsid w:val="0051140A"/>
    <w:rsid w:val="00511582"/>
    <w:rsid w:val="00511589"/>
    <w:rsid w:val="005115AE"/>
    <w:rsid w:val="00511673"/>
    <w:rsid w:val="00511B07"/>
    <w:rsid w:val="00511B1A"/>
    <w:rsid w:val="00511FD7"/>
    <w:rsid w:val="00512A3D"/>
    <w:rsid w:val="00512C3B"/>
    <w:rsid w:val="005131A4"/>
    <w:rsid w:val="00513750"/>
    <w:rsid w:val="00514031"/>
    <w:rsid w:val="0051455C"/>
    <w:rsid w:val="00514D5E"/>
    <w:rsid w:val="00514F44"/>
    <w:rsid w:val="00515614"/>
    <w:rsid w:val="00515EDB"/>
    <w:rsid w:val="00516103"/>
    <w:rsid w:val="005162BC"/>
    <w:rsid w:val="00516FBB"/>
    <w:rsid w:val="005173CB"/>
    <w:rsid w:val="00517BC5"/>
    <w:rsid w:val="0052097A"/>
    <w:rsid w:val="00521363"/>
    <w:rsid w:val="00521AEA"/>
    <w:rsid w:val="00522B90"/>
    <w:rsid w:val="00523067"/>
    <w:rsid w:val="005233B2"/>
    <w:rsid w:val="005234AB"/>
    <w:rsid w:val="00523732"/>
    <w:rsid w:val="0052394A"/>
    <w:rsid w:val="005239AE"/>
    <w:rsid w:val="00523B2B"/>
    <w:rsid w:val="00523BA0"/>
    <w:rsid w:val="005240F9"/>
    <w:rsid w:val="005244AC"/>
    <w:rsid w:val="005247AB"/>
    <w:rsid w:val="00524857"/>
    <w:rsid w:val="00524C7C"/>
    <w:rsid w:val="00524CB1"/>
    <w:rsid w:val="00524E60"/>
    <w:rsid w:val="00524EFC"/>
    <w:rsid w:val="00525C59"/>
    <w:rsid w:val="00525EF0"/>
    <w:rsid w:val="005261E7"/>
    <w:rsid w:val="005263F8"/>
    <w:rsid w:val="00526B67"/>
    <w:rsid w:val="00526C4D"/>
    <w:rsid w:val="00526F6C"/>
    <w:rsid w:val="00527337"/>
    <w:rsid w:val="00527403"/>
    <w:rsid w:val="005274E4"/>
    <w:rsid w:val="00527632"/>
    <w:rsid w:val="00527CD3"/>
    <w:rsid w:val="00527D82"/>
    <w:rsid w:val="00527DD6"/>
    <w:rsid w:val="00527DE4"/>
    <w:rsid w:val="005302D2"/>
    <w:rsid w:val="00530745"/>
    <w:rsid w:val="005307E7"/>
    <w:rsid w:val="00530A52"/>
    <w:rsid w:val="00530B42"/>
    <w:rsid w:val="00530E7B"/>
    <w:rsid w:val="005310D9"/>
    <w:rsid w:val="00531F51"/>
    <w:rsid w:val="005324FF"/>
    <w:rsid w:val="005338BA"/>
    <w:rsid w:val="00533EEC"/>
    <w:rsid w:val="005349EB"/>
    <w:rsid w:val="00535762"/>
    <w:rsid w:val="00536176"/>
    <w:rsid w:val="005362D0"/>
    <w:rsid w:val="00536C1F"/>
    <w:rsid w:val="00537AD9"/>
    <w:rsid w:val="00537DBA"/>
    <w:rsid w:val="0054001E"/>
    <w:rsid w:val="005401F9"/>
    <w:rsid w:val="005402F6"/>
    <w:rsid w:val="00540759"/>
    <w:rsid w:val="00541103"/>
    <w:rsid w:val="0054173C"/>
    <w:rsid w:val="00542013"/>
    <w:rsid w:val="00542091"/>
    <w:rsid w:val="00542A4E"/>
    <w:rsid w:val="00542FFC"/>
    <w:rsid w:val="005437B9"/>
    <w:rsid w:val="00543C3A"/>
    <w:rsid w:val="005441B0"/>
    <w:rsid w:val="00544322"/>
    <w:rsid w:val="0054447B"/>
    <w:rsid w:val="005446ED"/>
    <w:rsid w:val="00544C1A"/>
    <w:rsid w:val="00544CDC"/>
    <w:rsid w:val="005450CF"/>
    <w:rsid w:val="00545491"/>
    <w:rsid w:val="005455F9"/>
    <w:rsid w:val="005456A3"/>
    <w:rsid w:val="00545A0D"/>
    <w:rsid w:val="00545EC1"/>
    <w:rsid w:val="00546368"/>
    <w:rsid w:val="005468BA"/>
    <w:rsid w:val="005469DC"/>
    <w:rsid w:val="00546DA1"/>
    <w:rsid w:val="00546ED2"/>
    <w:rsid w:val="00547024"/>
    <w:rsid w:val="00550046"/>
    <w:rsid w:val="00550C4E"/>
    <w:rsid w:val="005516B7"/>
    <w:rsid w:val="0055210B"/>
    <w:rsid w:val="005522A2"/>
    <w:rsid w:val="0055255B"/>
    <w:rsid w:val="005526C7"/>
    <w:rsid w:val="00552A44"/>
    <w:rsid w:val="00553094"/>
    <w:rsid w:val="005531D1"/>
    <w:rsid w:val="00553497"/>
    <w:rsid w:val="005534B3"/>
    <w:rsid w:val="00553765"/>
    <w:rsid w:val="00553FF2"/>
    <w:rsid w:val="005550EB"/>
    <w:rsid w:val="005554BD"/>
    <w:rsid w:val="005559D5"/>
    <w:rsid w:val="00555BAE"/>
    <w:rsid w:val="00555CC4"/>
    <w:rsid w:val="00555F21"/>
    <w:rsid w:val="0055604D"/>
    <w:rsid w:val="0055766F"/>
    <w:rsid w:val="00557C26"/>
    <w:rsid w:val="00560268"/>
    <w:rsid w:val="005603C6"/>
    <w:rsid w:val="0056043F"/>
    <w:rsid w:val="00560AF3"/>
    <w:rsid w:val="005613A0"/>
    <w:rsid w:val="00561737"/>
    <w:rsid w:val="00561C7E"/>
    <w:rsid w:val="00562969"/>
    <w:rsid w:val="00563135"/>
    <w:rsid w:val="00564352"/>
    <w:rsid w:val="00564A4B"/>
    <w:rsid w:val="00564BD6"/>
    <w:rsid w:val="00564C34"/>
    <w:rsid w:val="00565024"/>
    <w:rsid w:val="0056525E"/>
    <w:rsid w:val="005652BE"/>
    <w:rsid w:val="0056588C"/>
    <w:rsid w:val="00565DC9"/>
    <w:rsid w:val="005660ED"/>
    <w:rsid w:val="00566285"/>
    <w:rsid w:val="00566529"/>
    <w:rsid w:val="00566858"/>
    <w:rsid w:val="00566A2F"/>
    <w:rsid w:val="00566BF6"/>
    <w:rsid w:val="00566CF2"/>
    <w:rsid w:val="00567005"/>
    <w:rsid w:val="00567A61"/>
    <w:rsid w:val="00567E5C"/>
    <w:rsid w:val="00570294"/>
    <w:rsid w:val="00570A2E"/>
    <w:rsid w:val="00570D71"/>
    <w:rsid w:val="005710A6"/>
    <w:rsid w:val="005712D3"/>
    <w:rsid w:val="005715CF"/>
    <w:rsid w:val="00571B69"/>
    <w:rsid w:val="00571F14"/>
    <w:rsid w:val="005722DF"/>
    <w:rsid w:val="00572CCF"/>
    <w:rsid w:val="00572CED"/>
    <w:rsid w:val="00572CF4"/>
    <w:rsid w:val="00573118"/>
    <w:rsid w:val="00573287"/>
    <w:rsid w:val="005733FE"/>
    <w:rsid w:val="00573B47"/>
    <w:rsid w:val="0057404C"/>
    <w:rsid w:val="005744F6"/>
    <w:rsid w:val="00574FCF"/>
    <w:rsid w:val="00575454"/>
    <w:rsid w:val="005755EF"/>
    <w:rsid w:val="00575889"/>
    <w:rsid w:val="00575A19"/>
    <w:rsid w:val="00575CD7"/>
    <w:rsid w:val="00576299"/>
    <w:rsid w:val="00576878"/>
    <w:rsid w:val="00576DF1"/>
    <w:rsid w:val="0057797B"/>
    <w:rsid w:val="00577A67"/>
    <w:rsid w:val="00577BA6"/>
    <w:rsid w:val="00580A09"/>
    <w:rsid w:val="00580ECD"/>
    <w:rsid w:val="00581AB6"/>
    <w:rsid w:val="00581E96"/>
    <w:rsid w:val="00581FB3"/>
    <w:rsid w:val="00582563"/>
    <w:rsid w:val="00582F40"/>
    <w:rsid w:val="005836CA"/>
    <w:rsid w:val="005839B5"/>
    <w:rsid w:val="00583C9B"/>
    <w:rsid w:val="00583D84"/>
    <w:rsid w:val="00584690"/>
    <w:rsid w:val="005848B3"/>
    <w:rsid w:val="00584B7A"/>
    <w:rsid w:val="0058501F"/>
    <w:rsid w:val="00585134"/>
    <w:rsid w:val="00585D44"/>
    <w:rsid w:val="00585E2D"/>
    <w:rsid w:val="005862FC"/>
    <w:rsid w:val="00586E33"/>
    <w:rsid w:val="00587331"/>
    <w:rsid w:val="005879DC"/>
    <w:rsid w:val="005902C6"/>
    <w:rsid w:val="00590382"/>
    <w:rsid w:val="005907A2"/>
    <w:rsid w:val="005916AC"/>
    <w:rsid w:val="00591B1D"/>
    <w:rsid w:val="00591C8D"/>
    <w:rsid w:val="00591E68"/>
    <w:rsid w:val="005920AD"/>
    <w:rsid w:val="00592E1E"/>
    <w:rsid w:val="00592F39"/>
    <w:rsid w:val="005930E3"/>
    <w:rsid w:val="00593F6B"/>
    <w:rsid w:val="0059400F"/>
    <w:rsid w:val="0059443E"/>
    <w:rsid w:val="00594A88"/>
    <w:rsid w:val="00594B7B"/>
    <w:rsid w:val="00594BCD"/>
    <w:rsid w:val="00594BEF"/>
    <w:rsid w:val="00595240"/>
    <w:rsid w:val="0059532D"/>
    <w:rsid w:val="005959C6"/>
    <w:rsid w:val="00595E45"/>
    <w:rsid w:val="0059640C"/>
    <w:rsid w:val="00596B35"/>
    <w:rsid w:val="00597285"/>
    <w:rsid w:val="00597A9B"/>
    <w:rsid w:val="00597AAF"/>
    <w:rsid w:val="005A01F2"/>
    <w:rsid w:val="005A048E"/>
    <w:rsid w:val="005A0691"/>
    <w:rsid w:val="005A0807"/>
    <w:rsid w:val="005A0D10"/>
    <w:rsid w:val="005A0E5D"/>
    <w:rsid w:val="005A0E7B"/>
    <w:rsid w:val="005A10F2"/>
    <w:rsid w:val="005A1165"/>
    <w:rsid w:val="005A14E2"/>
    <w:rsid w:val="005A15F1"/>
    <w:rsid w:val="005A1699"/>
    <w:rsid w:val="005A1884"/>
    <w:rsid w:val="005A1AE7"/>
    <w:rsid w:val="005A1DFD"/>
    <w:rsid w:val="005A2983"/>
    <w:rsid w:val="005A29FB"/>
    <w:rsid w:val="005A2A96"/>
    <w:rsid w:val="005A2D73"/>
    <w:rsid w:val="005A363D"/>
    <w:rsid w:val="005A40AA"/>
    <w:rsid w:val="005A4664"/>
    <w:rsid w:val="005A4C4E"/>
    <w:rsid w:val="005A513D"/>
    <w:rsid w:val="005A5204"/>
    <w:rsid w:val="005A57BC"/>
    <w:rsid w:val="005A5BA5"/>
    <w:rsid w:val="005A5E63"/>
    <w:rsid w:val="005A5FD4"/>
    <w:rsid w:val="005A7292"/>
    <w:rsid w:val="005A7478"/>
    <w:rsid w:val="005A790B"/>
    <w:rsid w:val="005A7D5B"/>
    <w:rsid w:val="005B07F5"/>
    <w:rsid w:val="005B0D26"/>
    <w:rsid w:val="005B1306"/>
    <w:rsid w:val="005B15E6"/>
    <w:rsid w:val="005B1CC5"/>
    <w:rsid w:val="005B216F"/>
    <w:rsid w:val="005B2634"/>
    <w:rsid w:val="005B29C8"/>
    <w:rsid w:val="005B2A0B"/>
    <w:rsid w:val="005B31CB"/>
    <w:rsid w:val="005B39E5"/>
    <w:rsid w:val="005B39EA"/>
    <w:rsid w:val="005B3ED7"/>
    <w:rsid w:val="005B4316"/>
    <w:rsid w:val="005B4635"/>
    <w:rsid w:val="005B46BE"/>
    <w:rsid w:val="005B4832"/>
    <w:rsid w:val="005B4A10"/>
    <w:rsid w:val="005B4A60"/>
    <w:rsid w:val="005B4A84"/>
    <w:rsid w:val="005B5393"/>
    <w:rsid w:val="005B59FB"/>
    <w:rsid w:val="005B5AA3"/>
    <w:rsid w:val="005B5C68"/>
    <w:rsid w:val="005B6639"/>
    <w:rsid w:val="005B6E9F"/>
    <w:rsid w:val="005B72B2"/>
    <w:rsid w:val="005B756D"/>
    <w:rsid w:val="005B7678"/>
    <w:rsid w:val="005B78D6"/>
    <w:rsid w:val="005B7DCC"/>
    <w:rsid w:val="005B7FBA"/>
    <w:rsid w:val="005C0493"/>
    <w:rsid w:val="005C05AE"/>
    <w:rsid w:val="005C1268"/>
    <w:rsid w:val="005C1427"/>
    <w:rsid w:val="005C1567"/>
    <w:rsid w:val="005C166D"/>
    <w:rsid w:val="005C182F"/>
    <w:rsid w:val="005C1D0E"/>
    <w:rsid w:val="005C1E75"/>
    <w:rsid w:val="005C2A11"/>
    <w:rsid w:val="005C30E9"/>
    <w:rsid w:val="005C372E"/>
    <w:rsid w:val="005C3B8C"/>
    <w:rsid w:val="005C3E34"/>
    <w:rsid w:val="005C4259"/>
    <w:rsid w:val="005C43BB"/>
    <w:rsid w:val="005C4E06"/>
    <w:rsid w:val="005C533A"/>
    <w:rsid w:val="005C5684"/>
    <w:rsid w:val="005C5C16"/>
    <w:rsid w:val="005C5CE1"/>
    <w:rsid w:val="005C5F39"/>
    <w:rsid w:val="005C62FF"/>
    <w:rsid w:val="005C641B"/>
    <w:rsid w:val="005C65BA"/>
    <w:rsid w:val="005C69DF"/>
    <w:rsid w:val="005C6A8A"/>
    <w:rsid w:val="005C6CF9"/>
    <w:rsid w:val="005C718E"/>
    <w:rsid w:val="005C7B7C"/>
    <w:rsid w:val="005C7C4F"/>
    <w:rsid w:val="005C7CA4"/>
    <w:rsid w:val="005D0A64"/>
    <w:rsid w:val="005D0B0A"/>
    <w:rsid w:val="005D0BE6"/>
    <w:rsid w:val="005D1198"/>
    <w:rsid w:val="005D12FC"/>
    <w:rsid w:val="005D1876"/>
    <w:rsid w:val="005D18C7"/>
    <w:rsid w:val="005D19C9"/>
    <w:rsid w:val="005D237D"/>
    <w:rsid w:val="005D308D"/>
    <w:rsid w:val="005D35BE"/>
    <w:rsid w:val="005D40DC"/>
    <w:rsid w:val="005D46D3"/>
    <w:rsid w:val="005D5154"/>
    <w:rsid w:val="005D5353"/>
    <w:rsid w:val="005D5477"/>
    <w:rsid w:val="005D5BAC"/>
    <w:rsid w:val="005D5C72"/>
    <w:rsid w:val="005D5DBD"/>
    <w:rsid w:val="005D5E98"/>
    <w:rsid w:val="005D5F0B"/>
    <w:rsid w:val="005D6BE2"/>
    <w:rsid w:val="005D6D1C"/>
    <w:rsid w:val="005D6DDA"/>
    <w:rsid w:val="005D72A7"/>
    <w:rsid w:val="005E05E5"/>
    <w:rsid w:val="005E065C"/>
    <w:rsid w:val="005E0A23"/>
    <w:rsid w:val="005E0C53"/>
    <w:rsid w:val="005E118B"/>
    <w:rsid w:val="005E1721"/>
    <w:rsid w:val="005E1FD9"/>
    <w:rsid w:val="005E2060"/>
    <w:rsid w:val="005E245A"/>
    <w:rsid w:val="005E25D0"/>
    <w:rsid w:val="005E2631"/>
    <w:rsid w:val="005E2815"/>
    <w:rsid w:val="005E2D40"/>
    <w:rsid w:val="005E2F81"/>
    <w:rsid w:val="005E3D13"/>
    <w:rsid w:val="005E3DA9"/>
    <w:rsid w:val="005E40B4"/>
    <w:rsid w:val="005E4467"/>
    <w:rsid w:val="005E49CA"/>
    <w:rsid w:val="005E4DC1"/>
    <w:rsid w:val="005E4E7D"/>
    <w:rsid w:val="005E506B"/>
    <w:rsid w:val="005E5306"/>
    <w:rsid w:val="005E541B"/>
    <w:rsid w:val="005E554A"/>
    <w:rsid w:val="005E5B16"/>
    <w:rsid w:val="005E5B38"/>
    <w:rsid w:val="005E5F52"/>
    <w:rsid w:val="005E6311"/>
    <w:rsid w:val="005E65D7"/>
    <w:rsid w:val="005E677E"/>
    <w:rsid w:val="005E6895"/>
    <w:rsid w:val="005E767B"/>
    <w:rsid w:val="005E7A15"/>
    <w:rsid w:val="005E7BF0"/>
    <w:rsid w:val="005E7DEA"/>
    <w:rsid w:val="005F0258"/>
    <w:rsid w:val="005F0433"/>
    <w:rsid w:val="005F0451"/>
    <w:rsid w:val="005F080A"/>
    <w:rsid w:val="005F0DE1"/>
    <w:rsid w:val="005F1108"/>
    <w:rsid w:val="005F1335"/>
    <w:rsid w:val="005F18CA"/>
    <w:rsid w:val="005F1C52"/>
    <w:rsid w:val="005F1FE2"/>
    <w:rsid w:val="005F21AE"/>
    <w:rsid w:val="005F2254"/>
    <w:rsid w:val="005F2BBD"/>
    <w:rsid w:val="005F3248"/>
    <w:rsid w:val="005F34F3"/>
    <w:rsid w:val="005F35D9"/>
    <w:rsid w:val="005F4211"/>
    <w:rsid w:val="005F4382"/>
    <w:rsid w:val="005F46E7"/>
    <w:rsid w:val="005F4775"/>
    <w:rsid w:val="005F4ED7"/>
    <w:rsid w:val="005F512C"/>
    <w:rsid w:val="005F5152"/>
    <w:rsid w:val="005F5A56"/>
    <w:rsid w:val="005F60DE"/>
    <w:rsid w:val="005F6D95"/>
    <w:rsid w:val="005F70BD"/>
    <w:rsid w:val="005F738C"/>
    <w:rsid w:val="005F7850"/>
    <w:rsid w:val="005F7A86"/>
    <w:rsid w:val="00600FAB"/>
    <w:rsid w:val="00601370"/>
    <w:rsid w:val="0060146C"/>
    <w:rsid w:val="00601524"/>
    <w:rsid w:val="00601701"/>
    <w:rsid w:val="00601B9A"/>
    <w:rsid w:val="006020C5"/>
    <w:rsid w:val="006026B1"/>
    <w:rsid w:val="00603097"/>
    <w:rsid w:val="00603342"/>
    <w:rsid w:val="006042A2"/>
    <w:rsid w:val="00604A86"/>
    <w:rsid w:val="00604A88"/>
    <w:rsid w:val="00604BC2"/>
    <w:rsid w:val="00604ED1"/>
    <w:rsid w:val="006054DF"/>
    <w:rsid w:val="00605715"/>
    <w:rsid w:val="00605A14"/>
    <w:rsid w:val="0060614A"/>
    <w:rsid w:val="006065FA"/>
    <w:rsid w:val="00606AEA"/>
    <w:rsid w:val="00606AF9"/>
    <w:rsid w:val="00606D99"/>
    <w:rsid w:val="006070D1"/>
    <w:rsid w:val="006077D9"/>
    <w:rsid w:val="006103F2"/>
    <w:rsid w:val="006105D3"/>
    <w:rsid w:val="0061063D"/>
    <w:rsid w:val="00610646"/>
    <w:rsid w:val="00610CE8"/>
    <w:rsid w:val="00610DA4"/>
    <w:rsid w:val="00611099"/>
    <w:rsid w:val="00611BBE"/>
    <w:rsid w:val="00611EA9"/>
    <w:rsid w:val="0061242A"/>
    <w:rsid w:val="006124EF"/>
    <w:rsid w:val="00612788"/>
    <w:rsid w:val="0061331C"/>
    <w:rsid w:val="00613DDE"/>
    <w:rsid w:val="00614115"/>
    <w:rsid w:val="0061414B"/>
    <w:rsid w:val="00614306"/>
    <w:rsid w:val="0061451E"/>
    <w:rsid w:val="006148DB"/>
    <w:rsid w:val="0061565F"/>
    <w:rsid w:val="006157E3"/>
    <w:rsid w:val="0061590B"/>
    <w:rsid w:val="00615A65"/>
    <w:rsid w:val="0061606D"/>
    <w:rsid w:val="00616A88"/>
    <w:rsid w:val="00616E41"/>
    <w:rsid w:val="0061715D"/>
    <w:rsid w:val="00617330"/>
    <w:rsid w:val="00617B26"/>
    <w:rsid w:val="00617F64"/>
    <w:rsid w:val="0062056B"/>
    <w:rsid w:val="0062146F"/>
    <w:rsid w:val="00621AAE"/>
    <w:rsid w:val="00621E4F"/>
    <w:rsid w:val="00622355"/>
    <w:rsid w:val="0062243B"/>
    <w:rsid w:val="0062271A"/>
    <w:rsid w:val="006229A1"/>
    <w:rsid w:val="006232CA"/>
    <w:rsid w:val="00623536"/>
    <w:rsid w:val="00623FD1"/>
    <w:rsid w:val="00623FD3"/>
    <w:rsid w:val="00623FEB"/>
    <w:rsid w:val="00624223"/>
    <w:rsid w:val="00624674"/>
    <w:rsid w:val="00624A5B"/>
    <w:rsid w:val="00624B08"/>
    <w:rsid w:val="00624E98"/>
    <w:rsid w:val="00625556"/>
    <w:rsid w:val="00625AF4"/>
    <w:rsid w:val="00625C99"/>
    <w:rsid w:val="0062636F"/>
    <w:rsid w:val="00626D61"/>
    <w:rsid w:val="0062710A"/>
    <w:rsid w:val="006276D0"/>
    <w:rsid w:val="00627773"/>
    <w:rsid w:val="006279DE"/>
    <w:rsid w:val="00627F96"/>
    <w:rsid w:val="006301C7"/>
    <w:rsid w:val="006303BF"/>
    <w:rsid w:val="00630519"/>
    <w:rsid w:val="0063121A"/>
    <w:rsid w:val="00631414"/>
    <w:rsid w:val="006315E7"/>
    <w:rsid w:val="0063230A"/>
    <w:rsid w:val="0063241C"/>
    <w:rsid w:val="00632591"/>
    <w:rsid w:val="0063266C"/>
    <w:rsid w:val="00632CA7"/>
    <w:rsid w:val="0063307C"/>
    <w:rsid w:val="006331DF"/>
    <w:rsid w:val="0063321D"/>
    <w:rsid w:val="006332EE"/>
    <w:rsid w:val="0063343E"/>
    <w:rsid w:val="0063449E"/>
    <w:rsid w:val="00634562"/>
    <w:rsid w:val="006346F8"/>
    <w:rsid w:val="00634CB6"/>
    <w:rsid w:val="00634DBC"/>
    <w:rsid w:val="0063519A"/>
    <w:rsid w:val="006357AD"/>
    <w:rsid w:val="00635AD3"/>
    <w:rsid w:val="00635AEC"/>
    <w:rsid w:val="0063695A"/>
    <w:rsid w:val="00636A8E"/>
    <w:rsid w:val="00636ACC"/>
    <w:rsid w:val="00636B7A"/>
    <w:rsid w:val="006379EF"/>
    <w:rsid w:val="00640262"/>
    <w:rsid w:val="00640703"/>
    <w:rsid w:val="00641036"/>
    <w:rsid w:val="006410D4"/>
    <w:rsid w:val="00641101"/>
    <w:rsid w:val="00641359"/>
    <w:rsid w:val="00641365"/>
    <w:rsid w:val="00641370"/>
    <w:rsid w:val="0064157F"/>
    <w:rsid w:val="00642172"/>
    <w:rsid w:val="00642400"/>
    <w:rsid w:val="0064255E"/>
    <w:rsid w:val="006426C8"/>
    <w:rsid w:val="00642AAF"/>
    <w:rsid w:val="006433C5"/>
    <w:rsid w:val="00643CF6"/>
    <w:rsid w:val="00643D2E"/>
    <w:rsid w:val="00643DE1"/>
    <w:rsid w:val="00643DE6"/>
    <w:rsid w:val="00644415"/>
    <w:rsid w:val="006444B8"/>
    <w:rsid w:val="00644A55"/>
    <w:rsid w:val="006453F7"/>
    <w:rsid w:val="00645C58"/>
    <w:rsid w:val="006463A6"/>
    <w:rsid w:val="006469C9"/>
    <w:rsid w:val="00647147"/>
    <w:rsid w:val="0064739A"/>
    <w:rsid w:val="00647D51"/>
    <w:rsid w:val="006500F6"/>
    <w:rsid w:val="00650436"/>
    <w:rsid w:val="006505E8"/>
    <w:rsid w:val="00650729"/>
    <w:rsid w:val="00650871"/>
    <w:rsid w:val="00650AD4"/>
    <w:rsid w:val="006510BF"/>
    <w:rsid w:val="006510D1"/>
    <w:rsid w:val="00651176"/>
    <w:rsid w:val="0065143B"/>
    <w:rsid w:val="006515DC"/>
    <w:rsid w:val="00651649"/>
    <w:rsid w:val="006518AC"/>
    <w:rsid w:val="00651D5E"/>
    <w:rsid w:val="006524FA"/>
    <w:rsid w:val="00652785"/>
    <w:rsid w:val="006529D3"/>
    <w:rsid w:val="00652B24"/>
    <w:rsid w:val="00652B8B"/>
    <w:rsid w:val="00652F1C"/>
    <w:rsid w:val="00652F4B"/>
    <w:rsid w:val="00652FA5"/>
    <w:rsid w:val="006531FB"/>
    <w:rsid w:val="00653BBB"/>
    <w:rsid w:val="00653E08"/>
    <w:rsid w:val="006541A2"/>
    <w:rsid w:val="0065484F"/>
    <w:rsid w:val="00654FCF"/>
    <w:rsid w:val="00655236"/>
    <w:rsid w:val="006553C9"/>
    <w:rsid w:val="006556B5"/>
    <w:rsid w:val="00655DB3"/>
    <w:rsid w:val="0065621A"/>
    <w:rsid w:val="00656229"/>
    <w:rsid w:val="0065639B"/>
    <w:rsid w:val="00656AFC"/>
    <w:rsid w:val="0065780D"/>
    <w:rsid w:val="00657EA9"/>
    <w:rsid w:val="0066003A"/>
    <w:rsid w:val="00660235"/>
    <w:rsid w:val="00660638"/>
    <w:rsid w:val="0066085A"/>
    <w:rsid w:val="00660984"/>
    <w:rsid w:val="00660B6E"/>
    <w:rsid w:val="00660BA0"/>
    <w:rsid w:val="00660F9F"/>
    <w:rsid w:val="006610DD"/>
    <w:rsid w:val="006610FD"/>
    <w:rsid w:val="00661116"/>
    <w:rsid w:val="00661382"/>
    <w:rsid w:val="00661757"/>
    <w:rsid w:val="00661E41"/>
    <w:rsid w:val="00661E8B"/>
    <w:rsid w:val="006621DB"/>
    <w:rsid w:val="006624FE"/>
    <w:rsid w:val="006626D8"/>
    <w:rsid w:val="00662956"/>
    <w:rsid w:val="00662DB1"/>
    <w:rsid w:val="00663060"/>
    <w:rsid w:val="00663F4C"/>
    <w:rsid w:val="006640D6"/>
    <w:rsid w:val="00664290"/>
    <w:rsid w:val="0066433F"/>
    <w:rsid w:val="00664568"/>
    <w:rsid w:val="00664ECC"/>
    <w:rsid w:val="00664FA3"/>
    <w:rsid w:val="00665EF8"/>
    <w:rsid w:val="006669DD"/>
    <w:rsid w:val="00666AA0"/>
    <w:rsid w:val="00666D62"/>
    <w:rsid w:val="00667241"/>
    <w:rsid w:val="0066737A"/>
    <w:rsid w:val="006674F2"/>
    <w:rsid w:val="00667ABD"/>
    <w:rsid w:val="00667D9D"/>
    <w:rsid w:val="00667F55"/>
    <w:rsid w:val="00670025"/>
    <w:rsid w:val="00670308"/>
    <w:rsid w:val="00670771"/>
    <w:rsid w:val="00670BFE"/>
    <w:rsid w:val="00670EAE"/>
    <w:rsid w:val="006711F7"/>
    <w:rsid w:val="00671FF8"/>
    <w:rsid w:val="00672D19"/>
    <w:rsid w:val="00673061"/>
    <w:rsid w:val="006730F8"/>
    <w:rsid w:val="00673104"/>
    <w:rsid w:val="0067328E"/>
    <w:rsid w:val="006733CC"/>
    <w:rsid w:val="006733D2"/>
    <w:rsid w:val="00674286"/>
    <w:rsid w:val="006742E0"/>
    <w:rsid w:val="00674B02"/>
    <w:rsid w:val="00675650"/>
    <w:rsid w:val="00675E41"/>
    <w:rsid w:val="00676562"/>
    <w:rsid w:val="006772B9"/>
    <w:rsid w:val="00677552"/>
    <w:rsid w:val="00677A00"/>
    <w:rsid w:val="00677A92"/>
    <w:rsid w:val="00677BBD"/>
    <w:rsid w:val="006804B6"/>
    <w:rsid w:val="006806E1"/>
    <w:rsid w:val="00680ECE"/>
    <w:rsid w:val="00681022"/>
    <w:rsid w:val="00681418"/>
    <w:rsid w:val="00681787"/>
    <w:rsid w:val="00681EFF"/>
    <w:rsid w:val="00681FDC"/>
    <w:rsid w:val="00682379"/>
    <w:rsid w:val="006823CB"/>
    <w:rsid w:val="0068277C"/>
    <w:rsid w:val="0068315B"/>
    <w:rsid w:val="00683AFE"/>
    <w:rsid w:val="0068459B"/>
    <w:rsid w:val="00684AA6"/>
    <w:rsid w:val="00685230"/>
    <w:rsid w:val="00685579"/>
    <w:rsid w:val="00686142"/>
    <w:rsid w:val="0068673B"/>
    <w:rsid w:val="00686A77"/>
    <w:rsid w:val="00686ABA"/>
    <w:rsid w:val="00686E60"/>
    <w:rsid w:val="0068758F"/>
    <w:rsid w:val="00687C45"/>
    <w:rsid w:val="00687F0E"/>
    <w:rsid w:val="00690572"/>
    <w:rsid w:val="00690B4E"/>
    <w:rsid w:val="00691604"/>
    <w:rsid w:val="0069175D"/>
    <w:rsid w:val="00691C7A"/>
    <w:rsid w:val="00691EA4"/>
    <w:rsid w:val="00692815"/>
    <w:rsid w:val="006928E4"/>
    <w:rsid w:val="00692B34"/>
    <w:rsid w:val="00692B55"/>
    <w:rsid w:val="006938EE"/>
    <w:rsid w:val="006944AF"/>
    <w:rsid w:val="006946EC"/>
    <w:rsid w:val="00694A4D"/>
    <w:rsid w:val="00695517"/>
    <w:rsid w:val="00695BA6"/>
    <w:rsid w:val="006962D6"/>
    <w:rsid w:val="00696B8E"/>
    <w:rsid w:val="00696EE3"/>
    <w:rsid w:val="00696F13"/>
    <w:rsid w:val="0069714C"/>
    <w:rsid w:val="00697301"/>
    <w:rsid w:val="0069767A"/>
    <w:rsid w:val="00697817"/>
    <w:rsid w:val="00697CAD"/>
    <w:rsid w:val="006A0136"/>
    <w:rsid w:val="006A01B6"/>
    <w:rsid w:val="006A0759"/>
    <w:rsid w:val="006A0F57"/>
    <w:rsid w:val="006A1094"/>
    <w:rsid w:val="006A1467"/>
    <w:rsid w:val="006A14DF"/>
    <w:rsid w:val="006A171E"/>
    <w:rsid w:val="006A1DE2"/>
    <w:rsid w:val="006A2A71"/>
    <w:rsid w:val="006A3080"/>
    <w:rsid w:val="006A3210"/>
    <w:rsid w:val="006A3495"/>
    <w:rsid w:val="006A35F0"/>
    <w:rsid w:val="006A3C3A"/>
    <w:rsid w:val="006A3C41"/>
    <w:rsid w:val="006A3F7D"/>
    <w:rsid w:val="006A411F"/>
    <w:rsid w:val="006A4207"/>
    <w:rsid w:val="006A4414"/>
    <w:rsid w:val="006A50ED"/>
    <w:rsid w:val="006A521F"/>
    <w:rsid w:val="006A5251"/>
    <w:rsid w:val="006A52E1"/>
    <w:rsid w:val="006A53EA"/>
    <w:rsid w:val="006A5521"/>
    <w:rsid w:val="006A60E5"/>
    <w:rsid w:val="006A6299"/>
    <w:rsid w:val="006A6724"/>
    <w:rsid w:val="006A6D44"/>
    <w:rsid w:val="006A7429"/>
    <w:rsid w:val="006A7774"/>
    <w:rsid w:val="006B0046"/>
    <w:rsid w:val="006B019D"/>
    <w:rsid w:val="006B03A0"/>
    <w:rsid w:val="006B1B23"/>
    <w:rsid w:val="006B1D33"/>
    <w:rsid w:val="006B27C2"/>
    <w:rsid w:val="006B2BAA"/>
    <w:rsid w:val="006B2D63"/>
    <w:rsid w:val="006B300C"/>
    <w:rsid w:val="006B3122"/>
    <w:rsid w:val="006B3232"/>
    <w:rsid w:val="006B360F"/>
    <w:rsid w:val="006B3EC2"/>
    <w:rsid w:val="006B426F"/>
    <w:rsid w:val="006B4D7E"/>
    <w:rsid w:val="006B504C"/>
    <w:rsid w:val="006B5475"/>
    <w:rsid w:val="006B56D5"/>
    <w:rsid w:val="006B61AF"/>
    <w:rsid w:val="006B6CBA"/>
    <w:rsid w:val="006B7387"/>
    <w:rsid w:val="006B787F"/>
    <w:rsid w:val="006B7D96"/>
    <w:rsid w:val="006C008E"/>
    <w:rsid w:val="006C00A1"/>
    <w:rsid w:val="006C0831"/>
    <w:rsid w:val="006C09AD"/>
    <w:rsid w:val="006C0FE6"/>
    <w:rsid w:val="006C171E"/>
    <w:rsid w:val="006C17A4"/>
    <w:rsid w:val="006C1D6C"/>
    <w:rsid w:val="006C1D84"/>
    <w:rsid w:val="006C235F"/>
    <w:rsid w:val="006C2790"/>
    <w:rsid w:val="006C2867"/>
    <w:rsid w:val="006C28EC"/>
    <w:rsid w:val="006C4489"/>
    <w:rsid w:val="006C47AC"/>
    <w:rsid w:val="006C48A6"/>
    <w:rsid w:val="006C49E0"/>
    <w:rsid w:val="006C4A33"/>
    <w:rsid w:val="006C4E54"/>
    <w:rsid w:val="006C525C"/>
    <w:rsid w:val="006C52E2"/>
    <w:rsid w:val="006C530A"/>
    <w:rsid w:val="006C598A"/>
    <w:rsid w:val="006C5AFE"/>
    <w:rsid w:val="006C5B5D"/>
    <w:rsid w:val="006C5EC7"/>
    <w:rsid w:val="006C5EFC"/>
    <w:rsid w:val="006C5F2B"/>
    <w:rsid w:val="006C623D"/>
    <w:rsid w:val="006C6486"/>
    <w:rsid w:val="006C65E0"/>
    <w:rsid w:val="006C67B3"/>
    <w:rsid w:val="006C783D"/>
    <w:rsid w:val="006C796A"/>
    <w:rsid w:val="006C79E4"/>
    <w:rsid w:val="006C7C00"/>
    <w:rsid w:val="006C7C27"/>
    <w:rsid w:val="006C7CCD"/>
    <w:rsid w:val="006D01DC"/>
    <w:rsid w:val="006D0306"/>
    <w:rsid w:val="006D03AD"/>
    <w:rsid w:val="006D0518"/>
    <w:rsid w:val="006D062A"/>
    <w:rsid w:val="006D088B"/>
    <w:rsid w:val="006D09A6"/>
    <w:rsid w:val="006D12EE"/>
    <w:rsid w:val="006D178C"/>
    <w:rsid w:val="006D1B10"/>
    <w:rsid w:val="006D1E58"/>
    <w:rsid w:val="006D28B4"/>
    <w:rsid w:val="006D2A64"/>
    <w:rsid w:val="006D2C7B"/>
    <w:rsid w:val="006D2DA6"/>
    <w:rsid w:val="006D2EFC"/>
    <w:rsid w:val="006D30F1"/>
    <w:rsid w:val="006D3858"/>
    <w:rsid w:val="006D3A9C"/>
    <w:rsid w:val="006D45A3"/>
    <w:rsid w:val="006D499D"/>
    <w:rsid w:val="006D4E2A"/>
    <w:rsid w:val="006D5275"/>
    <w:rsid w:val="006D53E0"/>
    <w:rsid w:val="006D561A"/>
    <w:rsid w:val="006D56FD"/>
    <w:rsid w:val="006D5D19"/>
    <w:rsid w:val="006D5D1C"/>
    <w:rsid w:val="006D5DD6"/>
    <w:rsid w:val="006D66C4"/>
    <w:rsid w:val="006D676D"/>
    <w:rsid w:val="006D6784"/>
    <w:rsid w:val="006D693D"/>
    <w:rsid w:val="006D69AD"/>
    <w:rsid w:val="006D7246"/>
    <w:rsid w:val="006D7334"/>
    <w:rsid w:val="006E01D7"/>
    <w:rsid w:val="006E0582"/>
    <w:rsid w:val="006E0803"/>
    <w:rsid w:val="006E0881"/>
    <w:rsid w:val="006E0EF8"/>
    <w:rsid w:val="006E1061"/>
    <w:rsid w:val="006E11ED"/>
    <w:rsid w:val="006E16EB"/>
    <w:rsid w:val="006E26BF"/>
    <w:rsid w:val="006E366C"/>
    <w:rsid w:val="006E3DFB"/>
    <w:rsid w:val="006E3E6D"/>
    <w:rsid w:val="006E3EA5"/>
    <w:rsid w:val="006E3F65"/>
    <w:rsid w:val="006E4416"/>
    <w:rsid w:val="006E44C5"/>
    <w:rsid w:val="006E47C6"/>
    <w:rsid w:val="006E4AF8"/>
    <w:rsid w:val="006E4EA4"/>
    <w:rsid w:val="006E51B5"/>
    <w:rsid w:val="006E589B"/>
    <w:rsid w:val="006E60F1"/>
    <w:rsid w:val="006E645E"/>
    <w:rsid w:val="006E647C"/>
    <w:rsid w:val="006E6999"/>
    <w:rsid w:val="006E6F61"/>
    <w:rsid w:val="006E6F8E"/>
    <w:rsid w:val="006E771F"/>
    <w:rsid w:val="006E79B7"/>
    <w:rsid w:val="006E7D41"/>
    <w:rsid w:val="006F0492"/>
    <w:rsid w:val="006F07FC"/>
    <w:rsid w:val="006F096B"/>
    <w:rsid w:val="006F1884"/>
    <w:rsid w:val="006F1984"/>
    <w:rsid w:val="006F1A0E"/>
    <w:rsid w:val="006F1E80"/>
    <w:rsid w:val="006F2468"/>
    <w:rsid w:val="006F2D41"/>
    <w:rsid w:val="006F2DAB"/>
    <w:rsid w:val="006F2DFA"/>
    <w:rsid w:val="006F4130"/>
    <w:rsid w:val="006F4989"/>
    <w:rsid w:val="006F4A66"/>
    <w:rsid w:val="006F4AEF"/>
    <w:rsid w:val="006F4B84"/>
    <w:rsid w:val="006F580D"/>
    <w:rsid w:val="006F6665"/>
    <w:rsid w:val="006F6844"/>
    <w:rsid w:val="006F688C"/>
    <w:rsid w:val="006F6939"/>
    <w:rsid w:val="006F6C9A"/>
    <w:rsid w:val="006F7036"/>
    <w:rsid w:val="006F7393"/>
    <w:rsid w:val="006F76DF"/>
    <w:rsid w:val="006F76EA"/>
    <w:rsid w:val="006F78D9"/>
    <w:rsid w:val="006F7931"/>
    <w:rsid w:val="006F7D51"/>
    <w:rsid w:val="00700BCA"/>
    <w:rsid w:val="0070259B"/>
    <w:rsid w:val="00702F5B"/>
    <w:rsid w:val="00703018"/>
    <w:rsid w:val="00703321"/>
    <w:rsid w:val="007035BD"/>
    <w:rsid w:val="0070385C"/>
    <w:rsid w:val="00703AA2"/>
    <w:rsid w:val="00704DB9"/>
    <w:rsid w:val="00704DE4"/>
    <w:rsid w:val="007050B0"/>
    <w:rsid w:val="00705429"/>
    <w:rsid w:val="0070643D"/>
    <w:rsid w:val="007067BB"/>
    <w:rsid w:val="00706ADC"/>
    <w:rsid w:val="00707D37"/>
    <w:rsid w:val="00710296"/>
    <w:rsid w:val="00710E4A"/>
    <w:rsid w:val="00710FEC"/>
    <w:rsid w:val="0071175A"/>
    <w:rsid w:val="00711D71"/>
    <w:rsid w:val="0071227E"/>
    <w:rsid w:val="0071233A"/>
    <w:rsid w:val="00712B84"/>
    <w:rsid w:val="007134B2"/>
    <w:rsid w:val="0071353E"/>
    <w:rsid w:val="00713656"/>
    <w:rsid w:val="00713831"/>
    <w:rsid w:val="00713DCD"/>
    <w:rsid w:val="00714093"/>
    <w:rsid w:val="007141C4"/>
    <w:rsid w:val="007142E0"/>
    <w:rsid w:val="007145FB"/>
    <w:rsid w:val="00714B52"/>
    <w:rsid w:val="00714CDD"/>
    <w:rsid w:val="00715037"/>
    <w:rsid w:val="007153F7"/>
    <w:rsid w:val="0071624E"/>
    <w:rsid w:val="00716B03"/>
    <w:rsid w:val="00716B4F"/>
    <w:rsid w:val="007170DD"/>
    <w:rsid w:val="007173F4"/>
    <w:rsid w:val="00717414"/>
    <w:rsid w:val="00717447"/>
    <w:rsid w:val="0072069C"/>
    <w:rsid w:val="00720725"/>
    <w:rsid w:val="00721BA6"/>
    <w:rsid w:val="00722048"/>
    <w:rsid w:val="007221A2"/>
    <w:rsid w:val="0072244E"/>
    <w:rsid w:val="00722855"/>
    <w:rsid w:val="00722F51"/>
    <w:rsid w:val="0072314F"/>
    <w:rsid w:val="0072349A"/>
    <w:rsid w:val="007239F5"/>
    <w:rsid w:val="00723C1D"/>
    <w:rsid w:val="00724B02"/>
    <w:rsid w:val="00724F21"/>
    <w:rsid w:val="0072512D"/>
    <w:rsid w:val="00725CF6"/>
    <w:rsid w:val="00726A40"/>
    <w:rsid w:val="00726DAF"/>
    <w:rsid w:val="00726F88"/>
    <w:rsid w:val="007277EE"/>
    <w:rsid w:val="00727902"/>
    <w:rsid w:val="00727A4D"/>
    <w:rsid w:val="00727FA5"/>
    <w:rsid w:val="0073006E"/>
    <w:rsid w:val="0073012E"/>
    <w:rsid w:val="007308C6"/>
    <w:rsid w:val="007315EB"/>
    <w:rsid w:val="007319D8"/>
    <w:rsid w:val="00731FEE"/>
    <w:rsid w:val="007324F6"/>
    <w:rsid w:val="007327C6"/>
    <w:rsid w:val="00732A62"/>
    <w:rsid w:val="00732DC1"/>
    <w:rsid w:val="00732E82"/>
    <w:rsid w:val="007333C7"/>
    <w:rsid w:val="007336EB"/>
    <w:rsid w:val="00733CF8"/>
    <w:rsid w:val="0073407A"/>
    <w:rsid w:val="007340EC"/>
    <w:rsid w:val="00734D1F"/>
    <w:rsid w:val="00734FBA"/>
    <w:rsid w:val="00736687"/>
    <w:rsid w:val="007368AE"/>
    <w:rsid w:val="0073713B"/>
    <w:rsid w:val="00737893"/>
    <w:rsid w:val="00737A98"/>
    <w:rsid w:val="007400EF"/>
    <w:rsid w:val="007408CE"/>
    <w:rsid w:val="00740E25"/>
    <w:rsid w:val="00740FA3"/>
    <w:rsid w:val="00741A80"/>
    <w:rsid w:val="00741AC4"/>
    <w:rsid w:val="00741AE0"/>
    <w:rsid w:val="00741AF9"/>
    <w:rsid w:val="00741B22"/>
    <w:rsid w:val="00742AD0"/>
    <w:rsid w:val="00743288"/>
    <w:rsid w:val="007434DA"/>
    <w:rsid w:val="00743556"/>
    <w:rsid w:val="00743627"/>
    <w:rsid w:val="00743D03"/>
    <w:rsid w:val="00743E93"/>
    <w:rsid w:val="00744063"/>
    <w:rsid w:val="00744E3C"/>
    <w:rsid w:val="00745838"/>
    <w:rsid w:val="007459D5"/>
    <w:rsid w:val="00745EE5"/>
    <w:rsid w:val="0074638A"/>
    <w:rsid w:val="007477CA"/>
    <w:rsid w:val="00750021"/>
    <w:rsid w:val="007509AB"/>
    <w:rsid w:val="007510A7"/>
    <w:rsid w:val="00751216"/>
    <w:rsid w:val="00751A20"/>
    <w:rsid w:val="00751B1B"/>
    <w:rsid w:val="00751FA1"/>
    <w:rsid w:val="00752128"/>
    <w:rsid w:val="0075224B"/>
    <w:rsid w:val="00752821"/>
    <w:rsid w:val="00752F7E"/>
    <w:rsid w:val="00753104"/>
    <w:rsid w:val="00753FA0"/>
    <w:rsid w:val="007544F8"/>
    <w:rsid w:val="0075472C"/>
    <w:rsid w:val="00754920"/>
    <w:rsid w:val="00754DCC"/>
    <w:rsid w:val="00754E31"/>
    <w:rsid w:val="00754EAF"/>
    <w:rsid w:val="0075515A"/>
    <w:rsid w:val="007553FB"/>
    <w:rsid w:val="007558E9"/>
    <w:rsid w:val="00755E27"/>
    <w:rsid w:val="007565FC"/>
    <w:rsid w:val="00756F85"/>
    <w:rsid w:val="0075743E"/>
    <w:rsid w:val="0075772C"/>
    <w:rsid w:val="00757892"/>
    <w:rsid w:val="00760100"/>
    <w:rsid w:val="007604BE"/>
    <w:rsid w:val="007606C6"/>
    <w:rsid w:val="00760C96"/>
    <w:rsid w:val="00760E1B"/>
    <w:rsid w:val="00760F8E"/>
    <w:rsid w:val="0076137F"/>
    <w:rsid w:val="00761C44"/>
    <w:rsid w:val="00762773"/>
    <w:rsid w:val="007629B7"/>
    <w:rsid w:val="007629F7"/>
    <w:rsid w:val="00762A44"/>
    <w:rsid w:val="0076318C"/>
    <w:rsid w:val="00763F22"/>
    <w:rsid w:val="00764059"/>
    <w:rsid w:val="007640DF"/>
    <w:rsid w:val="00764128"/>
    <w:rsid w:val="00764486"/>
    <w:rsid w:val="00764510"/>
    <w:rsid w:val="007647D6"/>
    <w:rsid w:val="0076499A"/>
    <w:rsid w:val="00764D5C"/>
    <w:rsid w:val="00765074"/>
    <w:rsid w:val="00765C3C"/>
    <w:rsid w:val="00766136"/>
    <w:rsid w:val="00766324"/>
    <w:rsid w:val="00766995"/>
    <w:rsid w:val="00767466"/>
    <w:rsid w:val="00767670"/>
    <w:rsid w:val="0076777A"/>
    <w:rsid w:val="007678D9"/>
    <w:rsid w:val="00767B5C"/>
    <w:rsid w:val="00767B5D"/>
    <w:rsid w:val="00767C30"/>
    <w:rsid w:val="00767C90"/>
    <w:rsid w:val="00767EA2"/>
    <w:rsid w:val="00767ECF"/>
    <w:rsid w:val="007701B9"/>
    <w:rsid w:val="00770552"/>
    <w:rsid w:val="00770F24"/>
    <w:rsid w:val="00772124"/>
    <w:rsid w:val="0077227D"/>
    <w:rsid w:val="007723D5"/>
    <w:rsid w:val="007724E3"/>
    <w:rsid w:val="007725D7"/>
    <w:rsid w:val="00772681"/>
    <w:rsid w:val="0077273D"/>
    <w:rsid w:val="007727EF"/>
    <w:rsid w:val="0077289F"/>
    <w:rsid w:val="007728B6"/>
    <w:rsid w:val="00772DBC"/>
    <w:rsid w:val="00772ED1"/>
    <w:rsid w:val="007730DD"/>
    <w:rsid w:val="00773617"/>
    <w:rsid w:val="0077391D"/>
    <w:rsid w:val="0077398C"/>
    <w:rsid w:val="00773AE1"/>
    <w:rsid w:val="00773FC6"/>
    <w:rsid w:val="007743EB"/>
    <w:rsid w:val="0077456D"/>
    <w:rsid w:val="00774796"/>
    <w:rsid w:val="007757AE"/>
    <w:rsid w:val="0077598C"/>
    <w:rsid w:val="00775E58"/>
    <w:rsid w:val="0077602A"/>
    <w:rsid w:val="00776070"/>
    <w:rsid w:val="00776346"/>
    <w:rsid w:val="007763C8"/>
    <w:rsid w:val="00776476"/>
    <w:rsid w:val="0077652A"/>
    <w:rsid w:val="0077684E"/>
    <w:rsid w:val="007768E7"/>
    <w:rsid w:val="00777192"/>
    <w:rsid w:val="007779AF"/>
    <w:rsid w:val="00777A04"/>
    <w:rsid w:val="00777BE3"/>
    <w:rsid w:val="00777DF8"/>
    <w:rsid w:val="00780412"/>
    <w:rsid w:val="007805AC"/>
    <w:rsid w:val="007805CF"/>
    <w:rsid w:val="00780AEA"/>
    <w:rsid w:val="00780DA6"/>
    <w:rsid w:val="00780F79"/>
    <w:rsid w:val="00781860"/>
    <w:rsid w:val="007818CF"/>
    <w:rsid w:val="00781EC9"/>
    <w:rsid w:val="00782185"/>
    <w:rsid w:val="0078235C"/>
    <w:rsid w:val="00782755"/>
    <w:rsid w:val="00782B8E"/>
    <w:rsid w:val="00782D1C"/>
    <w:rsid w:val="007831D7"/>
    <w:rsid w:val="0078359E"/>
    <w:rsid w:val="00783715"/>
    <w:rsid w:val="00783871"/>
    <w:rsid w:val="00783EC3"/>
    <w:rsid w:val="0078414A"/>
    <w:rsid w:val="00784655"/>
    <w:rsid w:val="00784ABF"/>
    <w:rsid w:val="00785444"/>
    <w:rsid w:val="00785E42"/>
    <w:rsid w:val="00786A41"/>
    <w:rsid w:val="00786D61"/>
    <w:rsid w:val="00786FC8"/>
    <w:rsid w:val="00787241"/>
    <w:rsid w:val="00787760"/>
    <w:rsid w:val="007877A6"/>
    <w:rsid w:val="00787D2D"/>
    <w:rsid w:val="007902D4"/>
    <w:rsid w:val="0079090C"/>
    <w:rsid w:val="007909C8"/>
    <w:rsid w:val="00790D48"/>
    <w:rsid w:val="0079127F"/>
    <w:rsid w:val="00791CD9"/>
    <w:rsid w:val="00792190"/>
    <w:rsid w:val="007925A9"/>
    <w:rsid w:val="007925EE"/>
    <w:rsid w:val="00792AC0"/>
    <w:rsid w:val="00792BB5"/>
    <w:rsid w:val="00793410"/>
    <w:rsid w:val="007936F1"/>
    <w:rsid w:val="0079382D"/>
    <w:rsid w:val="007942B9"/>
    <w:rsid w:val="007951FF"/>
    <w:rsid w:val="00795315"/>
    <w:rsid w:val="007961A4"/>
    <w:rsid w:val="00796918"/>
    <w:rsid w:val="007969C5"/>
    <w:rsid w:val="00796B79"/>
    <w:rsid w:val="00796B7F"/>
    <w:rsid w:val="00796CAA"/>
    <w:rsid w:val="00796DBB"/>
    <w:rsid w:val="00797660"/>
    <w:rsid w:val="00797991"/>
    <w:rsid w:val="00797E2B"/>
    <w:rsid w:val="00797F1E"/>
    <w:rsid w:val="007A0208"/>
    <w:rsid w:val="007A029E"/>
    <w:rsid w:val="007A043A"/>
    <w:rsid w:val="007A06B0"/>
    <w:rsid w:val="007A0C6E"/>
    <w:rsid w:val="007A1345"/>
    <w:rsid w:val="007A152A"/>
    <w:rsid w:val="007A1845"/>
    <w:rsid w:val="007A1C42"/>
    <w:rsid w:val="007A1D5A"/>
    <w:rsid w:val="007A1F8C"/>
    <w:rsid w:val="007A1FD8"/>
    <w:rsid w:val="007A2A43"/>
    <w:rsid w:val="007A3000"/>
    <w:rsid w:val="007A30A8"/>
    <w:rsid w:val="007A37B1"/>
    <w:rsid w:val="007A3F47"/>
    <w:rsid w:val="007A3F4B"/>
    <w:rsid w:val="007A4296"/>
    <w:rsid w:val="007A4A38"/>
    <w:rsid w:val="007A4B86"/>
    <w:rsid w:val="007A5868"/>
    <w:rsid w:val="007A6960"/>
    <w:rsid w:val="007A72AC"/>
    <w:rsid w:val="007A778F"/>
    <w:rsid w:val="007A7BF5"/>
    <w:rsid w:val="007A7F93"/>
    <w:rsid w:val="007B00F0"/>
    <w:rsid w:val="007B0871"/>
    <w:rsid w:val="007B0B40"/>
    <w:rsid w:val="007B0F5C"/>
    <w:rsid w:val="007B0F99"/>
    <w:rsid w:val="007B120F"/>
    <w:rsid w:val="007B134D"/>
    <w:rsid w:val="007B1442"/>
    <w:rsid w:val="007B1A3C"/>
    <w:rsid w:val="007B1EA3"/>
    <w:rsid w:val="007B259D"/>
    <w:rsid w:val="007B2B23"/>
    <w:rsid w:val="007B2E82"/>
    <w:rsid w:val="007B2F12"/>
    <w:rsid w:val="007B3CEC"/>
    <w:rsid w:val="007B3D92"/>
    <w:rsid w:val="007B3E31"/>
    <w:rsid w:val="007B470B"/>
    <w:rsid w:val="007B4762"/>
    <w:rsid w:val="007B50E7"/>
    <w:rsid w:val="007B5865"/>
    <w:rsid w:val="007B5B45"/>
    <w:rsid w:val="007B5CBF"/>
    <w:rsid w:val="007B60BC"/>
    <w:rsid w:val="007B64D5"/>
    <w:rsid w:val="007B6725"/>
    <w:rsid w:val="007B6780"/>
    <w:rsid w:val="007B693A"/>
    <w:rsid w:val="007B7031"/>
    <w:rsid w:val="007B7085"/>
    <w:rsid w:val="007B745D"/>
    <w:rsid w:val="007B74DD"/>
    <w:rsid w:val="007B75D0"/>
    <w:rsid w:val="007B7CE9"/>
    <w:rsid w:val="007C0221"/>
    <w:rsid w:val="007C0C9D"/>
    <w:rsid w:val="007C0DCD"/>
    <w:rsid w:val="007C0E1E"/>
    <w:rsid w:val="007C0E9E"/>
    <w:rsid w:val="007C181A"/>
    <w:rsid w:val="007C183D"/>
    <w:rsid w:val="007C23B8"/>
    <w:rsid w:val="007C2C50"/>
    <w:rsid w:val="007C2CF1"/>
    <w:rsid w:val="007C37CE"/>
    <w:rsid w:val="007C397E"/>
    <w:rsid w:val="007C3A40"/>
    <w:rsid w:val="007C3BCB"/>
    <w:rsid w:val="007C3C6C"/>
    <w:rsid w:val="007C46CC"/>
    <w:rsid w:val="007C47DE"/>
    <w:rsid w:val="007C4A78"/>
    <w:rsid w:val="007C4D34"/>
    <w:rsid w:val="007C577B"/>
    <w:rsid w:val="007C5ACB"/>
    <w:rsid w:val="007C5CAC"/>
    <w:rsid w:val="007C5DBE"/>
    <w:rsid w:val="007C6085"/>
    <w:rsid w:val="007C62C0"/>
    <w:rsid w:val="007C633E"/>
    <w:rsid w:val="007C63CB"/>
    <w:rsid w:val="007C680D"/>
    <w:rsid w:val="007C7CB9"/>
    <w:rsid w:val="007D04C9"/>
    <w:rsid w:val="007D0749"/>
    <w:rsid w:val="007D0B47"/>
    <w:rsid w:val="007D1847"/>
    <w:rsid w:val="007D228B"/>
    <w:rsid w:val="007D2467"/>
    <w:rsid w:val="007D29AA"/>
    <w:rsid w:val="007D32C2"/>
    <w:rsid w:val="007D379D"/>
    <w:rsid w:val="007D5153"/>
    <w:rsid w:val="007D5E44"/>
    <w:rsid w:val="007D629D"/>
    <w:rsid w:val="007D6651"/>
    <w:rsid w:val="007D69F9"/>
    <w:rsid w:val="007D77BD"/>
    <w:rsid w:val="007D7DFA"/>
    <w:rsid w:val="007E0642"/>
    <w:rsid w:val="007E079E"/>
    <w:rsid w:val="007E0A3C"/>
    <w:rsid w:val="007E0A7D"/>
    <w:rsid w:val="007E0D73"/>
    <w:rsid w:val="007E196F"/>
    <w:rsid w:val="007E1D78"/>
    <w:rsid w:val="007E1D90"/>
    <w:rsid w:val="007E1E93"/>
    <w:rsid w:val="007E202B"/>
    <w:rsid w:val="007E213F"/>
    <w:rsid w:val="007E2709"/>
    <w:rsid w:val="007E2AA3"/>
    <w:rsid w:val="007E2F19"/>
    <w:rsid w:val="007E3070"/>
    <w:rsid w:val="007E42D6"/>
    <w:rsid w:val="007E460F"/>
    <w:rsid w:val="007E4614"/>
    <w:rsid w:val="007E4A40"/>
    <w:rsid w:val="007E4CAD"/>
    <w:rsid w:val="007E5311"/>
    <w:rsid w:val="007E55B2"/>
    <w:rsid w:val="007E5DF9"/>
    <w:rsid w:val="007E707F"/>
    <w:rsid w:val="007E7342"/>
    <w:rsid w:val="007E735A"/>
    <w:rsid w:val="007E74B3"/>
    <w:rsid w:val="007E74F1"/>
    <w:rsid w:val="007E791F"/>
    <w:rsid w:val="007E79BA"/>
    <w:rsid w:val="007E7B40"/>
    <w:rsid w:val="007E7B47"/>
    <w:rsid w:val="007E7DE6"/>
    <w:rsid w:val="007E7DF7"/>
    <w:rsid w:val="007F063F"/>
    <w:rsid w:val="007F0752"/>
    <w:rsid w:val="007F0949"/>
    <w:rsid w:val="007F099A"/>
    <w:rsid w:val="007F108A"/>
    <w:rsid w:val="007F1198"/>
    <w:rsid w:val="007F132F"/>
    <w:rsid w:val="007F241F"/>
    <w:rsid w:val="007F30FF"/>
    <w:rsid w:val="007F32F4"/>
    <w:rsid w:val="007F33BD"/>
    <w:rsid w:val="007F37E6"/>
    <w:rsid w:val="007F3A67"/>
    <w:rsid w:val="007F3C40"/>
    <w:rsid w:val="007F50A0"/>
    <w:rsid w:val="007F50ED"/>
    <w:rsid w:val="007F525E"/>
    <w:rsid w:val="007F53E8"/>
    <w:rsid w:val="007F55D3"/>
    <w:rsid w:val="007F56F9"/>
    <w:rsid w:val="007F5A85"/>
    <w:rsid w:val="007F6236"/>
    <w:rsid w:val="007F62F9"/>
    <w:rsid w:val="007F64F7"/>
    <w:rsid w:val="007F65B6"/>
    <w:rsid w:val="007F675C"/>
    <w:rsid w:val="007F6B2C"/>
    <w:rsid w:val="007F6BC6"/>
    <w:rsid w:val="007F6DFC"/>
    <w:rsid w:val="007F6FAF"/>
    <w:rsid w:val="007F71BF"/>
    <w:rsid w:val="007F779D"/>
    <w:rsid w:val="008000AC"/>
    <w:rsid w:val="0080061C"/>
    <w:rsid w:val="008007C5"/>
    <w:rsid w:val="00802994"/>
    <w:rsid w:val="00802998"/>
    <w:rsid w:val="008029F4"/>
    <w:rsid w:val="00802FFF"/>
    <w:rsid w:val="008035CF"/>
    <w:rsid w:val="00803A09"/>
    <w:rsid w:val="00803FE0"/>
    <w:rsid w:val="008044A7"/>
    <w:rsid w:val="00804781"/>
    <w:rsid w:val="00804823"/>
    <w:rsid w:val="00804B67"/>
    <w:rsid w:val="00804C80"/>
    <w:rsid w:val="00804EC5"/>
    <w:rsid w:val="00805106"/>
    <w:rsid w:val="008054CA"/>
    <w:rsid w:val="00805521"/>
    <w:rsid w:val="00805685"/>
    <w:rsid w:val="00805A30"/>
    <w:rsid w:val="00805F02"/>
    <w:rsid w:val="008061B2"/>
    <w:rsid w:val="00806770"/>
    <w:rsid w:val="00807F57"/>
    <w:rsid w:val="00810177"/>
    <w:rsid w:val="00810931"/>
    <w:rsid w:val="00810A7D"/>
    <w:rsid w:val="008110DF"/>
    <w:rsid w:val="0081130A"/>
    <w:rsid w:val="00811424"/>
    <w:rsid w:val="008118A8"/>
    <w:rsid w:val="00811F1E"/>
    <w:rsid w:val="008124D0"/>
    <w:rsid w:val="0081275A"/>
    <w:rsid w:val="00812AB2"/>
    <w:rsid w:val="00812B07"/>
    <w:rsid w:val="00812E92"/>
    <w:rsid w:val="00812EB8"/>
    <w:rsid w:val="008130A7"/>
    <w:rsid w:val="0081323D"/>
    <w:rsid w:val="008132BC"/>
    <w:rsid w:val="00813496"/>
    <w:rsid w:val="00813731"/>
    <w:rsid w:val="008137DB"/>
    <w:rsid w:val="00813D08"/>
    <w:rsid w:val="00814516"/>
    <w:rsid w:val="008148B8"/>
    <w:rsid w:val="00814B10"/>
    <w:rsid w:val="00814F00"/>
    <w:rsid w:val="00815088"/>
    <w:rsid w:val="008153BE"/>
    <w:rsid w:val="008153F4"/>
    <w:rsid w:val="008165E4"/>
    <w:rsid w:val="00816B7D"/>
    <w:rsid w:val="00816C98"/>
    <w:rsid w:val="00816D02"/>
    <w:rsid w:val="00816EC3"/>
    <w:rsid w:val="00817588"/>
    <w:rsid w:val="00817C92"/>
    <w:rsid w:val="00817D5B"/>
    <w:rsid w:val="008202A8"/>
    <w:rsid w:val="00820E02"/>
    <w:rsid w:val="008214E8"/>
    <w:rsid w:val="00821E29"/>
    <w:rsid w:val="0082263E"/>
    <w:rsid w:val="00822D6F"/>
    <w:rsid w:val="0082309E"/>
    <w:rsid w:val="00823D5F"/>
    <w:rsid w:val="008241BC"/>
    <w:rsid w:val="00824AA5"/>
    <w:rsid w:val="00824CC5"/>
    <w:rsid w:val="0082563D"/>
    <w:rsid w:val="00825903"/>
    <w:rsid w:val="00826BD5"/>
    <w:rsid w:val="008271E2"/>
    <w:rsid w:val="0082758B"/>
    <w:rsid w:val="008279DE"/>
    <w:rsid w:val="00827A32"/>
    <w:rsid w:val="00827B69"/>
    <w:rsid w:val="00830214"/>
    <w:rsid w:val="008304DB"/>
    <w:rsid w:val="0083070F"/>
    <w:rsid w:val="00830770"/>
    <w:rsid w:val="00830991"/>
    <w:rsid w:val="00830AA9"/>
    <w:rsid w:val="00830F7C"/>
    <w:rsid w:val="00830FE0"/>
    <w:rsid w:val="00831186"/>
    <w:rsid w:val="008317A3"/>
    <w:rsid w:val="00831A89"/>
    <w:rsid w:val="00831B8E"/>
    <w:rsid w:val="00831B99"/>
    <w:rsid w:val="00831BD3"/>
    <w:rsid w:val="00832068"/>
    <w:rsid w:val="00832189"/>
    <w:rsid w:val="00832720"/>
    <w:rsid w:val="008328B3"/>
    <w:rsid w:val="00832DB8"/>
    <w:rsid w:val="00833479"/>
    <w:rsid w:val="008341A4"/>
    <w:rsid w:val="0083449C"/>
    <w:rsid w:val="008345A4"/>
    <w:rsid w:val="008346C7"/>
    <w:rsid w:val="0083476E"/>
    <w:rsid w:val="00834A41"/>
    <w:rsid w:val="00834DC3"/>
    <w:rsid w:val="00834F7C"/>
    <w:rsid w:val="008350CC"/>
    <w:rsid w:val="008355BB"/>
    <w:rsid w:val="0083596C"/>
    <w:rsid w:val="00835AC1"/>
    <w:rsid w:val="00835D00"/>
    <w:rsid w:val="00836431"/>
    <w:rsid w:val="008367F4"/>
    <w:rsid w:val="008371B8"/>
    <w:rsid w:val="008371C5"/>
    <w:rsid w:val="008374B7"/>
    <w:rsid w:val="008378A1"/>
    <w:rsid w:val="008378F6"/>
    <w:rsid w:val="00840555"/>
    <w:rsid w:val="00840F19"/>
    <w:rsid w:val="00841418"/>
    <w:rsid w:val="0084144A"/>
    <w:rsid w:val="00842762"/>
    <w:rsid w:val="008427D0"/>
    <w:rsid w:val="008427D6"/>
    <w:rsid w:val="00842964"/>
    <w:rsid w:val="00843354"/>
    <w:rsid w:val="008435BA"/>
    <w:rsid w:val="00843B45"/>
    <w:rsid w:val="00843CC0"/>
    <w:rsid w:val="0084403C"/>
    <w:rsid w:val="00844093"/>
    <w:rsid w:val="0084448A"/>
    <w:rsid w:val="00844739"/>
    <w:rsid w:val="00844965"/>
    <w:rsid w:val="00844C79"/>
    <w:rsid w:val="008450D1"/>
    <w:rsid w:val="008453CE"/>
    <w:rsid w:val="00845751"/>
    <w:rsid w:val="00845871"/>
    <w:rsid w:val="00845D18"/>
    <w:rsid w:val="008463A8"/>
    <w:rsid w:val="00847083"/>
    <w:rsid w:val="00847343"/>
    <w:rsid w:val="0084753E"/>
    <w:rsid w:val="00847560"/>
    <w:rsid w:val="00847C80"/>
    <w:rsid w:val="00850658"/>
    <w:rsid w:val="00850745"/>
    <w:rsid w:val="008514E9"/>
    <w:rsid w:val="00851895"/>
    <w:rsid w:val="00851A48"/>
    <w:rsid w:val="00851B13"/>
    <w:rsid w:val="00852EBB"/>
    <w:rsid w:val="008530AD"/>
    <w:rsid w:val="008537FB"/>
    <w:rsid w:val="00853B53"/>
    <w:rsid w:val="00854898"/>
    <w:rsid w:val="00854E3F"/>
    <w:rsid w:val="00855B72"/>
    <w:rsid w:val="00855CBB"/>
    <w:rsid w:val="008562F8"/>
    <w:rsid w:val="00856602"/>
    <w:rsid w:val="0085664B"/>
    <w:rsid w:val="008566ED"/>
    <w:rsid w:val="00856AE8"/>
    <w:rsid w:val="0085747B"/>
    <w:rsid w:val="008576C0"/>
    <w:rsid w:val="00857798"/>
    <w:rsid w:val="0085780E"/>
    <w:rsid w:val="00857B5F"/>
    <w:rsid w:val="00860100"/>
    <w:rsid w:val="00860617"/>
    <w:rsid w:val="00861C88"/>
    <w:rsid w:val="00862859"/>
    <w:rsid w:val="00862882"/>
    <w:rsid w:val="008629AD"/>
    <w:rsid w:val="008629D3"/>
    <w:rsid w:val="00863C1E"/>
    <w:rsid w:val="00863DED"/>
    <w:rsid w:val="00864484"/>
    <w:rsid w:val="008647DB"/>
    <w:rsid w:val="008649D9"/>
    <w:rsid w:val="00864ACB"/>
    <w:rsid w:val="008659C8"/>
    <w:rsid w:val="00865E8E"/>
    <w:rsid w:val="00865FCE"/>
    <w:rsid w:val="0086611B"/>
    <w:rsid w:val="008661F3"/>
    <w:rsid w:val="00866789"/>
    <w:rsid w:val="00866B2D"/>
    <w:rsid w:val="00866CE2"/>
    <w:rsid w:val="00866F78"/>
    <w:rsid w:val="00867110"/>
    <w:rsid w:val="0086765C"/>
    <w:rsid w:val="008678A2"/>
    <w:rsid w:val="00867DFD"/>
    <w:rsid w:val="008702D5"/>
    <w:rsid w:val="0087043A"/>
    <w:rsid w:val="00871592"/>
    <w:rsid w:val="00872291"/>
    <w:rsid w:val="0087251A"/>
    <w:rsid w:val="00872C4D"/>
    <w:rsid w:val="00873493"/>
    <w:rsid w:val="008735B4"/>
    <w:rsid w:val="0087389E"/>
    <w:rsid w:val="00873993"/>
    <w:rsid w:val="00874009"/>
    <w:rsid w:val="00874484"/>
    <w:rsid w:val="00874AFD"/>
    <w:rsid w:val="00874EA8"/>
    <w:rsid w:val="00874ED0"/>
    <w:rsid w:val="00875C47"/>
    <w:rsid w:val="00875D54"/>
    <w:rsid w:val="008765F6"/>
    <w:rsid w:val="00876A73"/>
    <w:rsid w:val="00877142"/>
    <w:rsid w:val="008779B5"/>
    <w:rsid w:val="008805EC"/>
    <w:rsid w:val="00880604"/>
    <w:rsid w:val="00880723"/>
    <w:rsid w:val="0088099A"/>
    <w:rsid w:val="00880BB0"/>
    <w:rsid w:val="00880CFF"/>
    <w:rsid w:val="00881179"/>
    <w:rsid w:val="008818A8"/>
    <w:rsid w:val="0088191E"/>
    <w:rsid w:val="00882FA8"/>
    <w:rsid w:val="00883EDC"/>
    <w:rsid w:val="00884028"/>
    <w:rsid w:val="00885193"/>
    <w:rsid w:val="0088531E"/>
    <w:rsid w:val="00885667"/>
    <w:rsid w:val="00885900"/>
    <w:rsid w:val="00886095"/>
    <w:rsid w:val="008867D9"/>
    <w:rsid w:val="00886EA3"/>
    <w:rsid w:val="00887282"/>
    <w:rsid w:val="00887817"/>
    <w:rsid w:val="00887BC1"/>
    <w:rsid w:val="00887D55"/>
    <w:rsid w:val="00887DE9"/>
    <w:rsid w:val="00887F5E"/>
    <w:rsid w:val="00890356"/>
    <w:rsid w:val="00890718"/>
    <w:rsid w:val="00891259"/>
    <w:rsid w:val="008915C6"/>
    <w:rsid w:val="00891DA2"/>
    <w:rsid w:val="00892165"/>
    <w:rsid w:val="00892B7A"/>
    <w:rsid w:val="00892E16"/>
    <w:rsid w:val="0089362B"/>
    <w:rsid w:val="0089369D"/>
    <w:rsid w:val="00893700"/>
    <w:rsid w:val="00893BA8"/>
    <w:rsid w:val="00893E03"/>
    <w:rsid w:val="00893F65"/>
    <w:rsid w:val="00893FBA"/>
    <w:rsid w:val="00894247"/>
    <w:rsid w:val="008944D8"/>
    <w:rsid w:val="00894A46"/>
    <w:rsid w:val="00894D98"/>
    <w:rsid w:val="00895B27"/>
    <w:rsid w:val="00895E36"/>
    <w:rsid w:val="00896882"/>
    <w:rsid w:val="0089757E"/>
    <w:rsid w:val="00897C5E"/>
    <w:rsid w:val="008A01E9"/>
    <w:rsid w:val="008A08D6"/>
    <w:rsid w:val="008A0E6B"/>
    <w:rsid w:val="008A0EB6"/>
    <w:rsid w:val="008A0F8F"/>
    <w:rsid w:val="008A1726"/>
    <w:rsid w:val="008A17BB"/>
    <w:rsid w:val="008A20E7"/>
    <w:rsid w:val="008A2C23"/>
    <w:rsid w:val="008A3273"/>
    <w:rsid w:val="008A342A"/>
    <w:rsid w:val="008A36A3"/>
    <w:rsid w:val="008A373D"/>
    <w:rsid w:val="008A3741"/>
    <w:rsid w:val="008A3978"/>
    <w:rsid w:val="008A3A6F"/>
    <w:rsid w:val="008A3C33"/>
    <w:rsid w:val="008A3EF1"/>
    <w:rsid w:val="008A418B"/>
    <w:rsid w:val="008A422A"/>
    <w:rsid w:val="008A452F"/>
    <w:rsid w:val="008A4D7A"/>
    <w:rsid w:val="008A557A"/>
    <w:rsid w:val="008A5590"/>
    <w:rsid w:val="008A57A5"/>
    <w:rsid w:val="008A5A32"/>
    <w:rsid w:val="008A64DD"/>
    <w:rsid w:val="008A651D"/>
    <w:rsid w:val="008A656A"/>
    <w:rsid w:val="008A67D0"/>
    <w:rsid w:val="008A6940"/>
    <w:rsid w:val="008A7145"/>
    <w:rsid w:val="008A73B4"/>
    <w:rsid w:val="008A7768"/>
    <w:rsid w:val="008A79BC"/>
    <w:rsid w:val="008A7BD1"/>
    <w:rsid w:val="008B01E8"/>
    <w:rsid w:val="008B041F"/>
    <w:rsid w:val="008B0BA2"/>
    <w:rsid w:val="008B14C7"/>
    <w:rsid w:val="008B155A"/>
    <w:rsid w:val="008B1765"/>
    <w:rsid w:val="008B27A9"/>
    <w:rsid w:val="008B2834"/>
    <w:rsid w:val="008B291E"/>
    <w:rsid w:val="008B343D"/>
    <w:rsid w:val="008B34AD"/>
    <w:rsid w:val="008B44E0"/>
    <w:rsid w:val="008B4753"/>
    <w:rsid w:val="008B4775"/>
    <w:rsid w:val="008B479B"/>
    <w:rsid w:val="008B4994"/>
    <w:rsid w:val="008B4AB2"/>
    <w:rsid w:val="008B4B3A"/>
    <w:rsid w:val="008B5A6D"/>
    <w:rsid w:val="008B5BDA"/>
    <w:rsid w:val="008B5ECF"/>
    <w:rsid w:val="008B6169"/>
    <w:rsid w:val="008B66FA"/>
    <w:rsid w:val="008B6BBE"/>
    <w:rsid w:val="008B7050"/>
    <w:rsid w:val="008B7235"/>
    <w:rsid w:val="008B738A"/>
    <w:rsid w:val="008B73B5"/>
    <w:rsid w:val="008B74FB"/>
    <w:rsid w:val="008B7CB3"/>
    <w:rsid w:val="008B7DED"/>
    <w:rsid w:val="008B7FF0"/>
    <w:rsid w:val="008C0359"/>
    <w:rsid w:val="008C111D"/>
    <w:rsid w:val="008C24C2"/>
    <w:rsid w:val="008C2DC3"/>
    <w:rsid w:val="008C36D7"/>
    <w:rsid w:val="008C3E5C"/>
    <w:rsid w:val="008C41AE"/>
    <w:rsid w:val="008C4799"/>
    <w:rsid w:val="008C549B"/>
    <w:rsid w:val="008C5C15"/>
    <w:rsid w:val="008C60D8"/>
    <w:rsid w:val="008C6498"/>
    <w:rsid w:val="008C6A84"/>
    <w:rsid w:val="008C6BA6"/>
    <w:rsid w:val="008C6D17"/>
    <w:rsid w:val="008C7930"/>
    <w:rsid w:val="008D02EB"/>
    <w:rsid w:val="008D047D"/>
    <w:rsid w:val="008D0E58"/>
    <w:rsid w:val="008D0EA0"/>
    <w:rsid w:val="008D0F79"/>
    <w:rsid w:val="008D1110"/>
    <w:rsid w:val="008D125D"/>
    <w:rsid w:val="008D2428"/>
    <w:rsid w:val="008D265A"/>
    <w:rsid w:val="008D2AEC"/>
    <w:rsid w:val="008D2BDB"/>
    <w:rsid w:val="008D315C"/>
    <w:rsid w:val="008D3215"/>
    <w:rsid w:val="008D3392"/>
    <w:rsid w:val="008D3B32"/>
    <w:rsid w:val="008D41F3"/>
    <w:rsid w:val="008D43B2"/>
    <w:rsid w:val="008D45D3"/>
    <w:rsid w:val="008D4709"/>
    <w:rsid w:val="008D4BDB"/>
    <w:rsid w:val="008D54C2"/>
    <w:rsid w:val="008D5678"/>
    <w:rsid w:val="008D5AC7"/>
    <w:rsid w:val="008D5B4C"/>
    <w:rsid w:val="008D6239"/>
    <w:rsid w:val="008D64A2"/>
    <w:rsid w:val="008D6801"/>
    <w:rsid w:val="008D6F6B"/>
    <w:rsid w:val="008D71D1"/>
    <w:rsid w:val="008D7317"/>
    <w:rsid w:val="008D77F0"/>
    <w:rsid w:val="008E0600"/>
    <w:rsid w:val="008E0895"/>
    <w:rsid w:val="008E0BFD"/>
    <w:rsid w:val="008E114C"/>
    <w:rsid w:val="008E1834"/>
    <w:rsid w:val="008E25B5"/>
    <w:rsid w:val="008E2A4B"/>
    <w:rsid w:val="008E2DCA"/>
    <w:rsid w:val="008E2E27"/>
    <w:rsid w:val="008E3ADA"/>
    <w:rsid w:val="008E3C25"/>
    <w:rsid w:val="008E3EB6"/>
    <w:rsid w:val="008E4566"/>
    <w:rsid w:val="008E47F8"/>
    <w:rsid w:val="008E49E5"/>
    <w:rsid w:val="008E4B82"/>
    <w:rsid w:val="008E548E"/>
    <w:rsid w:val="008E5756"/>
    <w:rsid w:val="008E5EF7"/>
    <w:rsid w:val="008E5F4F"/>
    <w:rsid w:val="008E6183"/>
    <w:rsid w:val="008E6B65"/>
    <w:rsid w:val="008F040E"/>
    <w:rsid w:val="008F050B"/>
    <w:rsid w:val="008F0609"/>
    <w:rsid w:val="008F0E13"/>
    <w:rsid w:val="008F1186"/>
    <w:rsid w:val="008F140A"/>
    <w:rsid w:val="008F2061"/>
    <w:rsid w:val="008F2738"/>
    <w:rsid w:val="008F28B7"/>
    <w:rsid w:val="008F2BB7"/>
    <w:rsid w:val="008F3099"/>
    <w:rsid w:val="008F347C"/>
    <w:rsid w:val="008F37CB"/>
    <w:rsid w:val="008F3B19"/>
    <w:rsid w:val="008F4686"/>
    <w:rsid w:val="008F485C"/>
    <w:rsid w:val="008F5398"/>
    <w:rsid w:val="008F54E8"/>
    <w:rsid w:val="008F55A4"/>
    <w:rsid w:val="008F58FC"/>
    <w:rsid w:val="008F6749"/>
    <w:rsid w:val="008F690B"/>
    <w:rsid w:val="008F6936"/>
    <w:rsid w:val="008F743A"/>
    <w:rsid w:val="008F7AD7"/>
    <w:rsid w:val="008F7B7C"/>
    <w:rsid w:val="008F7BFC"/>
    <w:rsid w:val="008F7F68"/>
    <w:rsid w:val="009006FA"/>
    <w:rsid w:val="00900789"/>
    <w:rsid w:val="0090082B"/>
    <w:rsid w:val="009009A8"/>
    <w:rsid w:val="00900EC5"/>
    <w:rsid w:val="00901CBF"/>
    <w:rsid w:val="00902212"/>
    <w:rsid w:val="009023DA"/>
    <w:rsid w:val="0090288C"/>
    <w:rsid w:val="00902D7D"/>
    <w:rsid w:val="0090367B"/>
    <w:rsid w:val="009036B7"/>
    <w:rsid w:val="00903C24"/>
    <w:rsid w:val="00903D85"/>
    <w:rsid w:val="00903FF5"/>
    <w:rsid w:val="00904326"/>
    <w:rsid w:val="009047DA"/>
    <w:rsid w:val="0090523A"/>
    <w:rsid w:val="0090567F"/>
    <w:rsid w:val="009059A1"/>
    <w:rsid w:val="00905AA5"/>
    <w:rsid w:val="00906402"/>
    <w:rsid w:val="009064A3"/>
    <w:rsid w:val="00906A3D"/>
    <w:rsid w:val="00906C3F"/>
    <w:rsid w:val="00906D64"/>
    <w:rsid w:val="0090716A"/>
    <w:rsid w:val="0090785D"/>
    <w:rsid w:val="00907AB5"/>
    <w:rsid w:val="00907BE0"/>
    <w:rsid w:val="00907C06"/>
    <w:rsid w:val="00907F57"/>
    <w:rsid w:val="00910393"/>
    <w:rsid w:val="009104D8"/>
    <w:rsid w:val="00910E12"/>
    <w:rsid w:val="0091192A"/>
    <w:rsid w:val="00911941"/>
    <w:rsid w:val="0091274D"/>
    <w:rsid w:val="0091278B"/>
    <w:rsid w:val="00913444"/>
    <w:rsid w:val="0091400E"/>
    <w:rsid w:val="00914781"/>
    <w:rsid w:val="00914D99"/>
    <w:rsid w:val="009150C1"/>
    <w:rsid w:val="0091532C"/>
    <w:rsid w:val="00915443"/>
    <w:rsid w:val="009154F6"/>
    <w:rsid w:val="009157A6"/>
    <w:rsid w:val="00915AB4"/>
    <w:rsid w:val="00915D64"/>
    <w:rsid w:val="00915E50"/>
    <w:rsid w:val="00915F66"/>
    <w:rsid w:val="0091635F"/>
    <w:rsid w:val="00916379"/>
    <w:rsid w:val="00917209"/>
    <w:rsid w:val="0091752B"/>
    <w:rsid w:val="00917828"/>
    <w:rsid w:val="00917DA9"/>
    <w:rsid w:val="00920779"/>
    <w:rsid w:val="00920D4D"/>
    <w:rsid w:val="00921220"/>
    <w:rsid w:val="009212CF"/>
    <w:rsid w:val="00921414"/>
    <w:rsid w:val="00921810"/>
    <w:rsid w:val="00921A49"/>
    <w:rsid w:val="00921D25"/>
    <w:rsid w:val="009225CF"/>
    <w:rsid w:val="00922650"/>
    <w:rsid w:val="009227DF"/>
    <w:rsid w:val="009229F3"/>
    <w:rsid w:val="00922DD2"/>
    <w:rsid w:val="00922FB2"/>
    <w:rsid w:val="00923143"/>
    <w:rsid w:val="0092332F"/>
    <w:rsid w:val="0092369E"/>
    <w:rsid w:val="00924507"/>
    <w:rsid w:val="00924619"/>
    <w:rsid w:val="009247A6"/>
    <w:rsid w:val="00924927"/>
    <w:rsid w:val="00924C1B"/>
    <w:rsid w:val="00924D68"/>
    <w:rsid w:val="00924DE7"/>
    <w:rsid w:val="00925256"/>
    <w:rsid w:val="00925ACB"/>
    <w:rsid w:val="009268C1"/>
    <w:rsid w:val="0092712A"/>
    <w:rsid w:val="009277DE"/>
    <w:rsid w:val="00930328"/>
    <w:rsid w:val="00930558"/>
    <w:rsid w:val="0093059B"/>
    <w:rsid w:val="00930C55"/>
    <w:rsid w:val="00930D69"/>
    <w:rsid w:val="00931106"/>
    <w:rsid w:val="00931120"/>
    <w:rsid w:val="0093114E"/>
    <w:rsid w:val="0093139B"/>
    <w:rsid w:val="0093157E"/>
    <w:rsid w:val="0093187B"/>
    <w:rsid w:val="00931C00"/>
    <w:rsid w:val="00932068"/>
    <w:rsid w:val="009321B0"/>
    <w:rsid w:val="009324AA"/>
    <w:rsid w:val="009325F5"/>
    <w:rsid w:val="00932622"/>
    <w:rsid w:val="009329A8"/>
    <w:rsid w:val="00932A97"/>
    <w:rsid w:val="00933E13"/>
    <w:rsid w:val="00933EED"/>
    <w:rsid w:val="009347F3"/>
    <w:rsid w:val="00934EC0"/>
    <w:rsid w:val="009355A7"/>
    <w:rsid w:val="009360A8"/>
    <w:rsid w:val="00936502"/>
    <w:rsid w:val="009376A2"/>
    <w:rsid w:val="00937737"/>
    <w:rsid w:val="00937BD5"/>
    <w:rsid w:val="009406E4"/>
    <w:rsid w:val="0094075B"/>
    <w:rsid w:val="0094092E"/>
    <w:rsid w:val="00940966"/>
    <w:rsid w:val="00940CA3"/>
    <w:rsid w:val="009421BD"/>
    <w:rsid w:val="009421E6"/>
    <w:rsid w:val="00942629"/>
    <w:rsid w:val="00942D69"/>
    <w:rsid w:val="00943240"/>
    <w:rsid w:val="00943ED1"/>
    <w:rsid w:val="00943F29"/>
    <w:rsid w:val="00943F52"/>
    <w:rsid w:val="009442EA"/>
    <w:rsid w:val="0094437C"/>
    <w:rsid w:val="00944464"/>
    <w:rsid w:val="0094486E"/>
    <w:rsid w:val="00944BD7"/>
    <w:rsid w:val="009457A8"/>
    <w:rsid w:val="00945987"/>
    <w:rsid w:val="0094598D"/>
    <w:rsid w:val="00946073"/>
    <w:rsid w:val="00946CC9"/>
    <w:rsid w:val="009471B3"/>
    <w:rsid w:val="00947588"/>
    <w:rsid w:val="00947C1C"/>
    <w:rsid w:val="00947F56"/>
    <w:rsid w:val="00950149"/>
    <w:rsid w:val="009502EF"/>
    <w:rsid w:val="009503E1"/>
    <w:rsid w:val="009504D7"/>
    <w:rsid w:val="00950728"/>
    <w:rsid w:val="00950EDA"/>
    <w:rsid w:val="009511E0"/>
    <w:rsid w:val="009511E1"/>
    <w:rsid w:val="00951A91"/>
    <w:rsid w:val="00951F8D"/>
    <w:rsid w:val="0095226F"/>
    <w:rsid w:val="009522B0"/>
    <w:rsid w:val="0095247A"/>
    <w:rsid w:val="0095254C"/>
    <w:rsid w:val="009526AF"/>
    <w:rsid w:val="0095308A"/>
    <w:rsid w:val="0095390B"/>
    <w:rsid w:val="00953A30"/>
    <w:rsid w:val="009542D6"/>
    <w:rsid w:val="009545A6"/>
    <w:rsid w:val="009547CA"/>
    <w:rsid w:val="009550D0"/>
    <w:rsid w:val="0095571D"/>
    <w:rsid w:val="00955994"/>
    <w:rsid w:val="00955CF3"/>
    <w:rsid w:val="00955E93"/>
    <w:rsid w:val="00956720"/>
    <w:rsid w:val="009568E3"/>
    <w:rsid w:val="00956E81"/>
    <w:rsid w:val="00956FA5"/>
    <w:rsid w:val="00957001"/>
    <w:rsid w:val="00957279"/>
    <w:rsid w:val="00957879"/>
    <w:rsid w:val="0095797A"/>
    <w:rsid w:val="009579C9"/>
    <w:rsid w:val="00960123"/>
    <w:rsid w:val="0096022D"/>
    <w:rsid w:val="00960417"/>
    <w:rsid w:val="0096095F"/>
    <w:rsid w:val="00961451"/>
    <w:rsid w:val="00961809"/>
    <w:rsid w:val="00961B6E"/>
    <w:rsid w:val="0096220E"/>
    <w:rsid w:val="009624AA"/>
    <w:rsid w:val="009624D8"/>
    <w:rsid w:val="009625F5"/>
    <w:rsid w:val="0096299A"/>
    <w:rsid w:val="009629A3"/>
    <w:rsid w:val="00962B7C"/>
    <w:rsid w:val="00962CD5"/>
    <w:rsid w:val="009631E8"/>
    <w:rsid w:val="00963589"/>
    <w:rsid w:val="009644BF"/>
    <w:rsid w:val="009656B8"/>
    <w:rsid w:val="00965AF7"/>
    <w:rsid w:val="00965C82"/>
    <w:rsid w:val="009662C3"/>
    <w:rsid w:val="00966699"/>
    <w:rsid w:val="00966DE5"/>
    <w:rsid w:val="00966E08"/>
    <w:rsid w:val="00966F7E"/>
    <w:rsid w:val="009677EE"/>
    <w:rsid w:val="0096783C"/>
    <w:rsid w:val="009705DF"/>
    <w:rsid w:val="009709C6"/>
    <w:rsid w:val="00970A2B"/>
    <w:rsid w:val="00970A52"/>
    <w:rsid w:val="00970A57"/>
    <w:rsid w:val="0097117D"/>
    <w:rsid w:val="009712A5"/>
    <w:rsid w:val="009717F1"/>
    <w:rsid w:val="00971CC4"/>
    <w:rsid w:val="00971D96"/>
    <w:rsid w:val="00971F0A"/>
    <w:rsid w:val="00971FEE"/>
    <w:rsid w:val="00972076"/>
    <w:rsid w:val="009726CB"/>
    <w:rsid w:val="00972908"/>
    <w:rsid w:val="00972CFA"/>
    <w:rsid w:val="009737F2"/>
    <w:rsid w:val="00973A76"/>
    <w:rsid w:val="00973F5F"/>
    <w:rsid w:val="0097401A"/>
    <w:rsid w:val="009740D9"/>
    <w:rsid w:val="00974346"/>
    <w:rsid w:val="009746CC"/>
    <w:rsid w:val="0097498E"/>
    <w:rsid w:val="00974D9C"/>
    <w:rsid w:val="0097510D"/>
    <w:rsid w:val="009758D5"/>
    <w:rsid w:val="00975AB7"/>
    <w:rsid w:val="00975FAE"/>
    <w:rsid w:val="009761DB"/>
    <w:rsid w:val="00976866"/>
    <w:rsid w:val="00976886"/>
    <w:rsid w:val="00976A8E"/>
    <w:rsid w:val="00977940"/>
    <w:rsid w:val="00977FB7"/>
    <w:rsid w:val="009807DE"/>
    <w:rsid w:val="00980F03"/>
    <w:rsid w:val="0098113F"/>
    <w:rsid w:val="00981550"/>
    <w:rsid w:val="009818D7"/>
    <w:rsid w:val="00981CE8"/>
    <w:rsid w:val="00981E96"/>
    <w:rsid w:val="0098213C"/>
    <w:rsid w:val="00982739"/>
    <w:rsid w:val="00983656"/>
    <w:rsid w:val="00983671"/>
    <w:rsid w:val="00983F71"/>
    <w:rsid w:val="009847B1"/>
    <w:rsid w:val="009847F9"/>
    <w:rsid w:val="009851FD"/>
    <w:rsid w:val="009864C2"/>
    <w:rsid w:val="009866D2"/>
    <w:rsid w:val="00987035"/>
    <w:rsid w:val="00987529"/>
    <w:rsid w:val="00987881"/>
    <w:rsid w:val="00987935"/>
    <w:rsid w:val="00987A50"/>
    <w:rsid w:val="00987EF1"/>
    <w:rsid w:val="0099007C"/>
    <w:rsid w:val="00990099"/>
    <w:rsid w:val="00991509"/>
    <w:rsid w:val="009919DC"/>
    <w:rsid w:val="00992B56"/>
    <w:rsid w:val="00992CE5"/>
    <w:rsid w:val="0099329F"/>
    <w:rsid w:val="0099377C"/>
    <w:rsid w:val="009940F9"/>
    <w:rsid w:val="0099453C"/>
    <w:rsid w:val="00994DEB"/>
    <w:rsid w:val="00995369"/>
    <w:rsid w:val="00995433"/>
    <w:rsid w:val="0099545D"/>
    <w:rsid w:val="00995523"/>
    <w:rsid w:val="00995BD2"/>
    <w:rsid w:val="0099667A"/>
    <w:rsid w:val="00996C43"/>
    <w:rsid w:val="00996C80"/>
    <w:rsid w:val="0099764E"/>
    <w:rsid w:val="009A0C84"/>
    <w:rsid w:val="009A0E9C"/>
    <w:rsid w:val="009A1113"/>
    <w:rsid w:val="009A17B4"/>
    <w:rsid w:val="009A1849"/>
    <w:rsid w:val="009A1944"/>
    <w:rsid w:val="009A1EC6"/>
    <w:rsid w:val="009A20A6"/>
    <w:rsid w:val="009A2174"/>
    <w:rsid w:val="009A221E"/>
    <w:rsid w:val="009A27C1"/>
    <w:rsid w:val="009A2881"/>
    <w:rsid w:val="009A2939"/>
    <w:rsid w:val="009A33CC"/>
    <w:rsid w:val="009A367A"/>
    <w:rsid w:val="009A3DB8"/>
    <w:rsid w:val="009A4614"/>
    <w:rsid w:val="009A5287"/>
    <w:rsid w:val="009A563A"/>
    <w:rsid w:val="009A56FB"/>
    <w:rsid w:val="009A5B5F"/>
    <w:rsid w:val="009A64A5"/>
    <w:rsid w:val="009A6639"/>
    <w:rsid w:val="009A6776"/>
    <w:rsid w:val="009A6F22"/>
    <w:rsid w:val="009A7209"/>
    <w:rsid w:val="009A72EF"/>
    <w:rsid w:val="009A732A"/>
    <w:rsid w:val="009A759C"/>
    <w:rsid w:val="009A7D8A"/>
    <w:rsid w:val="009B0097"/>
    <w:rsid w:val="009B13C7"/>
    <w:rsid w:val="009B1744"/>
    <w:rsid w:val="009B1A54"/>
    <w:rsid w:val="009B1EDA"/>
    <w:rsid w:val="009B2258"/>
    <w:rsid w:val="009B231D"/>
    <w:rsid w:val="009B2BDD"/>
    <w:rsid w:val="009B2E3C"/>
    <w:rsid w:val="009B315D"/>
    <w:rsid w:val="009B383C"/>
    <w:rsid w:val="009B3C99"/>
    <w:rsid w:val="009B40FC"/>
    <w:rsid w:val="009B4119"/>
    <w:rsid w:val="009B4442"/>
    <w:rsid w:val="009B55DC"/>
    <w:rsid w:val="009B5B2E"/>
    <w:rsid w:val="009B6BE2"/>
    <w:rsid w:val="009B6D0B"/>
    <w:rsid w:val="009B6E54"/>
    <w:rsid w:val="009B79EB"/>
    <w:rsid w:val="009C00E0"/>
    <w:rsid w:val="009C03A4"/>
    <w:rsid w:val="009C0538"/>
    <w:rsid w:val="009C0963"/>
    <w:rsid w:val="009C0EDA"/>
    <w:rsid w:val="009C0F06"/>
    <w:rsid w:val="009C1357"/>
    <w:rsid w:val="009C1B8D"/>
    <w:rsid w:val="009C1FDD"/>
    <w:rsid w:val="009C2203"/>
    <w:rsid w:val="009C25E2"/>
    <w:rsid w:val="009C2617"/>
    <w:rsid w:val="009C27C8"/>
    <w:rsid w:val="009C2838"/>
    <w:rsid w:val="009C2E33"/>
    <w:rsid w:val="009C3B05"/>
    <w:rsid w:val="009C41C6"/>
    <w:rsid w:val="009C4C99"/>
    <w:rsid w:val="009C5163"/>
    <w:rsid w:val="009C5595"/>
    <w:rsid w:val="009C569A"/>
    <w:rsid w:val="009C5D9A"/>
    <w:rsid w:val="009C6BB2"/>
    <w:rsid w:val="009C79DA"/>
    <w:rsid w:val="009C7A52"/>
    <w:rsid w:val="009C7E88"/>
    <w:rsid w:val="009C7ED5"/>
    <w:rsid w:val="009D0150"/>
    <w:rsid w:val="009D02C0"/>
    <w:rsid w:val="009D03E9"/>
    <w:rsid w:val="009D1097"/>
    <w:rsid w:val="009D192B"/>
    <w:rsid w:val="009D1EE0"/>
    <w:rsid w:val="009D2AF0"/>
    <w:rsid w:val="009D2BED"/>
    <w:rsid w:val="009D2C27"/>
    <w:rsid w:val="009D2C3A"/>
    <w:rsid w:val="009D35C1"/>
    <w:rsid w:val="009D41CA"/>
    <w:rsid w:val="009D44FC"/>
    <w:rsid w:val="009D48BA"/>
    <w:rsid w:val="009D4EA6"/>
    <w:rsid w:val="009D56B3"/>
    <w:rsid w:val="009D5831"/>
    <w:rsid w:val="009D60E3"/>
    <w:rsid w:val="009D67EF"/>
    <w:rsid w:val="009D687C"/>
    <w:rsid w:val="009D6909"/>
    <w:rsid w:val="009D7665"/>
    <w:rsid w:val="009D766B"/>
    <w:rsid w:val="009D785A"/>
    <w:rsid w:val="009D79E8"/>
    <w:rsid w:val="009D7C79"/>
    <w:rsid w:val="009E01E4"/>
    <w:rsid w:val="009E08EC"/>
    <w:rsid w:val="009E0A77"/>
    <w:rsid w:val="009E0D78"/>
    <w:rsid w:val="009E1087"/>
    <w:rsid w:val="009E151E"/>
    <w:rsid w:val="009E155C"/>
    <w:rsid w:val="009E2350"/>
    <w:rsid w:val="009E2919"/>
    <w:rsid w:val="009E2970"/>
    <w:rsid w:val="009E2D61"/>
    <w:rsid w:val="009E37AE"/>
    <w:rsid w:val="009E3967"/>
    <w:rsid w:val="009E42F5"/>
    <w:rsid w:val="009E4400"/>
    <w:rsid w:val="009E445B"/>
    <w:rsid w:val="009E4727"/>
    <w:rsid w:val="009E48B9"/>
    <w:rsid w:val="009E4ECB"/>
    <w:rsid w:val="009E4FA5"/>
    <w:rsid w:val="009E51FD"/>
    <w:rsid w:val="009E5CB1"/>
    <w:rsid w:val="009E6461"/>
    <w:rsid w:val="009E64E4"/>
    <w:rsid w:val="009E66C4"/>
    <w:rsid w:val="009E7041"/>
    <w:rsid w:val="009E774B"/>
    <w:rsid w:val="009E7BD1"/>
    <w:rsid w:val="009E7BF6"/>
    <w:rsid w:val="009F0367"/>
    <w:rsid w:val="009F0EBE"/>
    <w:rsid w:val="009F0F38"/>
    <w:rsid w:val="009F15CB"/>
    <w:rsid w:val="009F17E6"/>
    <w:rsid w:val="009F1992"/>
    <w:rsid w:val="009F23CF"/>
    <w:rsid w:val="009F2A93"/>
    <w:rsid w:val="009F2BCC"/>
    <w:rsid w:val="009F2DF6"/>
    <w:rsid w:val="009F2F98"/>
    <w:rsid w:val="009F324C"/>
    <w:rsid w:val="009F35A7"/>
    <w:rsid w:val="009F4266"/>
    <w:rsid w:val="009F457C"/>
    <w:rsid w:val="009F467D"/>
    <w:rsid w:val="009F4744"/>
    <w:rsid w:val="009F506A"/>
    <w:rsid w:val="009F51C7"/>
    <w:rsid w:val="009F51F9"/>
    <w:rsid w:val="009F5969"/>
    <w:rsid w:val="009F59E7"/>
    <w:rsid w:val="009F6203"/>
    <w:rsid w:val="009F6736"/>
    <w:rsid w:val="009F69C9"/>
    <w:rsid w:val="009F6A03"/>
    <w:rsid w:val="009F6D12"/>
    <w:rsid w:val="009F72FF"/>
    <w:rsid w:val="009F734A"/>
    <w:rsid w:val="009F76AC"/>
    <w:rsid w:val="009F7D44"/>
    <w:rsid w:val="009F7E6E"/>
    <w:rsid w:val="00A00055"/>
    <w:rsid w:val="00A00284"/>
    <w:rsid w:val="00A00B25"/>
    <w:rsid w:val="00A00EE5"/>
    <w:rsid w:val="00A010D1"/>
    <w:rsid w:val="00A01AAB"/>
    <w:rsid w:val="00A01B38"/>
    <w:rsid w:val="00A01C69"/>
    <w:rsid w:val="00A01FB5"/>
    <w:rsid w:val="00A0203B"/>
    <w:rsid w:val="00A02315"/>
    <w:rsid w:val="00A02502"/>
    <w:rsid w:val="00A03361"/>
    <w:rsid w:val="00A037E0"/>
    <w:rsid w:val="00A03EF4"/>
    <w:rsid w:val="00A04409"/>
    <w:rsid w:val="00A04EA4"/>
    <w:rsid w:val="00A05258"/>
    <w:rsid w:val="00A0528A"/>
    <w:rsid w:val="00A05743"/>
    <w:rsid w:val="00A0583C"/>
    <w:rsid w:val="00A05F4D"/>
    <w:rsid w:val="00A06029"/>
    <w:rsid w:val="00A062C0"/>
    <w:rsid w:val="00A06B88"/>
    <w:rsid w:val="00A06DAC"/>
    <w:rsid w:val="00A0765D"/>
    <w:rsid w:val="00A07EA2"/>
    <w:rsid w:val="00A1039D"/>
    <w:rsid w:val="00A11A74"/>
    <w:rsid w:val="00A11C87"/>
    <w:rsid w:val="00A11DC4"/>
    <w:rsid w:val="00A1238C"/>
    <w:rsid w:val="00A123F7"/>
    <w:rsid w:val="00A125D4"/>
    <w:rsid w:val="00A137CD"/>
    <w:rsid w:val="00A1436A"/>
    <w:rsid w:val="00A15225"/>
    <w:rsid w:val="00A15314"/>
    <w:rsid w:val="00A16277"/>
    <w:rsid w:val="00A1628C"/>
    <w:rsid w:val="00A1628F"/>
    <w:rsid w:val="00A16780"/>
    <w:rsid w:val="00A168B8"/>
    <w:rsid w:val="00A16BD0"/>
    <w:rsid w:val="00A16D04"/>
    <w:rsid w:val="00A16E6C"/>
    <w:rsid w:val="00A17387"/>
    <w:rsid w:val="00A17575"/>
    <w:rsid w:val="00A17AB4"/>
    <w:rsid w:val="00A17CEF"/>
    <w:rsid w:val="00A20705"/>
    <w:rsid w:val="00A20A52"/>
    <w:rsid w:val="00A21632"/>
    <w:rsid w:val="00A219A5"/>
    <w:rsid w:val="00A21CD6"/>
    <w:rsid w:val="00A22463"/>
    <w:rsid w:val="00A22566"/>
    <w:rsid w:val="00A2420E"/>
    <w:rsid w:val="00A2473A"/>
    <w:rsid w:val="00A251AD"/>
    <w:rsid w:val="00A25274"/>
    <w:rsid w:val="00A252CB"/>
    <w:rsid w:val="00A256B7"/>
    <w:rsid w:val="00A25752"/>
    <w:rsid w:val="00A25A7A"/>
    <w:rsid w:val="00A25C46"/>
    <w:rsid w:val="00A25ECD"/>
    <w:rsid w:val="00A2623B"/>
    <w:rsid w:val="00A2642A"/>
    <w:rsid w:val="00A265F0"/>
    <w:rsid w:val="00A26638"/>
    <w:rsid w:val="00A26793"/>
    <w:rsid w:val="00A2684A"/>
    <w:rsid w:val="00A269C3"/>
    <w:rsid w:val="00A274EF"/>
    <w:rsid w:val="00A27897"/>
    <w:rsid w:val="00A30044"/>
    <w:rsid w:val="00A30080"/>
    <w:rsid w:val="00A30143"/>
    <w:rsid w:val="00A3091E"/>
    <w:rsid w:val="00A30B5E"/>
    <w:rsid w:val="00A30F8D"/>
    <w:rsid w:val="00A31832"/>
    <w:rsid w:val="00A31EDC"/>
    <w:rsid w:val="00A32004"/>
    <w:rsid w:val="00A320F9"/>
    <w:rsid w:val="00A321CC"/>
    <w:rsid w:val="00A32853"/>
    <w:rsid w:val="00A32860"/>
    <w:rsid w:val="00A32897"/>
    <w:rsid w:val="00A32A56"/>
    <w:rsid w:val="00A32D83"/>
    <w:rsid w:val="00A32F8B"/>
    <w:rsid w:val="00A33981"/>
    <w:rsid w:val="00A33A73"/>
    <w:rsid w:val="00A33D72"/>
    <w:rsid w:val="00A340B8"/>
    <w:rsid w:val="00A341E5"/>
    <w:rsid w:val="00A3493E"/>
    <w:rsid w:val="00A34D9B"/>
    <w:rsid w:val="00A3512E"/>
    <w:rsid w:val="00A35798"/>
    <w:rsid w:val="00A35B65"/>
    <w:rsid w:val="00A36383"/>
    <w:rsid w:val="00A36896"/>
    <w:rsid w:val="00A36D63"/>
    <w:rsid w:val="00A37131"/>
    <w:rsid w:val="00A3759B"/>
    <w:rsid w:val="00A37625"/>
    <w:rsid w:val="00A3776B"/>
    <w:rsid w:val="00A37C6A"/>
    <w:rsid w:val="00A400DE"/>
    <w:rsid w:val="00A40140"/>
    <w:rsid w:val="00A4045B"/>
    <w:rsid w:val="00A40EB4"/>
    <w:rsid w:val="00A40FA7"/>
    <w:rsid w:val="00A411D6"/>
    <w:rsid w:val="00A41200"/>
    <w:rsid w:val="00A41221"/>
    <w:rsid w:val="00A4158B"/>
    <w:rsid w:val="00A416D9"/>
    <w:rsid w:val="00A41D73"/>
    <w:rsid w:val="00A42478"/>
    <w:rsid w:val="00A42EDC"/>
    <w:rsid w:val="00A43218"/>
    <w:rsid w:val="00A43439"/>
    <w:rsid w:val="00A43D06"/>
    <w:rsid w:val="00A43E50"/>
    <w:rsid w:val="00A43EC5"/>
    <w:rsid w:val="00A43F0C"/>
    <w:rsid w:val="00A441B7"/>
    <w:rsid w:val="00A444DE"/>
    <w:rsid w:val="00A445B6"/>
    <w:rsid w:val="00A446F5"/>
    <w:rsid w:val="00A44827"/>
    <w:rsid w:val="00A44950"/>
    <w:rsid w:val="00A452EA"/>
    <w:rsid w:val="00A453C1"/>
    <w:rsid w:val="00A4630B"/>
    <w:rsid w:val="00A46FDA"/>
    <w:rsid w:val="00A47A01"/>
    <w:rsid w:val="00A47F29"/>
    <w:rsid w:val="00A50CDA"/>
    <w:rsid w:val="00A51099"/>
    <w:rsid w:val="00A51197"/>
    <w:rsid w:val="00A51520"/>
    <w:rsid w:val="00A52352"/>
    <w:rsid w:val="00A52952"/>
    <w:rsid w:val="00A529B6"/>
    <w:rsid w:val="00A52CF5"/>
    <w:rsid w:val="00A52D2F"/>
    <w:rsid w:val="00A52F10"/>
    <w:rsid w:val="00A53117"/>
    <w:rsid w:val="00A53283"/>
    <w:rsid w:val="00A532CD"/>
    <w:rsid w:val="00A532EE"/>
    <w:rsid w:val="00A5364A"/>
    <w:rsid w:val="00A54152"/>
    <w:rsid w:val="00A542BF"/>
    <w:rsid w:val="00A54337"/>
    <w:rsid w:val="00A54721"/>
    <w:rsid w:val="00A552CB"/>
    <w:rsid w:val="00A55566"/>
    <w:rsid w:val="00A55636"/>
    <w:rsid w:val="00A557B7"/>
    <w:rsid w:val="00A55985"/>
    <w:rsid w:val="00A55A34"/>
    <w:rsid w:val="00A55A6F"/>
    <w:rsid w:val="00A563BC"/>
    <w:rsid w:val="00A569EB"/>
    <w:rsid w:val="00A56CB4"/>
    <w:rsid w:val="00A570E0"/>
    <w:rsid w:val="00A572B9"/>
    <w:rsid w:val="00A5744F"/>
    <w:rsid w:val="00A577BA"/>
    <w:rsid w:val="00A57B63"/>
    <w:rsid w:val="00A57C9A"/>
    <w:rsid w:val="00A601B2"/>
    <w:rsid w:val="00A60378"/>
    <w:rsid w:val="00A6050F"/>
    <w:rsid w:val="00A609F7"/>
    <w:rsid w:val="00A614E6"/>
    <w:rsid w:val="00A6176F"/>
    <w:rsid w:val="00A61CEB"/>
    <w:rsid w:val="00A62300"/>
    <w:rsid w:val="00A623E3"/>
    <w:rsid w:val="00A6256C"/>
    <w:rsid w:val="00A62822"/>
    <w:rsid w:val="00A63264"/>
    <w:rsid w:val="00A6388F"/>
    <w:rsid w:val="00A63B97"/>
    <w:rsid w:val="00A641EB"/>
    <w:rsid w:val="00A644F3"/>
    <w:rsid w:val="00A64C98"/>
    <w:rsid w:val="00A64D6B"/>
    <w:rsid w:val="00A65007"/>
    <w:rsid w:val="00A6530F"/>
    <w:rsid w:val="00A65381"/>
    <w:rsid w:val="00A65511"/>
    <w:rsid w:val="00A65711"/>
    <w:rsid w:val="00A659B6"/>
    <w:rsid w:val="00A65A23"/>
    <w:rsid w:val="00A65F29"/>
    <w:rsid w:val="00A66135"/>
    <w:rsid w:val="00A66144"/>
    <w:rsid w:val="00A66326"/>
    <w:rsid w:val="00A66498"/>
    <w:rsid w:val="00A66657"/>
    <w:rsid w:val="00A6673D"/>
    <w:rsid w:val="00A66E13"/>
    <w:rsid w:val="00A6729E"/>
    <w:rsid w:val="00A674B1"/>
    <w:rsid w:val="00A675C8"/>
    <w:rsid w:val="00A67A2E"/>
    <w:rsid w:val="00A67C33"/>
    <w:rsid w:val="00A67F98"/>
    <w:rsid w:val="00A67FA8"/>
    <w:rsid w:val="00A700A5"/>
    <w:rsid w:val="00A70334"/>
    <w:rsid w:val="00A70573"/>
    <w:rsid w:val="00A705EF"/>
    <w:rsid w:val="00A70AB1"/>
    <w:rsid w:val="00A71284"/>
    <w:rsid w:val="00A71446"/>
    <w:rsid w:val="00A715CE"/>
    <w:rsid w:val="00A717A5"/>
    <w:rsid w:val="00A71A9C"/>
    <w:rsid w:val="00A71AA7"/>
    <w:rsid w:val="00A72B28"/>
    <w:rsid w:val="00A72E24"/>
    <w:rsid w:val="00A73B7E"/>
    <w:rsid w:val="00A7502A"/>
    <w:rsid w:val="00A75EF4"/>
    <w:rsid w:val="00A761E2"/>
    <w:rsid w:val="00A762A2"/>
    <w:rsid w:val="00A7634B"/>
    <w:rsid w:val="00A76687"/>
    <w:rsid w:val="00A76C49"/>
    <w:rsid w:val="00A76E0A"/>
    <w:rsid w:val="00A773BC"/>
    <w:rsid w:val="00A776DF"/>
    <w:rsid w:val="00A7777E"/>
    <w:rsid w:val="00A77F76"/>
    <w:rsid w:val="00A80227"/>
    <w:rsid w:val="00A80DEF"/>
    <w:rsid w:val="00A82372"/>
    <w:rsid w:val="00A82B8B"/>
    <w:rsid w:val="00A82E68"/>
    <w:rsid w:val="00A835CE"/>
    <w:rsid w:val="00A8398C"/>
    <w:rsid w:val="00A83D83"/>
    <w:rsid w:val="00A83FAC"/>
    <w:rsid w:val="00A84BB7"/>
    <w:rsid w:val="00A85100"/>
    <w:rsid w:val="00A85DAE"/>
    <w:rsid w:val="00A85F0F"/>
    <w:rsid w:val="00A8602A"/>
    <w:rsid w:val="00A865EA"/>
    <w:rsid w:val="00A867A4"/>
    <w:rsid w:val="00A867B5"/>
    <w:rsid w:val="00A8762E"/>
    <w:rsid w:val="00A87CAC"/>
    <w:rsid w:val="00A87D34"/>
    <w:rsid w:val="00A90789"/>
    <w:rsid w:val="00A9082F"/>
    <w:rsid w:val="00A909B0"/>
    <w:rsid w:val="00A90B34"/>
    <w:rsid w:val="00A9112D"/>
    <w:rsid w:val="00A91341"/>
    <w:rsid w:val="00A91422"/>
    <w:rsid w:val="00A919D2"/>
    <w:rsid w:val="00A92D2C"/>
    <w:rsid w:val="00A93086"/>
    <w:rsid w:val="00A93D55"/>
    <w:rsid w:val="00A93EE3"/>
    <w:rsid w:val="00A940F0"/>
    <w:rsid w:val="00A94355"/>
    <w:rsid w:val="00A9487F"/>
    <w:rsid w:val="00A94FE7"/>
    <w:rsid w:val="00A956BA"/>
    <w:rsid w:val="00A95A9E"/>
    <w:rsid w:val="00A95DFB"/>
    <w:rsid w:val="00A96C02"/>
    <w:rsid w:val="00A97081"/>
    <w:rsid w:val="00A972ED"/>
    <w:rsid w:val="00A97892"/>
    <w:rsid w:val="00AA0892"/>
    <w:rsid w:val="00AA0B61"/>
    <w:rsid w:val="00AA0CD3"/>
    <w:rsid w:val="00AA1332"/>
    <w:rsid w:val="00AA18F4"/>
    <w:rsid w:val="00AA2109"/>
    <w:rsid w:val="00AA25E2"/>
    <w:rsid w:val="00AA285F"/>
    <w:rsid w:val="00AA2E7E"/>
    <w:rsid w:val="00AA30AA"/>
    <w:rsid w:val="00AA3276"/>
    <w:rsid w:val="00AA3601"/>
    <w:rsid w:val="00AA3898"/>
    <w:rsid w:val="00AA3C1E"/>
    <w:rsid w:val="00AA4394"/>
    <w:rsid w:val="00AA441C"/>
    <w:rsid w:val="00AA4898"/>
    <w:rsid w:val="00AA4A3A"/>
    <w:rsid w:val="00AA4A91"/>
    <w:rsid w:val="00AA4D43"/>
    <w:rsid w:val="00AA5382"/>
    <w:rsid w:val="00AA5957"/>
    <w:rsid w:val="00AA5C5C"/>
    <w:rsid w:val="00AA5D12"/>
    <w:rsid w:val="00AA64EB"/>
    <w:rsid w:val="00AA69E0"/>
    <w:rsid w:val="00AA6FAC"/>
    <w:rsid w:val="00AA7B70"/>
    <w:rsid w:val="00AA7BBD"/>
    <w:rsid w:val="00AA7FB6"/>
    <w:rsid w:val="00AB03F5"/>
    <w:rsid w:val="00AB0789"/>
    <w:rsid w:val="00AB0D59"/>
    <w:rsid w:val="00AB0EDC"/>
    <w:rsid w:val="00AB11B3"/>
    <w:rsid w:val="00AB13A6"/>
    <w:rsid w:val="00AB13E6"/>
    <w:rsid w:val="00AB1938"/>
    <w:rsid w:val="00AB1F24"/>
    <w:rsid w:val="00AB230C"/>
    <w:rsid w:val="00AB2596"/>
    <w:rsid w:val="00AB27DE"/>
    <w:rsid w:val="00AB2FFE"/>
    <w:rsid w:val="00AB30A9"/>
    <w:rsid w:val="00AB31D2"/>
    <w:rsid w:val="00AB32F8"/>
    <w:rsid w:val="00AB3A4B"/>
    <w:rsid w:val="00AB3D3A"/>
    <w:rsid w:val="00AB4CEE"/>
    <w:rsid w:val="00AB4DE3"/>
    <w:rsid w:val="00AB546E"/>
    <w:rsid w:val="00AB5B72"/>
    <w:rsid w:val="00AB5CDA"/>
    <w:rsid w:val="00AB6864"/>
    <w:rsid w:val="00AB68A1"/>
    <w:rsid w:val="00AB7601"/>
    <w:rsid w:val="00AB7B2F"/>
    <w:rsid w:val="00AC0450"/>
    <w:rsid w:val="00AC075A"/>
    <w:rsid w:val="00AC0C37"/>
    <w:rsid w:val="00AC1611"/>
    <w:rsid w:val="00AC20A0"/>
    <w:rsid w:val="00AC2267"/>
    <w:rsid w:val="00AC2728"/>
    <w:rsid w:val="00AC2A20"/>
    <w:rsid w:val="00AC3B1D"/>
    <w:rsid w:val="00AC402F"/>
    <w:rsid w:val="00AC45DD"/>
    <w:rsid w:val="00AC48E2"/>
    <w:rsid w:val="00AC496D"/>
    <w:rsid w:val="00AC4CF3"/>
    <w:rsid w:val="00AC50A1"/>
    <w:rsid w:val="00AC5100"/>
    <w:rsid w:val="00AC5209"/>
    <w:rsid w:val="00AC5C3E"/>
    <w:rsid w:val="00AC61DC"/>
    <w:rsid w:val="00AC64AF"/>
    <w:rsid w:val="00AC6737"/>
    <w:rsid w:val="00AC6C6E"/>
    <w:rsid w:val="00AC6D0B"/>
    <w:rsid w:val="00AC6E55"/>
    <w:rsid w:val="00AC74EE"/>
    <w:rsid w:val="00AC7523"/>
    <w:rsid w:val="00AC79EA"/>
    <w:rsid w:val="00AD0448"/>
    <w:rsid w:val="00AD0BD5"/>
    <w:rsid w:val="00AD11D9"/>
    <w:rsid w:val="00AD1278"/>
    <w:rsid w:val="00AD142B"/>
    <w:rsid w:val="00AD1973"/>
    <w:rsid w:val="00AD1A48"/>
    <w:rsid w:val="00AD1C4B"/>
    <w:rsid w:val="00AD239D"/>
    <w:rsid w:val="00AD2850"/>
    <w:rsid w:val="00AD337C"/>
    <w:rsid w:val="00AD37CF"/>
    <w:rsid w:val="00AD3A2D"/>
    <w:rsid w:val="00AD3C15"/>
    <w:rsid w:val="00AD3C36"/>
    <w:rsid w:val="00AD4591"/>
    <w:rsid w:val="00AD48D2"/>
    <w:rsid w:val="00AD5581"/>
    <w:rsid w:val="00AD5EDC"/>
    <w:rsid w:val="00AD5F12"/>
    <w:rsid w:val="00AD66BF"/>
    <w:rsid w:val="00AD699A"/>
    <w:rsid w:val="00AD69C3"/>
    <w:rsid w:val="00AD72B4"/>
    <w:rsid w:val="00AD7528"/>
    <w:rsid w:val="00AE0555"/>
    <w:rsid w:val="00AE064E"/>
    <w:rsid w:val="00AE0CD0"/>
    <w:rsid w:val="00AE0EA3"/>
    <w:rsid w:val="00AE0FA5"/>
    <w:rsid w:val="00AE13FA"/>
    <w:rsid w:val="00AE1451"/>
    <w:rsid w:val="00AE1C04"/>
    <w:rsid w:val="00AE2079"/>
    <w:rsid w:val="00AE25A7"/>
    <w:rsid w:val="00AE26A4"/>
    <w:rsid w:val="00AE29C5"/>
    <w:rsid w:val="00AE29E8"/>
    <w:rsid w:val="00AE2EB9"/>
    <w:rsid w:val="00AE2F8A"/>
    <w:rsid w:val="00AE3117"/>
    <w:rsid w:val="00AE3764"/>
    <w:rsid w:val="00AE3928"/>
    <w:rsid w:val="00AE3C5C"/>
    <w:rsid w:val="00AE41B3"/>
    <w:rsid w:val="00AE4529"/>
    <w:rsid w:val="00AE511E"/>
    <w:rsid w:val="00AE54E9"/>
    <w:rsid w:val="00AE661F"/>
    <w:rsid w:val="00AE6833"/>
    <w:rsid w:val="00AE68FF"/>
    <w:rsid w:val="00AE6BEB"/>
    <w:rsid w:val="00AE7064"/>
    <w:rsid w:val="00AE70FA"/>
    <w:rsid w:val="00AE7593"/>
    <w:rsid w:val="00AE7758"/>
    <w:rsid w:val="00AF009F"/>
    <w:rsid w:val="00AF0265"/>
    <w:rsid w:val="00AF0846"/>
    <w:rsid w:val="00AF0D3E"/>
    <w:rsid w:val="00AF105D"/>
    <w:rsid w:val="00AF2014"/>
    <w:rsid w:val="00AF21BA"/>
    <w:rsid w:val="00AF2AAE"/>
    <w:rsid w:val="00AF2AEE"/>
    <w:rsid w:val="00AF2B4E"/>
    <w:rsid w:val="00AF31D7"/>
    <w:rsid w:val="00AF38A5"/>
    <w:rsid w:val="00AF3CA2"/>
    <w:rsid w:val="00AF3CE0"/>
    <w:rsid w:val="00AF4322"/>
    <w:rsid w:val="00AF4D35"/>
    <w:rsid w:val="00AF4FDC"/>
    <w:rsid w:val="00AF5951"/>
    <w:rsid w:val="00AF596A"/>
    <w:rsid w:val="00AF5A09"/>
    <w:rsid w:val="00AF5C0D"/>
    <w:rsid w:val="00AF5D53"/>
    <w:rsid w:val="00AF5DB8"/>
    <w:rsid w:val="00AF67D7"/>
    <w:rsid w:val="00AF68D2"/>
    <w:rsid w:val="00AF6A2D"/>
    <w:rsid w:val="00AF7A20"/>
    <w:rsid w:val="00AF7BB6"/>
    <w:rsid w:val="00B0017D"/>
    <w:rsid w:val="00B00452"/>
    <w:rsid w:val="00B00885"/>
    <w:rsid w:val="00B00986"/>
    <w:rsid w:val="00B00CEB"/>
    <w:rsid w:val="00B010C1"/>
    <w:rsid w:val="00B01133"/>
    <w:rsid w:val="00B0164B"/>
    <w:rsid w:val="00B01C7D"/>
    <w:rsid w:val="00B01CA6"/>
    <w:rsid w:val="00B02B5D"/>
    <w:rsid w:val="00B02EC3"/>
    <w:rsid w:val="00B030F9"/>
    <w:rsid w:val="00B036F9"/>
    <w:rsid w:val="00B03875"/>
    <w:rsid w:val="00B03B51"/>
    <w:rsid w:val="00B03B7C"/>
    <w:rsid w:val="00B03C65"/>
    <w:rsid w:val="00B03CAA"/>
    <w:rsid w:val="00B03E98"/>
    <w:rsid w:val="00B0485C"/>
    <w:rsid w:val="00B04963"/>
    <w:rsid w:val="00B050F4"/>
    <w:rsid w:val="00B05276"/>
    <w:rsid w:val="00B0528A"/>
    <w:rsid w:val="00B0567C"/>
    <w:rsid w:val="00B056C1"/>
    <w:rsid w:val="00B05896"/>
    <w:rsid w:val="00B05A2A"/>
    <w:rsid w:val="00B06792"/>
    <w:rsid w:val="00B0707C"/>
    <w:rsid w:val="00B07DBE"/>
    <w:rsid w:val="00B106B5"/>
    <w:rsid w:val="00B107AC"/>
    <w:rsid w:val="00B1082D"/>
    <w:rsid w:val="00B109B4"/>
    <w:rsid w:val="00B1102B"/>
    <w:rsid w:val="00B1183D"/>
    <w:rsid w:val="00B12150"/>
    <w:rsid w:val="00B122E6"/>
    <w:rsid w:val="00B126B8"/>
    <w:rsid w:val="00B12C72"/>
    <w:rsid w:val="00B13107"/>
    <w:rsid w:val="00B1330F"/>
    <w:rsid w:val="00B13551"/>
    <w:rsid w:val="00B13938"/>
    <w:rsid w:val="00B13C95"/>
    <w:rsid w:val="00B14065"/>
    <w:rsid w:val="00B144D1"/>
    <w:rsid w:val="00B14C87"/>
    <w:rsid w:val="00B14E01"/>
    <w:rsid w:val="00B159C3"/>
    <w:rsid w:val="00B163E9"/>
    <w:rsid w:val="00B166F3"/>
    <w:rsid w:val="00B17186"/>
    <w:rsid w:val="00B1767B"/>
    <w:rsid w:val="00B1787D"/>
    <w:rsid w:val="00B17C98"/>
    <w:rsid w:val="00B17FD0"/>
    <w:rsid w:val="00B20097"/>
    <w:rsid w:val="00B20857"/>
    <w:rsid w:val="00B209EA"/>
    <w:rsid w:val="00B20FA4"/>
    <w:rsid w:val="00B21082"/>
    <w:rsid w:val="00B21E2D"/>
    <w:rsid w:val="00B22A34"/>
    <w:rsid w:val="00B22F79"/>
    <w:rsid w:val="00B235E8"/>
    <w:rsid w:val="00B23A2C"/>
    <w:rsid w:val="00B23C24"/>
    <w:rsid w:val="00B241C7"/>
    <w:rsid w:val="00B24496"/>
    <w:rsid w:val="00B246EE"/>
    <w:rsid w:val="00B24CAB"/>
    <w:rsid w:val="00B24FB4"/>
    <w:rsid w:val="00B25C24"/>
    <w:rsid w:val="00B26993"/>
    <w:rsid w:val="00B26EBA"/>
    <w:rsid w:val="00B27867"/>
    <w:rsid w:val="00B27BF9"/>
    <w:rsid w:val="00B27DBF"/>
    <w:rsid w:val="00B27EE6"/>
    <w:rsid w:val="00B3069A"/>
    <w:rsid w:val="00B3069C"/>
    <w:rsid w:val="00B307C9"/>
    <w:rsid w:val="00B309D3"/>
    <w:rsid w:val="00B30B4D"/>
    <w:rsid w:val="00B3108D"/>
    <w:rsid w:val="00B3170F"/>
    <w:rsid w:val="00B317B7"/>
    <w:rsid w:val="00B318C6"/>
    <w:rsid w:val="00B31AF8"/>
    <w:rsid w:val="00B31EF0"/>
    <w:rsid w:val="00B31F10"/>
    <w:rsid w:val="00B3257C"/>
    <w:rsid w:val="00B32707"/>
    <w:rsid w:val="00B3340A"/>
    <w:rsid w:val="00B3480E"/>
    <w:rsid w:val="00B34ABB"/>
    <w:rsid w:val="00B34FEE"/>
    <w:rsid w:val="00B35196"/>
    <w:rsid w:val="00B356C1"/>
    <w:rsid w:val="00B356EF"/>
    <w:rsid w:val="00B35C7E"/>
    <w:rsid w:val="00B35F6E"/>
    <w:rsid w:val="00B36145"/>
    <w:rsid w:val="00B36529"/>
    <w:rsid w:val="00B36DEA"/>
    <w:rsid w:val="00B37023"/>
    <w:rsid w:val="00B370AB"/>
    <w:rsid w:val="00B37570"/>
    <w:rsid w:val="00B3773B"/>
    <w:rsid w:val="00B37A4C"/>
    <w:rsid w:val="00B37E07"/>
    <w:rsid w:val="00B402EF"/>
    <w:rsid w:val="00B4033B"/>
    <w:rsid w:val="00B403C5"/>
    <w:rsid w:val="00B403F4"/>
    <w:rsid w:val="00B40547"/>
    <w:rsid w:val="00B409E4"/>
    <w:rsid w:val="00B40ED1"/>
    <w:rsid w:val="00B410F2"/>
    <w:rsid w:val="00B41423"/>
    <w:rsid w:val="00B41A92"/>
    <w:rsid w:val="00B41D84"/>
    <w:rsid w:val="00B41E18"/>
    <w:rsid w:val="00B422DC"/>
    <w:rsid w:val="00B4231A"/>
    <w:rsid w:val="00B4250A"/>
    <w:rsid w:val="00B4298F"/>
    <w:rsid w:val="00B42A8F"/>
    <w:rsid w:val="00B43325"/>
    <w:rsid w:val="00B4437E"/>
    <w:rsid w:val="00B4537F"/>
    <w:rsid w:val="00B45B4F"/>
    <w:rsid w:val="00B45EC0"/>
    <w:rsid w:val="00B46E27"/>
    <w:rsid w:val="00B471B6"/>
    <w:rsid w:val="00B47B5A"/>
    <w:rsid w:val="00B501AF"/>
    <w:rsid w:val="00B50375"/>
    <w:rsid w:val="00B50426"/>
    <w:rsid w:val="00B50595"/>
    <w:rsid w:val="00B5113A"/>
    <w:rsid w:val="00B51358"/>
    <w:rsid w:val="00B51974"/>
    <w:rsid w:val="00B53983"/>
    <w:rsid w:val="00B543AD"/>
    <w:rsid w:val="00B54709"/>
    <w:rsid w:val="00B55654"/>
    <w:rsid w:val="00B5568E"/>
    <w:rsid w:val="00B55B7F"/>
    <w:rsid w:val="00B55C95"/>
    <w:rsid w:val="00B55D79"/>
    <w:rsid w:val="00B56219"/>
    <w:rsid w:val="00B562BD"/>
    <w:rsid w:val="00B5640A"/>
    <w:rsid w:val="00B564B4"/>
    <w:rsid w:val="00B5675B"/>
    <w:rsid w:val="00B56A31"/>
    <w:rsid w:val="00B56CD9"/>
    <w:rsid w:val="00B56CF8"/>
    <w:rsid w:val="00B56F56"/>
    <w:rsid w:val="00B575F4"/>
    <w:rsid w:val="00B57822"/>
    <w:rsid w:val="00B578BA"/>
    <w:rsid w:val="00B57DAB"/>
    <w:rsid w:val="00B57EEF"/>
    <w:rsid w:val="00B61054"/>
    <w:rsid w:val="00B61459"/>
    <w:rsid w:val="00B61C06"/>
    <w:rsid w:val="00B623E1"/>
    <w:rsid w:val="00B6243A"/>
    <w:rsid w:val="00B62556"/>
    <w:rsid w:val="00B625ED"/>
    <w:rsid w:val="00B6368B"/>
    <w:rsid w:val="00B63B44"/>
    <w:rsid w:val="00B63D84"/>
    <w:rsid w:val="00B63FE7"/>
    <w:rsid w:val="00B64058"/>
    <w:rsid w:val="00B64069"/>
    <w:rsid w:val="00B643C1"/>
    <w:rsid w:val="00B64425"/>
    <w:rsid w:val="00B6501F"/>
    <w:rsid w:val="00B6580F"/>
    <w:rsid w:val="00B65BD7"/>
    <w:rsid w:val="00B6639B"/>
    <w:rsid w:val="00B664B6"/>
    <w:rsid w:val="00B66540"/>
    <w:rsid w:val="00B66797"/>
    <w:rsid w:val="00B66828"/>
    <w:rsid w:val="00B66D4B"/>
    <w:rsid w:val="00B66E22"/>
    <w:rsid w:val="00B6795F"/>
    <w:rsid w:val="00B67B1E"/>
    <w:rsid w:val="00B67CAE"/>
    <w:rsid w:val="00B67D4B"/>
    <w:rsid w:val="00B67D81"/>
    <w:rsid w:val="00B67DD1"/>
    <w:rsid w:val="00B703B3"/>
    <w:rsid w:val="00B710E1"/>
    <w:rsid w:val="00B7147F"/>
    <w:rsid w:val="00B71CFF"/>
    <w:rsid w:val="00B72C0A"/>
    <w:rsid w:val="00B72F2B"/>
    <w:rsid w:val="00B731CE"/>
    <w:rsid w:val="00B73A4C"/>
    <w:rsid w:val="00B73D9E"/>
    <w:rsid w:val="00B73E7F"/>
    <w:rsid w:val="00B745D7"/>
    <w:rsid w:val="00B745F5"/>
    <w:rsid w:val="00B74909"/>
    <w:rsid w:val="00B74F2E"/>
    <w:rsid w:val="00B75886"/>
    <w:rsid w:val="00B75906"/>
    <w:rsid w:val="00B76180"/>
    <w:rsid w:val="00B766D0"/>
    <w:rsid w:val="00B76AA1"/>
    <w:rsid w:val="00B76B3C"/>
    <w:rsid w:val="00B76E5D"/>
    <w:rsid w:val="00B772B3"/>
    <w:rsid w:val="00B77505"/>
    <w:rsid w:val="00B778E3"/>
    <w:rsid w:val="00B8057B"/>
    <w:rsid w:val="00B808C3"/>
    <w:rsid w:val="00B80F50"/>
    <w:rsid w:val="00B811B5"/>
    <w:rsid w:val="00B814A1"/>
    <w:rsid w:val="00B81A1A"/>
    <w:rsid w:val="00B81BEE"/>
    <w:rsid w:val="00B81C28"/>
    <w:rsid w:val="00B82456"/>
    <w:rsid w:val="00B82460"/>
    <w:rsid w:val="00B824E4"/>
    <w:rsid w:val="00B82694"/>
    <w:rsid w:val="00B832E1"/>
    <w:rsid w:val="00B83A12"/>
    <w:rsid w:val="00B83E2C"/>
    <w:rsid w:val="00B84011"/>
    <w:rsid w:val="00B84232"/>
    <w:rsid w:val="00B84C2E"/>
    <w:rsid w:val="00B854A8"/>
    <w:rsid w:val="00B85867"/>
    <w:rsid w:val="00B85B53"/>
    <w:rsid w:val="00B85D0D"/>
    <w:rsid w:val="00B86144"/>
    <w:rsid w:val="00B861F1"/>
    <w:rsid w:val="00B869DA"/>
    <w:rsid w:val="00B86B70"/>
    <w:rsid w:val="00B87BA1"/>
    <w:rsid w:val="00B87CEB"/>
    <w:rsid w:val="00B90529"/>
    <w:rsid w:val="00B90BDB"/>
    <w:rsid w:val="00B91023"/>
    <w:rsid w:val="00B918AD"/>
    <w:rsid w:val="00B91D8C"/>
    <w:rsid w:val="00B92678"/>
    <w:rsid w:val="00B92C44"/>
    <w:rsid w:val="00B9323F"/>
    <w:rsid w:val="00B93292"/>
    <w:rsid w:val="00B935CD"/>
    <w:rsid w:val="00B93706"/>
    <w:rsid w:val="00B93ADB"/>
    <w:rsid w:val="00B93B11"/>
    <w:rsid w:val="00B93BAB"/>
    <w:rsid w:val="00B93F3A"/>
    <w:rsid w:val="00B940E4"/>
    <w:rsid w:val="00B945A8"/>
    <w:rsid w:val="00B94907"/>
    <w:rsid w:val="00B94999"/>
    <w:rsid w:val="00B94EE3"/>
    <w:rsid w:val="00B95202"/>
    <w:rsid w:val="00B95FA2"/>
    <w:rsid w:val="00B964AE"/>
    <w:rsid w:val="00B969B7"/>
    <w:rsid w:val="00B96E2C"/>
    <w:rsid w:val="00B971F5"/>
    <w:rsid w:val="00B97353"/>
    <w:rsid w:val="00B97466"/>
    <w:rsid w:val="00B9797D"/>
    <w:rsid w:val="00BA0259"/>
    <w:rsid w:val="00BA025A"/>
    <w:rsid w:val="00BA0949"/>
    <w:rsid w:val="00BA0E0C"/>
    <w:rsid w:val="00BA13EB"/>
    <w:rsid w:val="00BA1750"/>
    <w:rsid w:val="00BA17B6"/>
    <w:rsid w:val="00BA18DD"/>
    <w:rsid w:val="00BA1A5C"/>
    <w:rsid w:val="00BA23A3"/>
    <w:rsid w:val="00BA264F"/>
    <w:rsid w:val="00BA2BFD"/>
    <w:rsid w:val="00BA3044"/>
    <w:rsid w:val="00BA3E9C"/>
    <w:rsid w:val="00BA3F29"/>
    <w:rsid w:val="00BA41D6"/>
    <w:rsid w:val="00BA4EF6"/>
    <w:rsid w:val="00BA56A2"/>
    <w:rsid w:val="00BA6050"/>
    <w:rsid w:val="00BA615C"/>
    <w:rsid w:val="00BA65BD"/>
    <w:rsid w:val="00BA66FE"/>
    <w:rsid w:val="00BA6C66"/>
    <w:rsid w:val="00BA7126"/>
    <w:rsid w:val="00BA7216"/>
    <w:rsid w:val="00BA72BD"/>
    <w:rsid w:val="00BA792E"/>
    <w:rsid w:val="00BA7AD3"/>
    <w:rsid w:val="00BA7F2E"/>
    <w:rsid w:val="00BB010F"/>
    <w:rsid w:val="00BB035B"/>
    <w:rsid w:val="00BB067C"/>
    <w:rsid w:val="00BB082E"/>
    <w:rsid w:val="00BB08A7"/>
    <w:rsid w:val="00BB0C24"/>
    <w:rsid w:val="00BB0C8E"/>
    <w:rsid w:val="00BB0CD2"/>
    <w:rsid w:val="00BB112C"/>
    <w:rsid w:val="00BB1811"/>
    <w:rsid w:val="00BB2E17"/>
    <w:rsid w:val="00BB37F7"/>
    <w:rsid w:val="00BB3AE2"/>
    <w:rsid w:val="00BB498B"/>
    <w:rsid w:val="00BB4BBE"/>
    <w:rsid w:val="00BB4E1B"/>
    <w:rsid w:val="00BB5250"/>
    <w:rsid w:val="00BB562B"/>
    <w:rsid w:val="00BB5998"/>
    <w:rsid w:val="00BB6E1B"/>
    <w:rsid w:val="00BB732D"/>
    <w:rsid w:val="00BB7802"/>
    <w:rsid w:val="00BB7B7B"/>
    <w:rsid w:val="00BB7D73"/>
    <w:rsid w:val="00BC0483"/>
    <w:rsid w:val="00BC0508"/>
    <w:rsid w:val="00BC0549"/>
    <w:rsid w:val="00BC0729"/>
    <w:rsid w:val="00BC074D"/>
    <w:rsid w:val="00BC0E25"/>
    <w:rsid w:val="00BC1025"/>
    <w:rsid w:val="00BC1257"/>
    <w:rsid w:val="00BC1676"/>
    <w:rsid w:val="00BC19D9"/>
    <w:rsid w:val="00BC1A14"/>
    <w:rsid w:val="00BC2192"/>
    <w:rsid w:val="00BC2B06"/>
    <w:rsid w:val="00BC2C17"/>
    <w:rsid w:val="00BC3C0A"/>
    <w:rsid w:val="00BC4D7A"/>
    <w:rsid w:val="00BC55CB"/>
    <w:rsid w:val="00BC560A"/>
    <w:rsid w:val="00BC59A7"/>
    <w:rsid w:val="00BC6607"/>
    <w:rsid w:val="00BC66BD"/>
    <w:rsid w:val="00BC6BBA"/>
    <w:rsid w:val="00BC6D53"/>
    <w:rsid w:val="00BC72D2"/>
    <w:rsid w:val="00BC756A"/>
    <w:rsid w:val="00BD0309"/>
    <w:rsid w:val="00BD03F1"/>
    <w:rsid w:val="00BD05AC"/>
    <w:rsid w:val="00BD0959"/>
    <w:rsid w:val="00BD0BAE"/>
    <w:rsid w:val="00BD0D23"/>
    <w:rsid w:val="00BD10E8"/>
    <w:rsid w:val="00BD1408"/>
    <w:rsid w:val="00BD147A"/>
    <w:rsid w:val="00BD1AEA"/>
    <w:rsid w:val="00BD1C72"/>
    <w:rsid w:val="00BD259C"/>
    <w:rsid w:val="00BD27EF"/>
    <w:rsid w:val="00BD2C22"/>
    <w:rsid w:val="00BD2E08"/>
    <w:rsid w:val="00BD31E5"/>
    <w:rsid w:val="00BD321B"/>
    <w:rsid w:val="00BD34FD"/>
    <w:rsid w:val="00BD365C"/>
    <w:rsid w:val="00BD39CF"/>
    <w:rsid w:val="00BD3F94"/>
    <w:rsid w:val="00BD409C"/>
    <w:rsid w:val="00BD4A57"/>
    <w:rsid w:val="00BD51BD"/>
    <w:rsid w:val="00BD51DF"/>
    <w:rsid w:val="00BD51F3"/>
    <w:rsid w:val="00BD5362"/>
    <w:rsid w:val="00BD5424"/>
    <w:rsid w:val="00BD5C64"/>
    <w:rsid w:val="00BD6038"/>
    <w:rsid w:val="00BD65BD"/>
    <w:rsid w:val="00BD6CEF"/>
    <w:rsid w:val="00BD73F6"/>
    <w:rsid w:val="00BD7767"/>
    <w:rsid w:val="00BD7D8E"/>
    <w:rsid w:val="00BE003B"/>
    <w:rsid w:val="00BE0411"/>
    <w:rsid w:val="00BE0AA1"/>
    <w:rsid w:val="00BE0D81"/>
    <w:rsid w:val="00BE1242"/>
    <w:rsid w:val="00BE129B"/>
    <w:rsid w:val="00BE16D7"/>
    <w:rsid w:val="00BE1927"/>
    <w:rsid w:val="00BE1979"/>
    <w:rsid w:val="00BE2109"/>
    <w:rsid w:val="00BE2619"/>
    <w:rsid w:val="00BE2674"/>
    <w:rsid w:val="00BE2DDF"/>
    <w:rsid w:val="00BE380C"/>
    <w:rsid w:val="00BE40E2"/>
    <w:rsid w:val="00BE447E"/>
    <w:rsid w:val="00BE4D20"/>
    <w:rsid w:val="00BE4F71"/>
    <w:rsid w:val="00BE582D"/>
    <w:rsid w:val="00BE625F"/>
    <w:rsid w:val="00BE6639"/>
    <w:rsid w:val="00BE66BA"/>
    <w:rsid w:val="00BE6A7D"/>
    <w:rsid w:val="00BE7036"/>
    <w:rsid w:val="00BE70CA"/>
    <w:rsid w:val="00BE71EF"/>
    <w:rsid w:val="00BE7258"/>
    <w:rsid w:val="00BE777C"/>
    <w:rsid w:val="00BF017F"/>
    <w:rsid w:val="00BF041A"/>
    <w:rsid w:val="00BF080C"/>
    <w:rsid w:val="00BF126F"/>
    <w:rsid w:val="00BF1739"/>
    <w:rsid w:val="00BF1B65"/>
    <w:rsid w:val="00BF1E21"/>
    <w:rsid w:val="00BF22F1"/>
    <w:rsid w:val="00BF2606"/>
    <w:rsid w:val="00BF30AC"/>
    <w:rsid w:val="00BF33BB"/>
    <w:rsid w:val="00BF36A4"/>
    <w:rsid w:val="00BF38F0"/>
    <w:rsid w:val="00BF3FE5"/>
    <w:rsid w:val="00BF4916"/>
    <w:rsid w:val="00BF4A1B"/>
    <w:rsid w:val="00BF5804"/>
    <w:rsid w:val="00BF5988"/>
    <w:rsid w:val="00BF5CBF"/>
    <w:rsid w:val="00BF63D9"/>
    <w:rsid w:val="00BF6F59"/>
    <w:rsid w:val="00BF7CF6"/>
    <w:rsid w:val="00C00575"/>
    <w:rsid w:val="00C00B2E"/>
    <w:rsid w:val="00C022AD"/>
    <w:rsid w:val="00C02BC3"/>
    <w:rsid w:val="00C03003"/>
    <w:rsid w:val="00C0359F"/>
    <w:rsid w:val="00C035B0"/>
    <w:rsid w:val="00C036C7"/>
    <w:rsid w:val="00C04508"/>
    <w:rsid w:val="00C04856"/>
    <w:rsid w:val="00C04984"/>
    <w:rsid w:val="00C049DE"/>
    <w:rsid w:val="00C050C8"/>
    <w:rsid w:val="00C0538B"/>
    <w:rsid w:val="00C05B9F"/>
    <w:rsid w:val="00C05CE6"/>
    <w:rsid w:val="00C05E28"/>
    <w:rsid w:val="00C05E69"/>
    <w:rsid w:val="00C05FEE"/>
    <w:rsid w:val="00C06D7A"/>
    <w:rsid w:val="00C07585"/>
    <w:rsid w:val="00C07CD0"/>
    <w:rsid w:val="00C07DB2"/>
    <w:rsid w:val="00C07E49"/>
    <w:rsid w:val="00C1021E"/>
    <w:rsid w:val="00C10739"/>
    <w:rsid w:val="00C11047"/>
    <w:rsid w:val="00C11D8B"/>
    <w:rsid w:val="00C11DBF"/>
    <w:rsid w:val="00C12894"/>
    <w:rsid w:val="00C12BC1"/>
    <w:rsid w:val="00C12DD5"/>
    <w:rsid w:val="00C1308A"/>
    <w:rsid w:val="00C13996"/>
    <w:rsid w:val="00C13B3A"/>
    <w:rsid w:val="00C14099"/>
    <w:rsid w:val="00C146EB"/>
    <w:rsid w:val="00C147FB"/>
    <w:rsid w:val="00C157FA"/>
    <w:rsid w:val="00C15A7F"/>
    <w:rsid w:val="00C15C02"/>
    <w:rsid w:val="00C15DEE"/>
    <w:rsid w:val="00C15EC5"/>
    <w:rsid w:val="00C1650D"/>
    <w:rsid w:val="00C16D1F"/>
    <w:rsid w:val="00C16E5A"/>
    <w:rsid w:val="00C16E7B"/>
    <w:rsid w:val="00C1777D"/>
    <w:rsid w:val="00C17B21"/>
    <w:rsid w:val="00C20768"/>
    <w:rsid w:val="00C208DA"/>
    <w:rsid w:val="00C209D3"/>
    <w:rsid w:val="00C210A4"/>
    <w:rsid w:val="00C210B8"/>
    <w:rsid w:val="00C212BB"/>
    <w:rsid w:val="00C215F3"/>
    <w:rsid w:val="00C21731"/>
    <w:rsid w:val="00C21B34"/>
    <w:rsid w:val="00C21B40"/>
    <w:rsid w:val="00C21DB7"/>
    <w:rsid w:val="00C2206D"/>
    <w:rsid w:val="00C22731"/>
    <w:rsid w:val="00C22FD0"/>
    <w:rsid w:val="00C2334E"/>
    <w:rsid w:val="00C23450"/>
    <w:rsid w:val="00C24353"/>
    <w:rsid w:val="00C249DF"/>
    <w:rsid w:val="00C24CED"/>
    <w:rsid w:val="00C24FE3"/>
    <w:rsid w:val="00C252B3"/>
    <w:rsid w:val="00C25395"/>
    <w:rsid w:val="00C256D0"/>
    <w:rsid w:val="00C25867"/>
    <w:rsid w:val="00C265E7"/>
    <w:rsid w:val="00C266DD"/>
    <w:rsid w:val="00C269CB"/>
    <w:rsid w:val="00C26A10"/>
    <w:rsid w:val="00C26EF7"/>
    <w:rsid w:val="00C26FCF"/>
    <w:rsid w:val="00C27442"/>
    <w:rsid w:val="00C27E76"/>
    <w:rsid w:val="00C30AB5"/>
    <w:rsid w:val="00C30CF1"/>
    <w:rsid w:val="00C3148E"/>
    <w:rsid w:val="00C3170A"/>
    <w:rsid w:val="00C31972"/>
    <w:rsid w:val="00C31D58"/>
    <w:rsid w:val="00C32AF2"/>
    <w:rsid w:val="00C32D3A"/>
    <w:rsid w:val="00C32FAF"/>
    <w:rsid w:val="00C331E9"/>
    <w:rsid w:val="00C333DE"/>
    <w:rsid w:val="00C3363A"/>
    <w:rsid w:val="00C33994"/>
    <w:rsid w:val="00C33A92"/>
    <w:rsid w:val="00C33D3F"/>
    <w:rsid w:val="00C3467F"/>
    <w:rsid w:val="00C3476D"/>
    <w:rsid w:val="00C34FF9"/>
    <w:rsid w:val="00C35055"/>
    <w:rsid w:val="00C3563B"/>
    <w:rsid w:val="00C36102"/>
    <w:rsid w:val="00C361EB"/>
    <w:rsid w:val="00C365C2"/>
    <w:rsid w:val="00C368B4"/>
    <w:rsid w:val="00C36A14"/>
    <w:rsid w:val="00C36E60"/>
    <w:rsid w:val="00C37423"/>
    <w:rsid w:val="00C3768E"/>
    <w:rsid w:val="00C379FD"/>
    <w:rsid w:val="00C37A49"/>
    <w:rsid w:val="00C37EEC"/>
    <w:rsid w:val="00C40508"/>
    <w:rsid w:val="00C40589"/>
    <w:rsid w:val="00C40AC9"/>
    <w:rsid w:val="00C40DB7"/>
    <w:rsid w:val="00C415F9"/>
    <w:rsid w:val="00C4229B"/>
    <w:rsid w:val="00C4261C"/>
    <w:rsid w:val="00C42637"/>
    <w:rsid w:val="00C426BA"/>
    <w:rsid w:val="00C42C94"/>
    <w:rsid w:val="00C42D0F"/>
    <w:rsid w:val="00C42E50"/>
    <w:rsid w:val="00C4372C"/>
    <w:rsid w:val="00C438F3"/>
    <w:rsid w:val="00C43AF7"/>
    <w:rsid w:val="00C4419B"/>
    <w:rsid w:val="00C447EB"/>
    <w:rsid w:val="00C44C96"/>
    <w:rsid w:val="00C44D0E"/>
    <w:rsid w:val="00C45475"/>
    <w:rsid w:val="00C464D8"/>
    <w:rsid w:val="00C46BF0"/>
    <w:rsid w:val="00C46F64"/>
    <w:rsid w:val="00C47B25"/>
    <w:rsid w:val="00C502A2"/>
    <w:rsid w:val="00C5030C"/>
    <w:rsid w:val="00C50382"/>
    <w:rsid w:val="00C504E9"/>
    <w:rsid w:val="00C508C3"/>
    <w:rsid w:val="00C50C99"/>
    <w:rsid w:val="00C50CE4"/>
    <w:rsid w:val="00C5132D"/>
    <w:rsid w:val="00C514D8"/>
    <w:rsid w:val="00C51986"/>
    <w:rsid w:val="00C51BA1"/>
    <w:rsid w:val="00C53A7B"/>
    <w:rsid w:val="00C53AFB"/>
    <w:rsid w:val="00C53B61"/>
    <w:rsid w:val="00C53C2D"/>
    <w:rsid w:val="00C53CDB"/>
    <w:rsid w:val="00C547D9"/>
    <w:rsid w:val="00C54D63"/>
    <w:rsid w:val="00C55267"/>
    <w:rsid w:val="00C55284"/>
    <w:rsid w:val="00C552A4"/>
    <w:rsid w:val="00C552C8"/>
    <w:rsid w:val="00C553D5"/>
    <w:rsid w:val="00C555EE"/>
    <w:rsid w:val="00C558C7"/>
    <w:rsid w:val="00C55A37"/>
    <w:rsid w:val="00C55B0B"/>
    <w:rsid w:val="00C55D4B"/>
    <w:rsid w:val="00C567ED"/>
    <w:rsid w:val="00C57379"/>
    <w:rsid w:val="00C57912"/>
    <w:rsid w:val="00C6068E"/>
    <w:rsid w:val="00C606F8"/>
    <w:rsid w:val="00C60867"/>
    <w:rsid w:val="00C60B5A"/>
    <w:rsid w:val="00C60F1B"/>
    <w:rsid w:val="00C61288"/>
    <w:rsid w:val="00C61468"/>
    <w:rsid w:val="00C62275"/>
    <w:rsid w:val="00C62861"/>
    <w:rsid w:val="00C62A8A"/>
    <w:rsid w:val="00C62AB5"/>
    <w:rsid w:val="00C62C79"/>
    <w:rsid w:val="00C62E3B"/>
    <w:rsid w:val="00C632FD"/>
    <w:rsid w:val="00C63398"/>
    <w:rsid w:val="00C63F5E"/>
    <w:rsid w:val="00C64B1F"/>
    <w:rsid w:val="00C64D7B"/>
    <w:rsid w:val="00C654E1"/>
    <w:rsid w:val="00C65E4A"/>
    <w:rsid w:val="00C6604A"/>
    <w:rsid w:val="00C665B1"/>
    <w:rsid w:val="00C665EA"/>
    <w:rsid w:val="00C66753"/>
    <w:rsid w:val="00C6699E"/>
    <w:rsid w:val="00C669E6"/>
    <w:rsid w:val="00C66A2D"/>
    <w:rsid w:val="00C66FCA"/>
    <w:rsid w:val="00C6712F"/>
    <w:rsid w:val="00C6727A"/>
    <w:rsid w:val="00C67AC0"/>
    <w:rsid w:val="00C70050"/>
    <w:rsid w:val="00C70799"/>
    <w:rsid w:val="00C7083E"/>
    <w:rsid w:val="00C7098A"/>
    <w:rsid w:val="00C7098C"/>
    <w:rsid w:val="00C70A60"/>
    <w:rsid w:val="00C71878"/>
    <w:rsid w:val="00C719A8"/>
    <w:rsid w:val="00C71C39"/>
    <w:rsid w:val="00C71DAF"/>
    <w:rsid w:val="00C71FA7"/>
    <w:rsid w:val="00C72437"/>
    <w:rsid w:val="00C72909"/>
    <w:rsid w:val="00C72E60"/>
    <w:rsid w:val="00C73340"/>
    <w:rsid w:val="00C734A0"/>
    <w:rsid w:val="00C736C0"/>
    <w:rsid w:val="00C73AD9"/>
    <w:rsid w:val="00C73B7F"/>
    <w:rsid w:val="00C73D4D"/>
    <w:rsid w:val="00C7402D"/>
    <w:rsid w:val="00C744F4"/>
    <w:rsid w:val="00C745F4"/>
    <w:rsid w:val="00C749EA"/>
    <w:rsid w:val="00C74EA7"/>
    <w:rsid w:val="00C75003"/>
    <w:rsid w:val="00C75148"/>
    <w:rsid w:val="00C755F4"/>
    <w:rsid w:val="00C763EA"/>
    <w:rsid w:val="00C764E7"/>
    <w:rsid w:val="00C766C5"/>
    <w:rsid w:val="00C7689C"/>
    <w:rsid w:val="00C76CF8"/>
    <w:rsid w:val="00C77614"/>
    <w:rsid w:val="00C779B6"/>
    <w:rsid w:val="00C77CD8"/>
    <w:rsid w:val="00C8008C"/>
    <w:rsid w:val="00C808E1"/>
    <w:rsid w:val="00C808E2"/>
    <w:rsid w:val="00C80C19"/>
    <w:rsid w:val="00C815A5"/>
    <w:rsid w:val="00C8194D"/>
    <w:rsid w:val="00C8237E"/>
    <w:rsid w:val="00C827CB"/>
    <w:rsid w:val="00C828A4"/>
    <w:rsid w:val="00C82BFB"/>
    <w:rsid w:val="00C82C90"/>
    <w:rsid w:val="00C82FBA"/>
    <w:rsid w:val="00C83679"/>
    <w:rsid w:val="00C83C02"/>
    <w:rsid w:val="00C84E9D"/>
    <w:rsid w:val="00C85015"/>
    <w:rsid w:val="00C850E7"/>
    <w:rsid w:val="00C86362"/>
    <w:rsid w:val="00C8666B"/>
    <w:rsid w:val="00C8696A"/>
    <w:rsid w:val="00C875DC"/>
    <w:rsid w:val="00C87690"/>
    <w:rsid w:val="00C905A3"/>
    <w:rsid w:val="00C906E1"/>
    <w:rsid w:val="00C90CBA"/>
    <w:rsid w:val="00C90F3C"/>
    <w:rsid w:val="00C9100E"/>
    <w:rsid w:val="00C9120D"/>
    <w:rsid w:val="00C919AE"/>
    <w:rsid w:val="00C92088"/>
    <w:rsid w:val="00C926DA"/>
    <w:rsid w:val="00C92838"/>
    <w:rsid w:val="00C93318"/>
    <w:rsid w:val="00C93645"/>
    <w:rsid w:val="00C937A8"/>
    <w:rsid w:val="00C93A8A"/>
    <w:rsid w:val="00C93B4B"/>
    <w:rsid w:val="00C94108"/>
    <w:rsid w:val="00C94ADC"/>
    <w:rsid w:val="00C94FF0"/>
    <w:rsid w:val="00C9536E"/>
    <w:rsid w:val="00C95557"/>
    <w:rsid w:val="00C95667"/>
    <w:rsid w:val="00C9587F"/>
    <w:rsid w:val="00C95E7F"/>
    <w:rsid w:val="00C963FC"/>
    <w:rsid w:val="00C96849"/>
    <w:rsid w:val="00C97582"/>
    <w:rsid w:val="00C977F0"/>
    <w:rsid w:val="00C97AD6"/>
    <w:rsid w:val="00C97C45"/>
    <w:rsid w:val="00C97D88"/>
    <w:rsid w:val="00C97D8B"/>
    <w:rsid w:val="00CA038A"/>
    <w:rsid w:val="00CA06E1"/>
    <w:rsid w:val="00CA0FA2"/>
    <w:rsid w:val="00CA1DBE"/>
    <w:rsid w:val="00CA22BE"/>
    <w:rsid w:val="00CA25C0"/>
    <w:rsid w:val="00CA33A0"/>
    <w:rsid w:val="00CA35BE"/>
    <w:rsid w:val="00CA4BC4"/>
    <w:rsid w:val="00CA51BF"/>
    <w:rsid w:val="00CA534F"/>
    <w:rsid w:val="00CA5361"/>
    <w:rsid w:val="00CA5597"/>
    <w:rsid w:val="00CA57C1"/>
    <w:rsid w:val="00CA5E1F"/>
    <w:rsid w:val="00CA653A"/>
    <w:rsid w:val="00CA69F9"/>
    <w:rsid w:val="00CA6B4B"/>
    <w:rsid w:val="00CA728D"/>
    <w:rsid w:val="00CA733A"/>
    <w:rsid w:val="00CA785D"/>
    <w:rsid w:val="00CA78B1"/>
    <w:rsid w:val="00CB0111"/>
    <w:rsid w:val="00CB0918"/>
    <w:rsid w:val="00CB0A1B"/>
    <w:rsid w:val="00CB0DD4"/>
    <w:rsid w:val="00CB1EEF"/>
    <w:rsid w:val="00CB2302"/>
    <w:rsid w:val="00CB24A3"/>
    <w:rsid w:val="00CB2583"/>
    <w:rsid w:val="00CB2B6F"/>
    <w:rsid w:val="00CB2FF7"/>
    <w:rsid w:val="00CB305C"/>
    <w:rsid w:val="00CB30B5"/>
    <w:rsid w:val="00CB3638"/>
    <w:rsid w:val="00CB3B36"/>
    <w:rsid w:val="00CB402C"/>
    <w:rsid w:val="00CB4AE8"/>
    <w:rsid w:val="00CB4B50"/>
    <w:rsid w:val="00CB4E0C"/>
    <w:rsid w:val="00CB4EE9"/>
    <w:rsid w:val="00CB5519"/>
    <w:rsid w:val="00CB5CD2"/>
    <w:rsid w:val="00CB5EEE"/>
    <w:rsid w:val="00CB61A7"/>
    <w:rsid w:val="00CB6C59"/>
    <w:rsid w:val="00CB7004"/>
    <w:rsid w:val="00CB70B3"/>
    <w:rsid w:val="00CB72E8"/>
    <w:rsid w:val="00CB732A"/>
    <w:rsid w:val="00CB73A7"/>
    <w:rsid w:val="00CB7A44"/>
    <w:rsid w:val="00CC0059"/>
    <w:rsid w:val="00CC00A3"/>
    <w:rsid w:val="00CC03C4"/>
    <w:rsid w:val="00CC0AD1"/>
    <w:rsid w:val="00CC0B00"/>
    <w:rsid w:val="00CC0B67"/>
    <w:rsid w:val="00CC0BFE"/>
    <w:rsid w:val="00CC0D6F"/>
    <w:rsid w:val="00CC116A"/>
    <w:rsid w:val="00CC1FA5"/>
    <w:rsid w:val="00CC24A6"/>
    <w:rsid w:val="00CC2AD7"/>
    <w:rsid w:val="00CC2F87"/>
    <w:rsid w:val="00CC321F"/>
    <w:rsid w:val="00CC37D4"/>
    <w:rsid w:val="00CC4387"/>
    <w:rsid w:val="00CC460C"/>
    <w:rsid w:val="00CC47E3"/>
    <w:rsid w:val="00CC4C47"/>
    <w:rsid w:val="00CC531B"/>
    <w:rsid w:val="00CC549B"/>
    <w:rsid w:val="00CC57EF"/>
    <w:rsid w:val="00CC5BF6"/>
    <w:rsid w:val="00CC5EF0"/>
    <w:rsid w:val="00CC665E"/>
    <w:rsid w:val="00CC6B90"/>
    <w:rsid w:val="00CC7DF7"/>
    <w:rsid w:val="00CD02C7"/>
    <w:rsid w:val="00CD0AF3"/>
    <w:rsid w:val="00CD1180"/>
    <w:rsid w:val="00CD19E4"/>
    <w:rsid w:val="00CD20C4"/>
    <w:rsid w:val="00CD2142"/>
    <w:rsid w:val="00CD23A5"/>
    <w:rsid w:val="00CD23EC"/>
    <w:rsid w:val="00CD25DA"/>
    <w:rsid w:val="00CD275E"/>
    <w:rsid w:val="00CD2860"/>
    <w:rsid w:val="00CD2E50"/>
    <w:rsid w:val="00CD3C4B"/>
    <w:rsid w:val="00CD3C71"/>
    <w:rsid w:val="00CD3DFF"/>
    <w:rsid w:val="00CD3F32"/>
    <w:rsid w:val="00CD43E4"/>
    <w:rsid w:val="00CD4C90"/>
    <w:rsid w:val="00CD567A"/>
    <w:rsid w:val="00CD5B96"/>
    <w:rsid w:val="00CD62F8"/>
    <w:rsid w:val="00CD6B42"/>
    <w:rsid w:val="00CD6ED6"/>
    <w:rsid w:val="00CD71B9"/>
    <w:rsid w:val="00CD732E"/>
    <w:rsid w:val="00CD7F55"/>
    <w:rsid w:val="00CE08CF"/>
    <w:rsid w:val="00CE0B02"/>
    <w:rsid w:val="00CE187C"/>
    <w:rsid w:val="00CE2AEF"/>
    <w:rsid w:val="00CE2C79"/>
    <w:rsid w:val="00CE2C7A"/>
    <w:rsid w:val="00CE3153"/>
    <w:rsid w:val="00CE395B"/>
    <w:rsid w:val="00CE438A"/>
    <w:rsid w:val="00CE4599"/>
    <w:rsid w:val="00CE45E3"/>
    <w:rsid w:val="00CE473E"/>
    <w:rsid w:val="00CE49B8"/>
    <w:rsid w:val="00CE5533"/>
    <w:rsid w:val="00CE553C"/>
    <w:rsid w:val="00CE5746"/>
    <w:rsid w:val="00CE659A"/>
    <w:rsid w:val="00CE66F1"/>
    <w:rsid w:val="00CE6BF2"/>
    <w:rsid w:val="00CE6F4F"/>
    <w:rsid w:val="00CE7119"/>
    <w:rsid w:val="00CE769D"/>
    <w:rsid w:val="00CE770F"/>
    <w:rsid w:val="00CE77CE"/>
    <w:rsid w:val="00CF04A3"/>
    <w:rsid w:val="00CF0715"/>
    <w:rsid w:val="00CF0768"/>
    <w:rsid w:val="00CF09D0"/>
    <w:rsid w:val="00CF0A0A"/>
    <w:rsid w:val="00CF0EC0"/>
    <w:rsid w:val="00CF11FE"/>
    <w:rsid w:val="00CF1324"/>
    <w:rsid w:val="00CF140A"/>
    <w:rsid w:val="00CF1D4C"/>
    <w:rsid w:val="00CF1E98"/>
    <w:rsid w:val="00CF1FD0"/>
    <w:rsid w:val="00CF20BE"/>
    <w:rsid w:val="00CF21D0"/>
    <w:rsid w:val="00CF2388"/>
    <w:rsid w:val="00CF2418"/>
    <w:rsid w:val="00CF2597"/>
    <w:rsid w:val="00CF25CF"/>
    <w:rsid w:val="00CF2824"/>
    <w:rsid w:val="00CF2BDA"/>
    <w:rsid w:val="00CF396E"/>
    <w:rsid w:val="00CF3CD9"/>
    <w:rsid w:val="00CF4788"/>
    <w:rsid w:val="00CF49DC"/>
    <w:rsid w:val="00CF5044"/>
    <w:rsid w:val="00CF560B"/>
    <w:rsid w:val="00CF6051"/>
    <w:rsid w:val="00CF6E8C"/>
    <w:rsid w:val="00CF736E"/>
    <w:rsid w:val="00CF7389"/>
    <w:rsid w:val="00CF75B9"/>
    <w:rsid w:val="00CF760E"/>
    <w:rsid w:val="00CF77B7"/>
    <w:rsid w:val="00D00984"/>
    <w:rsid w:val="00D00F69"/>
    <w:rsid w:val="00D012CF"/>
    <w:rsid w:val="00D01399"/>
    <w:rsid w:val="00D01710"/>
    <w:rsid w:val="00D01C77"/>
    <w:rsid w:val="00D01DAF"/>
    <w:rsid w:val="00D020C8"/>
    <w:rsid w:val="00D02602"/>
    <w:rsid w:val="00D027AD"/>
    <w:rsid w:val="00D027DA"/>
    <w:rsid w:val="00D027DB"/>
    <w:rsid w:val="00D02CF3"/>
    <w:rsid w:val="00D030D6"/>
    <w:rsid w:val="00D033FA"/>
    <w:rsid w:val="00D03D01"/>
    <w:rsid w:val="00D047A8"/>
    <w:rsid w:val="00D04E3B"/>
    <w:rsid w:val="00D06598"/>
    <w:rsid w:val="00D06624"/>
    <w:rsid w:val="00D06651"/>
    <w:rsid w:val="00D06B1C"/>
    <w:rsid w:val="00D07C40"/>
    <w:rsid w:val="00D07EEE"/>
    <w:rsid w:val="00D103EE"/>
    <w:rsid w:val="00D107EB"/>
    <w:rsid w:val="00D10886"/>
    <w:rsid w:val="00D11727"/>
    <w:rsid w:val="00D11BD6"/>
    <w:rsid w:val="00D11E08"/>
    <w:rsid w:val="00D11E58"/>
    <w:rsid w:val="00D12074"/>
    <w:rsid w:val="00D129B2"/>
    <w:rsid w:val="00D12CD5"/>
    <w:rsid w:val="00D131E0"/>
    <w:rsid w:val="00D13439"/>
    <w:rsid w:val="00D13789"/>
    <w:rsid w:val="00D13ABA"/>
    <w:rsid w:val="00D13C9A"/>
    <w:rsid w:val="00D13EEC"/>
    <w:rsid w:val="00D1420A"/>
    <w:rsid w:val="00D14737"/>
    <w:rsid w:val="00D1488F"/>
    <w:rsid w:val="00D1493B"/>
    <w:rsid w:val="00D14AED"/>
    <w:rsid w:val="00D14B46"/>
    <w:rsid w:val="00D15213"/>
    <w:rsid w:val="00D15547"/>
    <w:rsid w:val="00D15D6D"/>
    <w:rsid w:val="00D16287"/>
    <w:rsid w:val="00D16570"/>
    <w:rsid w:val="00D16A0E"/>
    <w:rsid w:val="00D171D0"/>
    <w:rsid w:val="00D17B7C"/>
    <w:rsid w:val="00D17CAA"/>
    <w:rsid w:val="00D17E16"/>
    <w:rsid w:val="00D17FCA"/>
    <w:rsid w:val="00D20553"/>
    <w:rsid w:val="00D20B4A"/>
    <w:rsid w:val="00D2172B"/>
    <w:rsid w:val="00D21B57"/>
    <w:rsid w:val="00D21C66"/>
    <w:rsid w:val="00D21F21"/>
    <w:rsid w:val="00D221C3"/>
    <w:rsid w:val="00D222F1"/>
    <w:rsid w:val="00D22BF9"/>
    <w:rsid w:val="00D2325B"/>
    <w:rsid w:val="00D23BA9"/>
    <w:rsid w:val="00D23DCE"/>
    <w:rsid w:val="00D23E7A"/>
    <w:rsid w:val="00D24373"/>
    <w:rsid w:val="00D24749"/>
    <w:rsid w:val="00D24E08"/>
    <w:rsid w:val="00D25304"/>
    <w:rsid w:val="00D257E4"/>
    <w:rsid w:val="00D26115"/>
    <w:rsid w:val="00D26D10"/>
    <w:rsid w:val="00D26E5C"/>
    <w:rsid w:val="00D2737D"/>
    <w:rsid w:val="00D27488"/>
    <w:rsid w:val="00D27A56"/>
    <w:rsid w:val="00D27CB2"/>
    <w:rsid w:val="00D30406"/>
    <w:rsid w:val="00D308FA"/>
    <w:rsid w:val="00D30ACC"/>
    <w:rsid w:val="00D30D32"/>
    <w:rsid w:val="00D31500"/>
    <w:rsid w:val="00D31820"/>
    <w:rsid w:val="00D32128"/>
    <w:rsid w:val="00D32BB1"/>
    <w:rsid w:val="00D32FA1"/>
    <w:rsid w:val="00D33BA7"/>
    <w:rsid w:val="00D344E9"/>
    <w:rsid w:val="00D34634"/>
    <w:rsid w:val="00D34E59"/>
    <w:rsid w:val="00D3540A"/>
    <w:rsid w:val="00D35811"/>
    <w:rsid w:val="00D35976"/>
    <w:rsid w:val="00D35B27"/>
    <w:rsid w:val="00D35CD8"/>
    <w:rsid w:val="00D36047"/>
    <w:rsid w:val="00D364FC"/>
    <w:rsid w:val="00D36957"/>
    <w:rsid w:val="00D36B92"/>
    <w:rsid w:val="00D36DF5"/>
    <w:rsid w:val="00D3716C"/>
    <w:rsid w:val="00D37480"/>
    <w:rsid w:val="00D37C79"/>
    <w:rsid w:val="00D37D92"/>
    <w:rsid w:val="00D37DEB"/>
    <w:rsid w:val="00D37F43"/>
    <w:rsid w:val="00D37F63"/>
    <w:rsid w:val="00D4040F"/>
    <w:rsid w:val="00D40628"/>
    <w:rsid w:val="00D40BF9"/>
    <w:rsid w:val="00D40C80"/>
    <w:rsid w:val="00D410D4"/>
    <w:rsid w:val="00D41C9B"/>
    <w:rsid w:val="00D420A7"/>
    <w:rsid w:val="00D42627"/>
    <w:rsid w:val="00D436A9"/>
    <w:rsid w:val="00D43FE6"/>
    <w:rsid w:val="00D45016"/>
    <w:rsid w:val="00D459D0"/>
    <w:rsid w:val="00D45ADA"/>
    <w:rsid w:val="00D45CB0"/>
    <w:rsid w:val="00D45ED9"/>
    <w:rsid w:val="00D4635C"/>
    <w:rsid w:val="00D46EE2"/>
    <w:rsid w:val="00D47073"/>
    <w:rsid w:val="00D4727B"/>
    <w:rsid w:val="00D47B88"/>
    <w:rsid w:val="00D47C67"/>
    <w:rsid w:val="00D501A1"/>
    <w:rsid w:val="00D504FC"/>
    <w:rsid w:val="00D5063E"/>
    <w:rsid w:val="00D50E25"/>
    <w:rsid w:val="00D5139C"/>
    <w:rsid w:val="00D52342"/>
    <w:rsid w:val="00D52C6D"/>
    <w:rsid w:val="00D52EE8"/>
    <w:rsid w:val="00D53322"/>
    <w:rsid w:val="00D533BE"/>
    <w:rsid w:val="00D53405"/>
    <w:rsid w:val="00D53731"/>
    <w:rsid w:val="00D541AD"/>
    <w:rsid w:val="00D542F4"/>
    <w:rsid w:val="00D546EF"/>
    <w:rsid w:val="00D54C50"/>
    <w:rsid w:val="00D55E5C"/>
    <w:rsid w:val="00D55EA0"/>
    <w:rsid w:val="00D568E3"/>
    <w:rsid w:val="00D56EE1"/>
    <w:rsid w:val="00D571EB"/>
    <w:rsid w:val="00D5737C"/>
    <w:rsid w:val="00D57718"/>
    <w:rsid w:val="00D57F48"/>
    <w:rsid w:val="00D6016F"/>
    <w:rsid w:val="00D601BD"/>
    <w:rsid w:val="00D6032D"/>
    <w:rsid w:val="00D603B0"/>
    <w:rsid w:val="00D604E7"/>
    <w:rsid w:val="00D6055A"/>
    <w:rsid w:val="00D61461"/>
    <w:rsid w:val="00D61597"/>
    <w:rsid w:val="00D61A36"/>
    <w:rsid w:val="00D61C38"/>
    <w:rsid w:val="00D61F14"/>
    <w:rsid w:val="00D62418"/>
    <w:rsid w:val="00D628AA"/>
    <w:rsid w:val="00D62A78"/>
    <w:rsid w:val="00D6367A"/>
    <w:rsid w:val="00D63ADE"/>
    <w:rsid w:val="00D63C25"/>
    <w:rsid w:val="00D63E38"/>
    <w:rsid w:val="00D63EFE"/>
    <w:rsid w:val="00D6417C"/>
    <w:rsid w:val="00D6417F"/>
    <w:rsid w:val="00D64213"/>
    <w:rsid w:val="00D6449B"/>
    <w:rsid w:val="00D6454D"/>
    <w:rsid w:val="00D64E55"/>
    <w:rsid w:val="00D6532E"/>
    <w:rsid w:val="00D656CC"/>
    <w:rsid w:val="00D657DF"/>
    <w:rsid w:val="00D65994"/>
    <w:rsid w:val="00D65EF7"/>
    <w:rsid w:val="00D6637B"/>
    <w:rsid w:val="00D663CA"/>
    <w:rsid w:val="00D667D6"/>
    <w:rsid w:val="00D6694A"/>
    <w:rsid w:val="00D66DC6"/>
    <w:rsid w:val="00D672CA"/>
    <w:rsid w:val="00D70FEA"/>
    <w:rsid w:val="00D713F7"/>
    <w:rsid w:val="00D71B64"/>
    <w:rsid w:val="00D721A2"/>
    <w:rsid w:val="00D7234C"/>
    <w:rsid w:val="00D7275D"/>
    <w:rsid w:val="00D7299D"/>
    <w:rsid w:val="00D72AA4"/>
    <w:rsid w:val="00D72AAE"/>
    <w:rsid w:val="00D73021"/>
    <w:rsid w:val="00D733F5"/>
    <w:rsid w:val="00D734A5"/>
    <w:rsid w:val="00D73760"/>
    <w:rsid w:val="00D745E6"/>
    <w:rsid w:val="00D7468C"/>
    <w:rsid w:val="00D74C88"/>
    <w:rsid w:val="00D755D3"/>
    <w:rsid w:val="00D758C6"/>
    <w:rsid w:val="00D75D05"/>
    <w:rsid w:val="00D764E0"/>
    <w:rsid w:val="00D77263"/>
    <w:rsid w:val="00D77B14"/>
    <w:rsid w:val="00D77C9F"/>
    <w:rsid w:val="00D77E61"/>
    <w:rsid w:val="00D805A1"/>
    <w:rsid w:val="00D807FF"/>
    <w:rsid w:val="00D8114F"/>
    <w:rsid w:val="00D811CB"/>
    <w:rsid w:val="00D819CE"/>
    <w:rsid w:val="00D81B9E"/>
    <w:rsid w:val="00D82016"/>
    <w:rsid w:val="00D82725"/>
    <w:rsid w:val="00D82AFA"/>
    <w:rsid w:val="00D82D5C"/>
    <w:rsid w:val="00D83BE9"/>
    <w:rsid w:val="00D83BEC"/>
    <w:rsid w:val="00D84627"/>
    <w:rsid w:val="00D848E7"/>
    <w:rsid w:val="00D84944"/>
    <w:rsid w:val="00D84F67"/>
    <w:rsid w:val="00D85E68"/>
    <w:rsid w:val="00D85E72"/>
    <w:rsid w:val="00D865AA"/>
    <w:rsid w:val="00D86E33"/>
    <w:rsid w:val="00D86E6D"/>
    <w:rsid w:val="00D87037"/>
    <w:rsid w:val="00D874A5"/>
    <w:rsid w:val="00D87B4D"/>
    <w:rsid w:val="00D90428"/>
    <w:rsid w:val="00D909B1"/>
    <w:rsid w:val="00D9187B"/>
    <w:rsid w:val="00D925A9"/>
    <w:rsid w:val="00D92935"/>
    <w:rsid w:val="00D92ED3"/>
    <w:rsid w:val="00D93762"/>
    <w:rsid w:val="00D937A6"/>
    <w:rsid w:val="00D9395A"/>
    <w:rsid w:val="00D93A46"/>
    <w:rsid w:val="00D93A6E"/>
    <w:rsid w:val="00D93AE0"/>
    <w:rsid w:val="00D93D24"/>
    <w:rsid w:val="00D9400C"/>
    <w:rsid w:val="00D94591"/>
    <w:rsid w:val="00D95278"/>
    <w:rsid w:val="00D95C58"/>
    <w:rsid w:val="00D95DE0"/>
    <w:rsid w:val="00D95F0B"/>
    <w:rsid w:val="00D960E8"/>
    <w:rsid w:val="00D967A1"/>
    <w:rsid w:val="00D9722D"/>
    <w:rsid w:val="00D97435"/>
    <w:rsid w:val="00D9745C"/>
    <w:rsid w:val="00D9792F"/>
    <w:rsid w:val="00DA034B"/>
    <w:rsid w:val="00DA1B4B"/>
    <w:rsid w:val="00DA1C95"/>
    <w:rsid w:val="00DA2611"/>
    <w:rsid w:val="00DA28FC"/>
    <w:rsid w:val="00DA2AB7"/>
    <w:rsid w:val="00DA2DFE"/>
    <w:rsid w:val="00DA2F68"/>
    <w:rsid w:val="00DA3122"/>
    <w:rsid w:val="00DA3976"/>
    <w:rsid w:val="00DA3D51"/>
    <w:rsid w:val="00DA3F56"/>
    <w:rsid w:val="00DA41EE"/>
    <w:rsid w:val="00DA4389"/>
    <w:rsid w:val="00DA48B1"/>
    <w:rsid w:val="00DA50A9"/>
    <w:rsid w:val="00DA55DF"/>
    <w:rsid w:val="00DA57E1"/>
    <w:rsid w:val="00DA5B48"/>
    <w:rsid w:val="00DA5D95"/>
    <w:rsid w:val="00DA5F3C"/>
    <w:rsid w:val="00DA60A4"/>
    <w:rsid w:val="00DA67AB"/>
    <w:rsid w:val="00DA686B"/>
    <w:rsid w:val="00DA78BA"/>
    <w:rsid w:val="00DA7B2F"/>
    <w:rsid w:val="00DA7FA0"/>
    <w:rsid w:val="00DB03AF"/>
    <w:rsid w:val="00DB0F96"/>
    <w:rsid w:val="00DB13C7"/>
    <w:rsid w:val="00DB17DE"/>
    <w:rsid w:val="00DB1941"/>
    <w:rsid w:val="00DB1EAF"/>
    <w:rsid w:val="00DB2B71"/>
    <w:rsid w:val="00DB2BF7"/>
    <w:rsid w:val="00DB32D9"/>
    <w:rsid w:val="00DB355F"/>
    <w:rsid w:val="00DB3AC9"/>
    <w:rsid w:val="00DB3B7E"/>
    <w:rsid w:val="00DB40D3"/>
    <w:rsid w:val="00DB41BD"/>
    <w:rsid w:val="00DB42EF"/>
    <w:rsid w:val="00DB466B"/>
    <w:rsid w:val="00DB4B95"/>
    <w:rsid w:val="00DB4EBD"/>
    <w:rsid w:val="00DB5393"/>
    <w:rsid w:val="00DB5D1A"/>
    <w:rsid w:val="00DB5D71"/>
    <w:rsid w:val="00DB617E"/>
    <w:rsid w:val="00DB6794"/>
    <w:rsid w:val="00DB679B"/>
    <w:rsid w:val="00DB6AFE"/>
    <w:rsid w:val="00DB7167"/>
    <w:rsid w:val="00DB7BA7"/>
    <w:rsid w:val="00DB7CC4"/>
    <w:rsid w:val="00DB7D65"/>
    <w:rsid w:val="00DC00F9"/>
    <w:rsid w:val="00DC0235"/>
    <w:rsid w:val="00DC0707"/>
    <w:rsid w:val="00DC0A33"/>
    <w:rsid w:val="00DC0DCE"/>
    <w:rsid w:val="00DC0FCD"/>
    <w:rsid w:val="00DC0FF6"/>
    <w:rsid w:val="00DC1218"/>
    <w:rsid w:val="00DC1514"/>
    <w:rsid w:val="00DC1634"/>
    <w:rsid w:val="00DC1836"/>
    <w:rsid w:val="00DC1A15"/>
    <w:rsid w:val="00DC1C4A"/>
    <w:rsid w:val="00DC20C5"/>
    <w:rsid w:val="00DC24E9"/>
    <w:rsid w:val="00DC269B"/>
    <w:rsid w:val="00DC269F"/>
    <w:rsid w:val="00DC2C96"/>
    <w:rsid w:val="00DC31FE"/>
    <w:rsid w:val="00DC32B5"/>
    <w:rsid w:val="00DC35F6"/>
    <w:rsid w:val="00DC379A"/>
    <w:rsid w:val="00DC3A4C"/>
    <w:rsid w:val="00DC40D8"/>
    <w:rsid w:val="00DC446B"/>
    <w:rsid w:val="00DC4481"/>
    <w:rsid w:val="00DC45E5"/>
    <w:rsid w:val="00DC4690"/>
    <w:rsid w:val="00DC4809"/>
    <w:rsid w:val="00DC49DB"/>
    <w:rsid w:val="00DC4CF3"/>
    <w:rsid w:val="00DC4F2F"/>
    <w:rsid w:val="00DC5579"/>
    <w:rsid w:val="00DC56AB"/>
    <w:rsid w:val="00DC5747"/>
    <w:rsid w:val="00DC5A93"/>
    <w:rsid w:val="00DC610E"/>
    <w:rsid w:val="00DC612D"/>
    <w:rsid w:val="00DC6F9C"/>
    <w:rsid w:val="00DC7A71"/>
    <w:rsid w:val="00DC7D3B"/>
    <w:rsid w:val="00DC7DDC"/>
    <w:rsid w:val="00DD04C8"/>
    <w:rsid w:val="00DD0AD9"/>
    <w:rsid w:val="00DD15AE"/>
    <w:rsid w:val="00DD15C2"/>
    <w:rsid w:val="00DD1B6B"/>
    <w:rsid w:val="00DD1E81"/>
    <w:rsid w:val="00DD2207"/>
    <w:rsid w:val="00DD228D"/>
    <w:rsid w:val="00DD23AB"/>
    <w:rsid w:val="00DD28EC"/>
    <w:rsid w:val="00DD2DF5"/>
    <w:rsid w:val="00DD35FA"/>
    <w:rsid w:val="00DD373B"/>
    <w:rsid w:val="00DD3DB1"/>
    <w:rsid w:val="00DD42B3"/>
    <w:rsid w:val="00DD4E79"/>
    <w:rsid w:val="00DD5233"/>
    <w:rsid w:val="00DD524A"/>
    <w:rsid w:val="00DD5476"/>
    <w:rsid w:val="00DD5CC3"/>
    <w:rsid w:val="00DD5CC4"/>
    <w:rsid w:val="00DD5CE3"/>
    <w:rsid w:val="00DD5F38"/>
    <w:rsid w:val="00DD60CB"/>
    <w:rsid w:val="00DD7A34"/>
    <w:rsid w:val="00DE00E4"/>
    <w:rsid w:val="00DE02DE"/>
    <w:rsid w:val="00DE072B"/>
    <w:rsid w:val="00DE0897"/>
    <w:rsid w:val="00DE0DC8"/>
    <w:rsid w:val="00DE11E7"/>
    <w:rsid w:val="00DE12DA"/>
    <w:rsid w:val="00DE1C18"/>
    <w:rsid w:val="00DE290E"/>
    <w:rsid w:val="00DE2E10"/>
    <w:rsid w:val="00DE2E7E"/>
    <w:rsid w:val="00DE3084"/>
    <w:rsid w:val="00DE3200"/>
    <w:rsid w:val="00DE37A1"/>
    <w:rsid w:val="00DE3A55"/>
    <w:rsid w:val="00DE3B95"/>
    <w:rsid w:val="00DE4E42"/>
    <w:rsid w:val="00DE525E"/>
    <w:rsid w:val="00DE5F33"/>
    <w:rsid w:val="00DE6135"/>
    <w:rsid w:val="00DE6357"/>
    <w:rsid w:val="00DE6A95"/>
    <w:rsid w:val="00DE75D9"/>
    <w:rsid w:val="00DE7765"/>
    <w:rsid w:val="00DE7ACD"/>
    <w:rsid w:val="00DF09CE"/>
    <w:rsid w:val="00DF0D68"/>
    <w:rsid w:val="00DF11E5"/>
    <w:rsid w:val="00DF1445"/>
    <w:rsid w:val="00DF15ED"/>
    <w:rsid w:val="00DF162F"/>
    <w:rsid w:val="00DF19D7"/>
    <w:rsid w:val="00DF1A2F"/>
    <w:rsid w:val="00DF1C86"/>
    <w:rsid w:val="00DF1C93"/>
    <w:rsid w:val="00DF2054"/>
    <w:rsid w:val="00DF2DAA"/>
    <w:rsid w:val="00DF34E1"/>
    <w:rsid w:val="00DF4060"/>
    <w:rsid w:val="00DF4E48"/>
    <w:rsid w:val="00DF4E84"/>
    <w:rsid w:val="00DF579D"/>
    <w:rsid w:val="00DF5C8C"/>
    <w:rsid w:val="00DF6638"/>
    <w:rsid w:val="00DF69B6"/>
    <w:rsid w:val="00DF6DA4"/>
    <w:rsid w:val="00DF6DFE"/>
    <w:rsid w:val="00DF7296"/>
    <w:rsid w:val="00DF7A5D"/>
    <w:rsid w:val="00E00434"/>
    <w:rsid w:val="00E00B4F"/>
    <w:rsid w:val="00E010D6"/>
    <w:rsid w:val="00E0151B"/>
    <w:rsid w:val="00E019B8"/>
    <w:rsid w:val="00E01E77"/>
    <w:rsid w:val="00E0273B"/>
    <w:rsid w:val="00E02CEB"/>
    <w:rsid w:val="00E02F0C"/>
    <w:rsid w:val="00E036C3"/>
    <w:rsid w:val="00E039F7"/>
    <w:rsid w:val="00E03EA4"/>
    <w:rsid w:val="00E040D9"/>
    <w:rsid w:val="00E0420F"/>
    <w:rsid w:val="00E045EC"/>
    <w:rsid w:val="00E04644"/>
    <w:rsid w:val="00E04B97"/>
    <w:rsid w:val="00E04D37"/>
    <w:rsid w:val="00E04DC9"/>
    <w:rsid w:val="00E04E20"/>
    <w:rsid w:val="00E04E2E"/>
    <w:rsid w:val="00E04F5D"/>
    <w:rsid w:val="00E05130"/>
    <w:rsid w:val="00E0561A"/>
    <w:rsid w:val="00E05A3E"/>
    <w:rsid w:val="00E05DC3"/>
    <w:rsid w:val="00E06582"/>
    <w:rsid w:val="00E06859"/>
    <w:rsid w:val="00E06AED"/>
    <w:rsid w:val="00E0735A"/>
    <w:rsid w:val="00E076D4"/>
    <w:rsid w:val="00E07954"/>
    <w:rsid w:val="00E079E5"/>
    <w:rsid w:val="00E07B26"/>
    <w:rsid w:val="00E106AB"/>
    <w:rsid w:val="00E11081"/>
    <w:rsid w:val="00E11098"/>
    <w:rsid w:val="00E11240"/>
    <w:rsid w:val="00E115C9"/>
    <w:rsid w:val="00E1165B"/>
    <w:rsid w:val="00E11B89"/>
    <w:rsid w:val="00E1216B"/>
    <w:rsid w:val="00E12392"/>
    <w:rsid w:val="00E128D2"/>
    <w:rsid w:val="00E12971"/>
    <w:rsid w:val="00E12D23"/>
    <w:rsid w:val="00E133D9"/>
    <w:rsid w:val="00E137E6"/>
    <w:rsid w:val="00E13A8D"/>
    <w:rsid w:val="00E14032"/>
    <w:rsid w:val="00E142CB"/>
    <w:rsid w:val="00E14880"/>
    <w:rsid w:val="00E149D2"/>
    <w:rsid w:val="00E14FB0"/>
    <w:rsid w:val="00E153AA"/>
    <w:rsid w:val="00E1559B"/>
    <w:rsid w:val="00E15629"/>
    <w:rsid w:val="00E157BC"/>
    <w:rsid w:val="00E15DB0"/>
    <w:rsid w:val="00E15EE6"/>
    <w:rsid w:val="00E1602A"/>
    <w:rsid w:val="00E16424"/>
    <w:rsid w:val="00E165E6"/>
    <w:rsid w:val="00E16B76"/>
    <w:rsid w:val="00E16E96"/>
    <w:rsid w:val="00E171FD"/>
    <w:rsid w:val="00E172BA"/>
    <w:rsid w:val="00E1735D"/>
    <w:rsid w:val="00E17D93"/>
    <w:rsid w:val="00E2062F"/>
    <w:rsid w:val="00E20D02"/>
    <w:rsid w:val="00E20D91"/>
    <w:rsid w:val="00E21410"/>
    <w:rsid w:val="00E215BE"/>
    <w:rsid w:val="00E21B06"/>
    <w:rsid w:val="00E21C8E"/>
    <w:rsid w:val="00E21F18"/>
    <w:rsid w:val="00E22206"/>
    <w:rsid w:val="00E223E2"/>
    <w:rsid w:val="00E22909"/>
    <w:rsid w:val="00E22A16"/>
    <w:rsid w:val="00E23B19"/>
    <w:rsid w:val="00E23C31"/>
    <w:rsid w:val="00E23F4B"/>
    <w:rsid w:val="00E24D00"/>
    <w:rsid w:val="00E2523C"/>
    <w:rsid w:val="00E25305"/>
    <w:rsid w:val="00E25879"/>
    <w:rsid w:val="00E259C3"/>
    <w:rsid w:val="00E259C9"/>
    <w:rsid w:val="00E25BE4"/>
    <w:rsid w:val="00E25CD5"/>
    <w:rsid w:val="00E26057"/>
    <w:rsid w:val="00E261E4"/>
    <w:rsid w:val="00E26406"/>
    <w:rsid w:val="00E26DD3"/>
    <w:rsid w:val="00E27A3C"/>
    <w:rsid w:val="00E301B4"/>
    <w:rsid w:val="00E3029A"/>
    <w:rsid w:val="00E30D26"/>
    <w:rsid w:val="00E31F00"/>
    <w:rsid w:val="00E3204C"/>
    <w:rsid w:val="00E331BD"/>
    <w:rsid w:val="00E33D9C"/>
    <w:rsid w:val="00E342A7"/>
    <w:rsid w:val="00E34323"/>
    <w:rsid w:val="00E347B2"/>
    <w:rsid w:val="00E34F66"/>
    <w:rsid w:val="00E354BF"/>
    <w:rsid w:val="00E354E3"/>
    <w:rsid w:val="00E35A46"/>
    <w:rsid w:val="00E360EB"/>
    <w:rsid w:val="00E36351"/>
    <w:rsid w:val="00E363BF"/>
    <w:rsid w:val="00E3673A"/>
    <w:rsid w:val="00E37514"/>
    <w:rsid w:val="00E37D23"/>
    <w:rsid w:val="00E40E46"/>
    <w:rsid w:val="00E41A9C"/>
    <w:rsid w:val="00E41C19"/>
    <w:rsid w:val="00E41E27"/>
    <w:rsid w:val="00E41F77"/>
    <w:rsid w:val="00E429F0"/>
    <w:rsid w:val="00E42A6C"/>
    <w:rsid w:val="00E42B58"/>
    <w:rsid w:val="00E42B90"/>
    <w:rsid w:val="00E4323D"/>
    <w:rsid w:val="00E432E4"/>
    <w:rsid w:val="00E440E7"/>
    <w:rsid w:val="00E446BC"/>
    <w:rsid w:val="00E45738"/>
    <w:rsid w:val="00E45CC8"/>
    <w:rsid w:val="00E45E82"/>
    <w:rsid w:val="00E4630F"/>
    <w:rsid w:val="00E46B43"/>
    <w:rsid w:val="00E47957"/>
    <w:rsid w:val="00E47DFE"/>
    <w:rsid w:val="00E506EC"/>
    <w:rsid w:val="00E50AE1"/>
    <w:rsid w:val="00E513D1"/>
    <w:rsid w:val="00E51425"/>
    <w:rsid w:val="00E518F2"/>
    <w:rsid w:val="00E51BE5"/>
    <w:rsid w:val="00E51FBE"/>
    <w:rsid w:val="00E521A8"/>
    <w:rsid w:val="00E52531"/>
    <w:rsid w:val="00E5283B"/>
    <w:rsid w:val="00E5292F"/>
    <w:rsid w:val="00E529F4"/>
    <w:rsid w:val="00E52ED1"/>
    <w:rsid w:val="00E52F9A"/>
    <w:rsid w:val="00E531E4"/>
    <w:rsid w:val="00E5367F"/>
    <w:rsid w:val="00E54260"/>
    <w:rsid w:val="00E5480C"/>
    <w:rsid w:val="00E549D2"/>
    <w:rsid w:val="00E54E9F"/>
    <w:rsid w:val="00E5556D"/>
    <w:rsid w:val="00E55727"/>
    <w:rsid w:val="00E55A08"/>
    <w:rsid w:val="00E55ACB"/>
    <w:rsid w:val="00E563C4"/>
    <w:rsid w:val="00E56CA6"/>
    <w:rsid w:val="00E578CF"/>
    <w:rsid w:val="00E57CEC"/>
    <w:rsid w:val="00E57E32"/>
    <w:rsid w:val="00E57E88"/>
    <w:rsid w:val="00E57F17"/>
    <w:rsid w:val="00E6008D"/>
    <w:rsid w:val="00E61780"/>
    <w:rsid w:val="00E6182D"/>
    <w:rsid w:val="00E61A03"/>
    <w:rsid w:val="00E61B02"/>
    <w:rsid w:val="00E61D89"/>
    <w:rsid w:val="00E61D97"/>
    <w:rsid w:val="00E61F6B"/>
    <w:rsid w:val="00E62201"/>
    <w:rsid w:val="00E62D23"/>
    <w:rsid w:val="00E62DA1"/>
    <w:rsid w:val="00E62E0A"/>
    <w:rsid w:val="00E63147"/>
    <w:rsid w:val="00E643CC"/>
    <w:rsid w:val="00E64F73"/>
    <w:rsid w:val="00E65CAF"/>
    <w:rsid w:val="00E6656C"/>
    <w:rsid w:val="00E66945"/>
    <w:rsid w:val="00E6758A"/>
    <w:rsid w:val="00E67711"/>
    <w:rsid w:val="00E67AE6"/>
    <w:rsid w:val="00E67E76"/>
    <w:rsid w:val="00E70038"/>
    <w:rsid w:val="00E70136"/>
    <w:rsid w:val="00E70C93"/>
    <w:rsid w:val="00E715F5"/>
    <w:rsid w:val="00E71B90"/>
    <w:rsid w:val="00E71BFA"/>
    <w:rsid w:val="00E720A6"/>
    <w:rsid w:val="00E72308"/>
    <w:rsid w:val="00E7249E"/>
    <w:rsid w:val="00E7276B"/>
    <w:rsid w:val="00E72C9A"/>
    <w:rsid w:val="00E747DE"/>
    <w:rsid w:val="00E7491C"/>
    <w:rsid w:val="00E74D2C"/>
    <w:rsid w:val="00E754EB"/>
    <w:rsid w:val="00E757E2"/>
    <w:rsid w:val="00E759CD"/>
    <w:rsid w:val="00E75C5D"/>
    <w:rsid w:val="00E75C95"/>
    <w:rsid w:val="00E76225"/>
    <w:rsid w:val="00E76283"/>
    <w:rsid w:val="00E766B5"/>
    <w:rsid w:val="00E76712"/>
    <w:rsid w:val="00E76AB7"/>
    <w:rsid w:val="00E7764D"/>
    <w:rsid w:val="00E7773E"/>
    <w:rsid w:val="00E778E1"/>
    <w:rsid w:val="00E778F9"/>
    <w:rsid w:val="00E7792C"/>
    <w:rsid w:val="00E77B2B"/>
    <w:rsid w:val="00E77BAD"/>
    <w:rsid w:val="00E77FCB"/>
    <w:rsid w:val="00E80523"/>
    <w:rsid w:val="00E809DE"/>
    <w:rsid w:val="00E80A95"/>
    <w:rsid w:val="00E81358"/>
    <w:rsid w:val="00E8153F"/>
    <w:rsid w:val="00E8167D"/>
    <w:rsid w:val="00E818F2"/>
    <w:rsid w:val="00E81945"/>
    <w:rsid w:val="00E81E2D"/>
    <w:rsid w:val="00E83797"/>
    <w:rsid w:val="00E83DF5"/>
    <w:rsid w:val="00E83EDE"/>
    <w:rsid w:val="00E83F10"/>
    <w:rsid w:val="00E84574"/>
    <w:rsid w:val="00E85415"/>
    <w:rsid w:val="00E85575"/>
    <w:rsid w:val="00E855F8"/>
    <w:rsid w:val="00E85818"/>
    <w:rsid w:val="00E859D8"/>
    <w:rsid w:val="00E87877"/>
    <w:rsid w:val="00E903E8"/>
    <w:rsid w:val="00E90621"/>
    <w:rsid w:val="00E90910"/>
    <w:rsid w:val="00E90C73"/>
    <w:rsid w:val="00E91099"/>
    <w:rsid w:val="00E917BC"/>
    <w:rsid w:val="00E917EB"/>
    <w:rsid w:val="00E92A5B"/>
    <w:rsid w:val="00E93719"/>
    <w:rsid w:val="00E93A32"/>
    <w:rsid w:val="00E94039"/>
    <w:rsid w:val="00E944B7"/>
    <w:rsid w:val="00E94649"/>
    <w:rsid w:val="00E948AE"/>
    <w:rsid w:val="00E94E05"/>
    <w:rsid w:val="00E95197"/>
    <w:rsid w:val="00E95752"/>
    <w:rsid w:val="00E95B8D"/>
    <w:rsid w:val="00E960E6"/>
    <w:rsid w:val="00E96291"/>
    <w:rsid w:val="00E967D2"/>
    <w:rsid w:val="00E970F5"/>
    <w:rsid w:val="00E975C6"/>
    <w:rsid w:val="00E97662"/>
    <w:rsid w:val="00E979CE"/>
    <w:rsid w:val="00E97ABC"/>
    <w:rsid w:val="00EA0137"/>
    <w:rsid w:val="00EA020C"/>
    <w:rsid w:val="00EA0456"/>
    <w:rsid w:val="00EA04C2"/>
    <w:rsid w:val="00EA04CF"/>
    <w:rsid w:val="00EA1A7A"/>
    <w:rsid w:val="00EA2220"/>
    <w:rsid w:val="00EA27A8"/>
    <w:rsid w:val="00EA2FBF"/>
    <w:rsid w:val="00EA373F"/>
    <w:rsid w:val="00EA3964"/>
    <w:rsid w:val="00EA3FF0"/>
    <w:rsid w:val="00EA40C3"/>
    <w:rsid w:val="00EA484B"/>
    <w:rsid w:val="00EA4F65"/>
    <w:rsid w:val="00EA58C0"/>
    <w:rsid w:val="00EA5C4A"/>
    <w:rsid w:val="00EA6634"/>
    <w:rsid w:val="00EA67BA"/>
    <w:rsid w:val="00EA702F"/>
    <w:rsid w:val="00EA744B"/>
    <w:rsid w:val="00EA74F0"/>
    <w:rsid w:val="00EA7D8A"/>
    <w:rsid w:val="00EB028F"/>
    <w:rsid w:val="00EB040F"/>
    <w:rsid w:val="00EB161E"/>
    <w:rsid w:val="00EB1FC2"/>
    <w:rsid w:val="00EB1FEB"/>
    <w:rsid w:val="00EB20AD"/>
    <w:rsid w:val="00EB2204"/>
    <w:rsid w:val="00EB3094"/>
    <w:rsid w:val="00EB30AB"/>
    <w:rsid w:val="00EB3293"/>
    <w:rsid w:val="00EB39E2"/>
    <w:rsid w:val="00EB41EB"/>
    <w:rsid w:val="00EB422C"/>
    <w:rsid w:val="00EB446C"/>
    <w:rsid w:val="00EB476F"/>
    <w:rsid w:val="00EB4876"/>
    <w:rsid w:val="00EB4D46"/>
    <w:rsid w:val="00EB4DC3"/>
    <w:rsid w:val="00EB5065"/>
    <w:rsid w:val="00EB5350"/>
    <w:rsid w:val="00EB595A"/>
    <w:rsid w:val="00EB5FE0"/>
    <w:rsid w:val="00EB5FFD"/>
    <w:rsid w:val="00EB6B12"/>
    <w:rsid w:val="00EB73CC"/>
    <w:rsid w:val="00EB755A"/>
    <w:rsid w:val="00EB79AF"/>
    <w:rsid w:val="00EB7C59"/>
    <w:rsid w:val="00EB7CD6"/>
    <w:rsid w:val="00EC00B9"/>
    <w:rsid w:val="00EC0947"/>
    <w:rsid w:val="00EC0F67"/>
    <w:rsid w:val="00EC0FA5"/>
    <w:rsid w:val="00EC1243"/>
    <w:rsid w:val="00EC1767"/>
    <w:rsid w:val="00EC1B59"/>
    <w:rsid w:val="00EC1C6C"/>
    <w:rsid w:val="00EC1DB5"/>
    <w:rsid w:val="00EC1E4F"/>
    <w:rsid w:val="00EC2372"/>
    <w:rsid w:val="00EC2BD8"/>
    <w:rsid w:val="00EC2E2A"/>
    <w:rsid w:val="00EC2E47"/>
    <w:rsid w:val="00EC3285"/>
    <w:rsid w:val="00EC3BEF"/>
    <w:rsid w:val="00EC3D0C"/>
    <w:rsid w:val="00EC4692"/>
    <w:rsid w:val="00EC497D"/>
    <w:rsid w:val="00EC4B33"/>
    <w:rsid w:val="00EC5A74"/>
    <w:rsid w:val="00EC658B"/>
    <w:rsid w:val="00EC686A"/>
    <w:rsid w:val="00EC6D2A"/>
    <w:rsid w:val="00EC773A"/>
    <w:rsid w:val="00ED03D6"/>
    <w:rsid w:val="00ED0629"/>
    <w:rsid w:val="00ED106B"/>
    <w:rsid w:val="00ED113E"/>
    <w:rsid w:val="00ED1D25"/>
    <w:rsid w:val="00ED25B4"/>
    <w:rsid w:val="00ED277E"/>
    <w:rsid w:val="00ED27F7"/>
    <w:rsid w:val="00ED2946"/>
    <w:rsid w:val="00ED2C89"/>
    <w:rsid w:val="00ED2D02"/>
    <w:rsid w:val="00ED2D6A"/>
    <w:rsid w:val="00ED2DA0"/>
    <w:rsid w:val="00ED31AD"/>
    <w:rsid w:val="00ED3760"/>
    <w:rsid w:val="00ED3A33"/>
    <w:rsid w:val="00ED3D27"/>
    <w:rsid w:val="00ED49AE"/>
    <w:rsid w:val="00ED4FC7"/>
    <w:rsid w:val="00ED5207"/>
    <w:rsid w:val="00ED5569"/>
    <w:rsid w:val="00ED55F2"/>
    <w:rsid w:val="00ED563B"/>
    <w:rsid w:val="00ED5868"/>
    <w:rsid w:val="00ED5FD9"/>
    <w:rsid w:val="00ED6111"/>
    <w:rsid w:val="00ED62FF"/>
    <w:rsid w:val="00ED649F"/>
    <w:rsid w:val="00ED6E86"/>
    <w:rsid w:val="00ED701A"/>
    <w:rsid w:val="00ED7081"/>
    <w:rsid w:val="00ED7223"/>
    <w:rsid w:val="00ED7488"/>
    <w:rsid w:val="00ED7C43"/>
    <w:rsid w:val="00ED7CEF"/>
    <w:rsid w:val="00EE0A27"/>
    <w:rsid w:val="00EE0D1F"/>
    <w:rsid w:val="00EE0F38"/>
    <w:rsid w:val="00EE177C"/>
    <w:rsid w:val="00EE1CA5"/>
    <w:rsid w:val="00EE1F09"/>
    <w:rsid w:val="00EE2A1E"/>
    <w:rsid w:val="00EE31EB"/>
    <w:rsid w:val="00EE3648"/>
    <w:rsid w:val="00EE3DFB"/>
    <w:rsid w:val="00EE3EA1"/>
    <w:rsid w:val="00EE4ACC"/>
    <w:rsid w:val="00EE4EF4"/>
    <w:rsid w:val="00EE5618"/>
    <w:rsid w:val="00EE6787"/>
    <w:rsid w:val="00EE68AC"/>
    <w:rsid w:val="00EE6959"/>
    <w:rsid w:val="00EE6C4B"/>
    <w:rsid w:val="00EE7035"/>
    <w:rsid w:val="00EE78FA"/>
    <w:rsid w:val="00EE7B2B"/>
    <w:rsid w:val="00EE7B6D"/>
    <w:rsid w:val="00EF0092"/>
    <w:rsid w:val="00EF0439"/>
    <w:rsid w:val="00EF0B07"/>
    <w:rsid w:val="00EF0ED4"/>
    <w:rsid w:val="00EF1319"/>
    <w:rsid w:val="00EF160B"/>
    <w:rsid w:val="00EF1C85"/>
    <w:rsid w:val="00EF2375"/>
    <w:rsid w:val="00EF285A"/>
    <w:rsid w:val="00EF2A6C"/>
    <w:rsid w:val="00EF3645"/>
    <w:rsid w:val="00EF3866"/>
    <w:rsid w:val="00EF3957"/>
    <w:rsid w:val="00EF3AF2"/>
    <w:rsid w:val="00EF3C21"/>
    <w:rsid w:val="00EF4423"/>
    <w:rsid w:val="00EF46B6"/>
    <w:rsid w:val="00EF4735"/>
    <w:rsid w:val="00EF4B18"/>
    <w:rsid w:val="00EF4DDE"/>
    <w:rsid w:val="00EF59CD"/>
    <w:rsid w:val="00EF5B44"/>
    <w:rsid w:val="00EF5BD3"/>
    <w:rsid w:val="00EF5F85"/>
    <w:rsid w:val="00EF6081"/>
    <w:rsid w:val="00EF636C"/>
    <w:rsid w:val="00EF6494"/>
    <w:rsid w:val="00EF66FC"/>
    <w:rsid w:val="00EF687C"/>
    <w:rsid w:val="00EF6DDF"/>
    <w:rsid w:val="00EF706B"/>
    <w:rsid w:val="00EF712A"/>
    <w:rsid w:val="00EF7377"/>
    <w:rsid w:val="00EF7724"/>
    <w:rsid w:val="00EF7BE6"/>
    <w:rsid w:val="00EF7D3F"/>
    <w:rsid w:val="00F00040"/>
    <w:rsid w:val="00F0015E"/>
    <w:rsid w:val="00F00382"/>
    <w:rsid w:val="00F00579"/>
    <w:rsid w:val="00F011FD"/>
    <w:rsid w:val="00F016E7"/>
    <w:rsid w:val="00F017B8"/>
    <w:rsid w:val="00F02638"/>
    <w:rsid w:val="00F026E9"/>
    <w:rsid w:val="00F02B4E"/>
    <w:rsid w:val="00F02C23"/>
    <w:rsid w:val="00F02C66"/>
    <w:rsid w:val="00F0303F"/>
    <w:rsid w:val="00F031AE"/>
    <w:rsid w:val="00F03340"/>
    <w:rsid w:val="00F03394"/>
    <w:rsid w:val="00F0420E"/>
    <w:rsid w:val="00F042BF"/>
    <w:rsid w:val="00F052FD"/>
    <w:rsid w:val="00F054EE"/>
    <w:rsid w:val="00F057CC"/>
    <w:rsid w:val="00F05838"/>
    <w:rsid w:val="00F059C3"/>
    <w:rsid w:val="00F05E0B"/>
    <w:rsid w:val="00F05ECF"/>
    <w:rsid w:val="00F064BD"/>
    <w:rsid w:val="00F064E3"/>
    <w:rsid w:val="00F06981"/>
    <w:rsid w:val="00F06E94"/>
    <w:rsid w:val="00F1018B"/>
    <w:rsid w:val="00F104A5"/>
    <w:rsid w:val="00F105BC"/>
    <w:rsid w:val="00F108D6"/>
    <w:rsid w:val="00F10B0F"/>
    <w:rsid w:val="00F10CD9"/>
    <w:rsid w:val="00F10FBD"/>
    <w:rsid w:val="00F11371"/>
    <w:rsid w:val="00F11433"/>
    <w:rsid w:val="00F114D3"/>
    <w:rsid w:val="00F12382"/>
    <w:rsid w:val="00F12568"/>
    <w:rsid w:val="00F132B6"/>
    <w:rsid w:val="00F1341A"/>
    <w:rsid w:val="00F136DC"/>
    <w:rsid w:val="00F13E60"/>
    <w:rsid w:val="00F13FA2"/>
    <w:rsid w:val="00F14950"/>
    <w:rsid w:val="00F1497A"/>
    <w:rsid w:val="00F14A25"/>
    <w:rsid w:val="00F14CE5"/>
    <w:rsid w:val="00F15103"/>
    <w:rsid w:val="00F15440"/>
    <w:rsid w:val="00F15A97"/>
    <w:rsid w:val="00F15AD2"/>
    <w:rsid w:val="00F15F5B"/>
    <w:rsid w:val="00F160B7"/>
    <w:rsid w:val="00F16DEE"/>
    <w:rsid w:val="00F1723B"/>
    <w:rsid w:val="00F17713"/>
    <w:rsid w:val="00F17798"/>
    <w:rsid w:val="00F17A0C"/>
    <w:rsid w:val="00F17D39"/>
    <w:rsid w:val="00F17E53"/>
    <w:rsid w:val="00F2062B"/>
    <w:rsid w:val="00F209A1"/>
    <w:rsid w:val="00F20C55"/>
    <w:rsid w:val="00F21B8D"/>
    <w:rsid w:val="00F21BED"/>
    <w:rsid w:val="00F21CC2"/>
    <w:rsid w:val="00F21EEC"/>
    <w:rsid w:val="00F21F02"/>
    <w:rsid w:val="00F21FD0"/>
    <w:rsid w:val="00F220D6"/>
    <w:rsid w:val="00F2294C"/>
    <w:rsid w:val="00F22C8D"/>
    <w:rsid w:val="00F23034"/>
    <w:rsid w:val="00F230E2"/>
    <w:rsid w:val="00F23462"/>
    <w:rsid w:val="00F23870"/>
    <w:rsid w:val="00F23ED7"/>
    <w:rsid w:val="00F2465A"/>
    <w:rsid w:val="00F247E2"/>
    <w:rsid w:val="00F24969"/>
    <w:rsid w:val="00F24B9C"/>
    <w:rsid w:val="00F24BB6"/>
    <w:rsid w:val="00F24F3A"/>
    <w:rsid w:val="00F24F92"/>
    <w:rsid w:val="00F2520D"/>
    <w:rsid w:val="00F258A7"/>
    <w:rsid w:val="00F25D47"/>
    <w:rsid w:val="00F26076"/>
    <w:rsid w:val="00F263AE"/>
    <w:rsid w:val="00F264F4"/>
    <w:rsid w:val="00F266ED"/>
    <w:rsid w:val="00F27617"/>
    <w:rsid w:val="00F27831"/>
    <w:rsid w:val="00F27BAB"/>
    <w:rsid w:val="00F27BDD"/>
    <w:rsid w:val="00F27C30"/>
    <w:rsid w:val="00F30084"/>
    <w:rsid w:val="00F30300"/>
    <w:rsid w:val="00F30E17"/>
    <w:rsid w:val="00F30EC5"/>
    <w:rsid w:val="00F31096"/>
    <w:rsid w:val="00F318A5"/>
    <w:rsid w:val="00F31A5C"/>
    <w:rsid w:val="00F31F0B"/>
    <w:rsid w:val="00F320FD"/>
    <w:rsid w:val="00F3214F"/>
    <w:rsid w:val="00F32478"/>
    <w:rsid w:val="00F32CD8"/>
    <w:rsid w:val="00F32F5E"/>
    <w:rsid w:val="00F33687"/>
    <w:rsid w:val="00F337D8"/>
    <w:rsid w:val="00F33C94"/>
    <w:rsid w:val="00F34288"/>
    <w:rsid w:val="00F35626"/>
    <w:rsid w:val="00F359F7"/>
    <w:rsid w:val="00F36150"/>
    <w:rsid w:val="00F364D8"/>
    <w:rsid w:val="00F36544"/>
    <w:rsid w:val="00F36D90"/>
    <w:rsid w:val="00F370D0"/>
    <w:rsid w:val="00F37252"/>
    <w:rsid w:val="00F373B2"/>
    <w:rsid w:val="00F37432"/>
    <w:rsid w:val="00F374BF"/>
    <w:rsid w:val="00F375FC"/>
    <w:rsid w:val="00F37A7A"/>
    <w:rsid w:val="00F37B2B"/>
    <w:rsid w:val="00F37FF4"/>
    <w:rsid w:val="00F41BB5"/>
    <w:rsid w:val="00F41F1D"/>
    <w:rsid w:val="00F42427"/>
    <w:rsid w:val="00F42F0D"/>
    <w:rsid w:val="00F433CD"/>
    <w:rsid w:val="00F43516"/>
    <w:rsid w:val="00F436DF"/>
    <w:rsid w:val="00F43D65"/>
    <w:rsid w:val="00F441EA"/>
    <w:rsid w:val="00F44464"/>
    <w:rsid w:val="00F4516D"/>
    <w:rsid w:val="00F458F9"/>
    <w:rsid w:val="00F45F76"/>
    <w:rsid w:val="00F46520"/>
    <w:rsid w:val="00F467BC"/>
    <w:rsid w:val="00F467C4"/>
    <w:rsid w:val="00F46A80"/>
    <w:rsid w:val="00F46AE7"/>
    <w:rsid w:val="00F47169"/>
    <w:rsid w:val="00F47257"/>
    <w:rsid w:val="00F50730"/>
    <w:rsid w:val="00F50AC0"/>
    <w:rsid w:val="00F50DC8"/>
    <w:rsid w:val="00F51942"/>
    <w:rsid w:val="00F51D3E"/>
    <w:rsid w:val="00F51FD1"/>
    <w:rsid w:val="00F52140"/>
    <w:rsid w:val="00F52483"/>
    <w:rsid w:val="00F52640"/>
    <w:rsid w:val="00F52F81"/>
    <w:rsid w:val="00F53157"/>
    <w:rsid w:val="00F533F8"/>
    <w:rsid w:val="00F53506"/>
    <w:rsid w:val="00F5380C"/>
    <w:rsid w:val="00F53A57"/>
    <w:rsid w:val="00F54363"/>
    <w:rsid w:val="00F54744"/>
    <w:rsid w:val="00F54832"/>
    <w:rsid w:val="00F548E1"/>
    <w:rsid w:val="00F54C8D"/>
    <w:rsid w:val="00F54D17"/>
    <w:rsid w:val="00F54FA3"/>
    <w:rsid w:val="00F554E0"/>
    <w:rsid w:val="00F5566D"/>
    <w:rsid w:val="00F55F79"/>
    <w:rsid w:val="00F55FF3"/>
    <w:rsid w:val="00F569CE"/>
    <w:rsid w:val="00F570F2"/>
    <w:rsid w:val="00F5713F"/>
    <w:rsid w:val="00F572E7"/>
    <w:rsid w:val="00F57614"/>
    <w:rsid w:val="00F57735"/>
    <w:rsid w:val="00F57B06"/>
    <w:rsid w:val="00F6014C"/>
    <w:rsid w:val="00F61358"/>
    <w:rsid w:val="00F6176C"/>
    <w:rsid w:val="00F6204A"/>
    <w:rsid w:val="00F6211F"/>
    <w:rsid w:val="00F622B2"/>
    <w:rsid w:val="00F62300"/>
    <w:rsid w:val="00F62607"/>
    <w:rsid w:val="00F626C7"/>
    <w:rsid w:val="00F630FC"/>
    <w:rsid w:val="00F63E78"/>
    <w:rsid w:val="00F64AAF"/>
    <w:rsid w:val="00F64AC4"/>
    <w:rsid w:val="00F64C90"/>
    <w:rsid w:val="00F650B6"/>
    <w:rsid w:val="00F655A6"/>
    <w:rsid w:val="00F6574E"/>
    <w:rsid w:val="00F657DB"/>
    <w:rsid w:val="00F65CC8"/>
    <w:rsid w:val="00F67292"/>
    <w:rsid w:val="00F672BA"/>
    <w:rsid w:val="00F67414"/>
    <w:rsid w:val="00F675B7"/>
    <w:rsid w:val="00F676A4"/>
    <w:rsid w:val="00F67A8E"/>
    <w:rsid w:val="00F67B35"/>
    <w:rsid w:val="00F704D7"/>
    <w:rsid w:val="00F7052A"/>
    <w:rsid w:val="00F7080B"/>
    <w:rsid w:val="00F70966"/>
    <w:rsid w:val="00F70C28"/>
    <w:rsid w:val="00F70E0B"/>
    <w:rsid w:val="00F70E2E"/>
    <w:rsid w:val="00F71780"/>
    <w:rsid w:val="00F72867"/>
    <w:rsid w:val="00F72B30"/>
    <w:rsid w:val="00F72CE7"/>
    <w:rsid w:val="00F73006"/>
    <w:rsid w:val="00F73734"/>
    <w:rsid w:val="00F7377C"/>
    <w:rsid w:val="00F73790"/>
    <w:rsid w:val="00F73AE6"/>
    <w:rsid w:val="00F74458"/>
    <w:rsid w:val="00F74894"/>
    <w:rsid w:val="00F748B7"/>
    <w:rsid w:val="00F74C7B"/>
    <w:rsid w:val="00F74D3F"/>
    <w:rsid w:val="00F75285"/>
    <w:rsid w:val="00F7587F"/>
    <w:rsid w:val="00F7666E"/>
    <w:rsid w:val="00F77191"/>
    <w:rsid w:val="00F77731"/>
    <w:rsid w:val="00F77947"/>
    <w:rsid w:val="00F77C3F"/>
    <w:rsid w:val="00F77F0C"/>
    <w:rsid w:val="00F801B5"/>
    <w:rsid w:val="00F8035B"/>
    <w:rsid w:val="00F80755"/>
    <w:rsid w:val="00F807E1"/>
    <w:rsid w:val="00F80888"/>
    <w:rsid w:val="00F815F3"/>
    <w:rsid w:val="00F81638"/>
    <w:rsid w:val="00F817F8"/>
    <w:rsid w:val="00F81BE0"/>
    <w:rsid w:val="00F82279"/>
    <w:rsid w:val="00F82756"/>
    <w:rsid w:val="00F82816"/>
    <w:rsid w:val="00F83005"/>
    <w:rsid w:val="00F8359C"/>
    <w:rsid w:val="00F83FF0"/>
    <w:rsid w:val="00F844D1"/>
    <w:rsid w:val="00F84704"/>
    <w:rsid w:val="00F847BC"/>
    <w:rsid w:val="00F84BE0"/>
    <w:rsid w:val="00F8532A"/>
    <w:rsid w:val="00F85FE3"/>
    <w:rsid w:val="00F86253"/>
    <w:rsid w:val="00F86823"/>
    <w:rsid w:val="00F868BF"/>
    <w:rsid w:val="00F86B59"/>
    <w:rsid w:val="00F8703B"/>
    <w:rsid w:val="00F87060"/>
    <w:rsid w:val="00F8764A"/>
    <w:rsid w:val="00F876A5"/>
    <w:rsid w:val="00F8790C"/>
    <w:rsid w:val="00F9013A"/>
    <w:rsid w:val="00F901BE"/>
    <w:rsid w:val="00F902CC"/>
    <w:rsid w:val="00F9055F"/>
    <w:rsid w:val="00F9059B"/>
    <w:rsid w:val="00F90629"/>
    <w:rsid w:val="00F90703"/>
    <w:rsid w:val="00F907D1"/>
    <w:rsid w:val="00F90D39"/>
    <w:rsid w:val="00F9100B"/>
    <w:rsid w:val="00F91280"/>
    <w:rsid w:val="00F91844"/>
    <w:rsid w:val="00F92553"/>
    <w:rsid w:val="00F92C1F"/>
    <w:rsid w:val="00F92EE2"/>
    <w:rsid w:val="00F93F1F"/>
    <w:rsid w:val="00F94588"/>
    <w:rsid w:val="00F947D0"/>
    <w:rsid w:val="00F94AF3"/>
    <w:rsid w:val="00F94DA3"/>
    <w:rsid w:val="00F95832"/>
    <w:rsid w:val="00F95A43"/>
    <w:rsid w:val="00F96407"/>
    <w:rsid w:val="00F96CF6"/>
    <w:rsid w:val="00F96E74"/>
    <w:rsid w:val="00F97015"/>
    <w:rsid w:val="00F97738"/>
    <w:rsid w:val="00F97883"/>
    <w:rsid w:val="00F97D83"/>
    <w:rsid w:val="00FA09E2"/>
    <w:rsid w:val="00FA0AFE"/>
    <w:rsid w:val="00FA0C0B"/>
    <w:rsid w:val="00FA0FAF"/>
    <w:rsid w:val="00FA10F6"/>
    <w:rsid w:val="00FA1967"/>
    <w:rsid w:val="00FA2306"/>
    <w:rsid w:val="00FA234E"/>
    <w:rsid w:val="00FA2E6E"/>
    <w:rsid w:val="00FA2F2F"/>
    <w:rsid w:val="00FA33E3"/>
    <w:rsid w:val="00FA34F6"/>
    <w:rsid w:val="00FA3D2F"/>
    <w:rsid w:val="00FA3F99"/>
    <w:rsid w:val="00FA41FD"/>
    <w:rsid w:val="00FA47C7"/>
    <w:rsid w:val="00FA4BF5"/>
    <w:rsid w:val="00FA4C0C"/>
    <w:rsid w:val="00FA561D"/>
    <w:rsid w:val="00FA5724"/>
    <w:rsid w:val="00FA603E"/>
    <w:rsid w:val="00FA612A"/>
    <w:rsid w:val="00FA63A0"/>
    <w:rsid w:val="00FA6854"/>
    <w:rsid w:val="00FA6C1C"/>
    <w:rsid w:val="00FA707D"/>
    <w:rsid w:val="00FA7688"/>
    <w:rsid w:val="00FA7B31"/>
    <w:rsid w:val="00FB0005"/>
    <w:rsid w:val="00FB01D3"/>
    <w:rsid w:val="00FB01D4"/>
    <w:rsid w:val="00FB09F6"/>
    <w:rsid w:val="00FB0B64"/>
    <w:rsid w:val="00FB11C6"/>
    <w:rsid w:val="00FB1945"/>
    <w:rsid w:val="00FB1DB3"/>
    <w:rsid w:val="00FB200A"/>
    <w:rsid w:val="00FB2073"/>
    <w:rsid w:val="00FB213A"/>
    <w:rsid w:val="00FB25EF"/>
    <w:rsid w:val="00FB2803"/>
    <w:rsid w:val="00FB3050"/>
    <w:rsid w:val="00FB3058"/>
    <w:rsid w:val="00FB361D"/>
    <w:rsid w:val="00FB364E"/>
    <w:rsid w:val="00FB3A33"/>
    <w:rsid w:val="00FB3D86"/>
    <w:rsid w:val="00FB49BE"/>
    <w:rsid w:val="00FB4E76"/>
    <w:rsid w:val="00FB4FF4"/>
    <w:rsid w:val="00FB5288"/>
    <w:rsid w:val="00FB5576"/>
    <w:rsid w:val="00FB55F3"/>
    <w:rsid w:val="00FB58C9"/>
    <w:rsid w:val="00FB5F7C"/>
    <w:rsid w:val="00FB6C54"/>
    <w:rsid w:val="00FB708E"/>
    <w:rsid w:val="00FB71E8"/>
    <w:rsid w:val="00FB71F3"/>
    <w:rsid w:val="00FB7811"/>
    <w:rsid w:val="00FB7A66"/>
    <w:rsid w:val="00FB7BC1"/>
    <w:rsid w:val="00FC0256"/>
    <w:rsid w:val="00FC08B4"/>
    <w:rsid w:val="00FC0A88"/>
    <w:rsid w:val="00FC16B8"/>
    <w:rsid w:val="00FC16C7"/>
    <w:rsid w:val="00FC1D00"/>
    <w:rsid w:val="00FC1FF6"/>
    <w:rsid w:val="00FC229A"/>
    <w:rsid w:val="00FC25B9"/>
    <w:rsid w:val="00FC2E67"/>
    <w:rsid w:val="00FC31BF"/>
    <w:rsid w:val="00FC33BC"/>
    <w:rsid w:val="00FC3838"/>
    <w:rsid w:val="00FC3ED9"/>
    <w:rsid w:val="00FC3EE6"/>
    <w:rsid w:val="00FC46B8"/>
    <w:rsid w:val="00FC4A5C"/>
    <w:rsid w:val="00FC4EDF"/>
    <w:rsid w:val="00FC50DE"/>
    <w:rsid w:val="00FC5683"/>
    <w:rsid w:val="00FC5820"/>
    <w:rsid w:val="00FC624B"/>
    <w:rsid w:val="00FC6D8E"/>
    <w:rsid w:val="00FC714E"/>
    <w:rsid w:val="00FD00B0"/>
    <w:rsid w:val="00FD0698"/>
    <w:rsid w:val="00FD13BF"/>
    <w:rsid w:val="00FD18A3"/>
    <w:rsid w:val="00FD1E52"/>
    <w:rsid w:val="00FD1FB9"/>
    <w:rsid w:val="00FD20C6"/>
    <w:rsid w:val="00FD210C"/>
    <w:rsid w:val="00FD23CE"/>
    <w:rsid w:val="00FD335C"/>
    <w:rsid w:val="00FD34AD"/>
    <w:rsid w:val="00FD34C0"/>
    <w:rsid w:val="00FD3CD8"/>
    <w:rsid w:val="00FD4032"/>
    <w:rsid w:val="00FD4202"/>
    <w:rsid w:val="00FD423F"/>
    <w:rsid w:val="00FD47C4"/>
    <w:rsid w:val="00FD4F6E"/>
    <w:rsid w:val="00FD5130"/>
    <w:rsid w:val="00FD515D"/>
    <w:rsid w:val="00FD51D9"/>
    <w:rsid w:val="00FD5A05"/>
    <w:rsid w:val="00FD6406"/>
    <w:rsid w:val="00FD6DBB"/>
    <w:rsid w:val="00FD7084"/>
    <w:rsid w:val="00FD784B"/>
    <w:rsid w:val="00FE00CA"/>
    <w:rsid w:val="00FE0348"/>
    <w:rsid w:val="00FE036A"/>
    <w:rsid w:val="00FE1170"/>
    <w:rsid w:val="00FE2167"/>
    <w:rsid w:val="00FE234D"/>
    <w:rsid w:val="00FE253F"/>
    <w:rsid w:val="00FE2826"/>
    <w:rsid w:val="00FE2A44"/>
    <w:rsid w:val="00FE2BB4"/>
    <w:rsid w:val="00FE35E5"/>
    <w:rsid w:val="00FE3716"/>
    <w:rsid w:val="00FE38A2"/>
    <w:rsid w:val="00FE3AE5"/>
    <w:rsid w:val="00FE45E1"/>
    <w:rsid w:val="00FE4686"/>
    <w:rsid w:val="00FE531A"/>
    <w:rsid w:val="00FE553E"/>
    <w:rsid w:val="00FE57A9"/>
    <w:rsid w:val="00FE5C22"/>
    <w:rsid w:val="00FE5EA5"/>
    <w:rsid w:val="00FE6023"/>
    <w:rsid w:val="00FE6137"/>
    <w:rsid w:val="00FE61A6"/>
    <w:rsid w:val="00FE6A17"/>
    <w:rsid w:val="00FE6DD3"/>
    <w:rsid w:val="00FE6E19"/>
    <w:rsid w:val="00FE6EC3"/>
    <w:rsid w:val="00FE6ED5"/>
    <w:rsid w:val="00FE6FF0"/>
    <w:rsid w:val="00FE7061"/>
    <w:rsid w:val="00FE70B2"/>
    <w:rsid w:val="00FE7768"/>
    <w:rsid w:val="00FF0CAA"/>
    <w:rsid w:val="00FF0E3A"/>
    <w:rsid w:val="00FF150A"/>
    <w:rsid w:val="00FF1554"/>
    <w:rsid w:val="00FF1565"/>
    <w:rsid w:val="00FF16DE"/>
    <w:rsid w:val="00FF2475"/>
    <w:rsid w:val="00FF2A3F"/>
    <w:rsid w:val="00FF37D5"/>
    <w:rsid w:val="00FF38DB"/>
    <w:rsid w:val="00FF3B33"/>
    <w:rsid w:val="00FF3BD2"/>
    <w:rsid w:val="00FF42DF"/>
    <w:rsid w:val="00FF44A8"/>
    <w:rsid w:val="00FF494B"/>
    <w:rsid w:val="00FF4BCA"/>
    <w:rsid w:val="00FF51D2"/>
    <w:rsid w:val="00FF59D5"/>
    <w:rsid w:val="00FF5A4E"/>
    <w:rsid w:val="00FF5C9B"/>
    <w:rsid w:val="00FF6221"/>
    <w:rsid w:val="00FF6863"/>
    <w:rsid w:val="00FF69D7"/>
    <w:rsid w:val="00FF72D4"/>
    <w:rsid w:val="00FF75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9" w:qFormat="1"/>
    <w:lsdException w:name="heading 8" w:uiPriority="99" w:qFormat="1"/>
    <w:lsdException w:name="heading 9" w:semiHidden="1" w:uiPriority="99" w:unhideWhenUsed="1"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Normal Indent" w:uiPriority="99" w:qFormat="1"/>
    <w:lsdException w:name="footnote text" w:uiPriority="99" w:qFormat="1"/>
    <w:lsdException w:name="annotation text" w:uiPriority="99"/>
    <w:lsdException w:name="header" w:uiPriority="99" w:qFormat="1"/>
    <w:lsdException w:name="footer" w:uiPriority="99"/>
    <w:lsdException w:name="index heading" w:uiPriority="99"/>
    <w:lsdException w:name="caption" w:semiHidden="1" w:uiPriority="35" w:unhideWhenUsed="1" w:qFormat="1"/>
    <w:lsdException w:name="table of figures" w:uiPriority="99" w:qFormat="1"/>
    <w:lsdException w:name="footnote reference" w:uiPriority="99" w:qFormat="1"/>
    <w:lsdException w:name="line number" w:uiPriority="99"/>
    <w:lsdException w:name="page number" w:uiPriority="99"/>
    <w:lsdException w:name="endnote text" w:uiPriority="99"/>
    <w:lsdException w:name="List" w:uiPriority="99"/>
    <w:lsdException w:name="List Bullet" w:uiPriority="99" w:qFormat="1"/>
    <w:lsdException w:name="List Bullet 2" w:uiPriority="99"/>
    <w:lsdException w:name="Title" w:uiPriority="10" w:qFormat="1"/>
    <w:lsdException w:name="Body Text" w:uiPriority="99" w:qFormat="1"/>
    <w:lsdException w:name="Body Text Indent" w:qFormat="1"/>
    <w:lsdException w:name="List Continue 2" w:uiPriority="99"/>
    <w:lsdException w:name="Subtitle" w:uiPriority="11" w:qFormat="1"/>
    <w:lsdException w:name="Body Text First Indent"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99" w:qFormat="1"/>
    <w:lsdException w:name="Document Map" w:uiPriority="99"/>
    <w:lsdException w:name="Plain Text" w:uiPriority="99"/>
    <w:lsdException w:name="Normal (Web)" w:uiPriority="99" w:qFormat="1"/>
    <w:lsdException w:name="HTML Preformatted" w:uiPriority="99"/>
    <w:lsdException w:name="annotation subject" w:uiPriority="99"/>
    <w:lsdException w:name="No List" w:uiPriority="99"/>
    <w:lsdException w:name="Table Columns 2" w:uiPriority="99"/>
    <w:lsdException w:name="Table Columns 3" w:uiPriority="99"/>
    <w:lsdException w:name="Table List 7" w:uiPriority="99"/>
    <w:lsdException w:name="Table Contemporary" w:uiPriority="99"/>
    <w:lsdException w:name="Table Web 1" w:uiPriority="99"/>
    <w:lsdException w:name="Table Web 2"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99"/>
    <w:lsdException w:name="Medium Shading 1 Accent 5" w:uiPriority="99"/>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atentStyles>
  <w:style w:type="paragraph" w:default="1" w:styleId="Normal">
    <w:name w:val="Normal"/>
    <w:qFormat/>
    <w:rsid w:val="00AD7528"/>
    <w:rPr>
      <w:rFonts w:ascii="Arial Armenian" w:hAnsi="Arial Armenian"/>
      <w:sz w:val="24"/>
      <w:szCs w:val="24"/>
    </w:rPr>
  </w:style>
  <w:style w:type="paragraph" w:styleId="Heading1">
    <w:name w:val="heading 1"/>
    <w:basedOn w:val="Normal"/>
    <w:next w:val="Normal"/>
    <w:link w:val="Heading1Char"/>
    <w:uiPriority w:val="9"/>
    <w:qFormat/>
    <w:rsid w:val="00AD1C4B"/>
    <w:pPr>
      <w:keepNext/>
      <w:overflowPunct w:val="0"/>
      <w:autoSpaceDE w:val="0"/>
      <w:autoSpaceDN w:val="0"/>
      <w:adjustRightInd w:val="0"/>
      <w:spacing w:line="480" w:lineRule="auto"/>
      <w:ind w:firstLine="720"/>
      <w:jc w:val="both"/>
      <w:textAlignment w:val="baseline"/>
      <w:outlineLvl w:val="0"/>
    </w:pPr>
    <w:rPr>
      <w:rFonts w:ascii="Times Armenian" w:hAnsi="Times Armenian"/>
      <w:b/>
      <w:i/>
      <w:sz w:val="26"/>
      <w:szCs w:val="20"/>
    </w:rPr>
  </w:style>
  <w:style w:type="paragraph" w:styleId="Heading2">
    <w:name w:val="heading 2"/>
    <w:aliases w:val="Paranum"/>
    <w:basedOn w:val="Normal"/>
    <w:next w:val="Normal"/>
    <w:link w:val="Heading2Char"/>
    <w:qFormat/>
    <w:rsid w:val="00AD1C4B"/>
    <w:pPr>
      <w:keepNext/>
      <w:overflowPunct w:val="0"/>
      <w:autoSpaceDE w:val="0"/>
      <w:autoSpaceDN w:val="0"/>
      <w:adjustRightInd w:val="0"/>
      <w:spacing w:before="240" w:after="60"/>
      <w:textAlignment w:val="baseline"/>
      <w:outlineLvl w:val="1"/>
    </w:pPr>
    <w:rPr>
      <w:rFonts w:ascii="Arial" w:hAnsi="Arial"/>
      <w:b/>
      <w:i/>
      <w:sz w:val="28"/>
      <w:szCs w:val="20"/>
    </w:rPr>
  </w:style>
  <w:style w:type="paragraph" w:styleId="Heading3">
    <w:name w:val="heading 3"/>
    <w:aliases w:val="Centered,(text),(Sub-Chapter),Heading 3 Char Char Char Char Char Char"/>
    <w:basedOn w:val="Normal"/>
    <w:next w:val="Normal"/>
    <w:link w:val="Heading3Char"/>
    <w:uiPriority w:val="9"/>
    <w:qFormat/>
    <w:rsid w:val="00AD1C4B"/>
    <w:pPr>
      <w:keepNext/>
      <w:overflowPunct w:val="0"/>
      <w:autoSpaceDE w:val="0"/>
      <w:autoSpaceDN w:val="0"/>
      <w:adjustRightInd w:val="0"/>
      <w:spacing w:line="480" w:lineRule="auto"/>
      <w:ind w:firstLine="720"/>
      <w:jc w:val="both"/>
      <w:textAlignment w:val="baseline"/>
      <w:outlineLvl w:val="2"/>
    </w:pPr>
    <w:rPr>
      <w:rFonts w:ascii="Times Armenian" w:hAnsi="Times Armenian"/>
      <w:b/>
      <w:i/>
      <w:sz w:val="28"/>
      <w:szCs w:val="20"/>
      <w:u w:val="single"/>
    </w:rPr>
  </w:style>
  <w:style w:type="paragraph" w:styleId="Heading4">
    <w:name w:val="heading 4"/>
    <w:aliases w:val="Centred,List Paragraph5,PDP DOCUMENT SUBTITLE,Table no. List Paragraph,Абзац списка3,Bullet Points,List Paragraph111,Bullet paras,OBC Bullet,Normal numbered,Titulo 2,Report Para,Number Bullets,Resume Title,heading 4,Citation List"/>
    <w:basedOn w:val="Normal"/>
    <w:next w:val="Normal"/>
    <w:link w:val="Heading4Char"/>
    <w:uiPriority w:val="9"/>
    <w:qFormat/>
    <w:rsid w:val="00AD1C4B"/>
    <w:pPr>
      <w:keepNext/>
      <w:jc w:val="center"/>
      <w:outlineLvl w:val="3"/>
    </w:pPr>
    <w:rPr>
      <w:rFonts w:ascii="Times Armenian" w:hAnsi="Times Armenian"/>
      <w:b/>
      <w:bCs/>
      <w:sz w:val="22"/>
    </w:rPr>
  </w:style>
  <w:style w:type="paragraph" w:styleId="Heading5">
    <w:name w:val="heading 5"/>
    <w:aliases w:val="Side"/>
    <w:basedOn w:val="Normal"/>
    <w:next w:val="Normal"/>
    <w:link w:val="Heading5Char"/>
    <w:uiPriority w:val="9"/>
    <w:qFormat/>
    <w:rsid w:val="00AD1C4B"/>
    <w:pPr>
      <w:keepNext/>
      <w:spacing w:line="360" w:lineRule="auto"/>
      <w:ind w:firstLine="720"/>
      <w:jc w:val="both"/>
      <w:outlineLvl w:val="4"/>
    </w:pPr>
    <w:rPr>
      <w:rFonts w:ascii="Times Armenian" w:hAnsi="Times Armenian"/>
      <w:b/>
      <w:bCs/>
    </w:rPr>
  </w:style>
  <w:style w:type="paragraph" w:styleId="Heading6">
    <w:name w:val="heading 6"/>
    <w:basedOn w:val="Normal"/>
    <w:next w:val="Normal"/>
    <w:link w:val="Heading6Char"/>
    <w:uiPriority w:val="9"/>
    <w:qFormat/>
    <w:rsid w:val="00DD23AB"/>
    <w:pPr>
      <w:keepNext/>
      <w:spacing w:line="360" w:lineRule="auto"/>
      <w:ind w:left="720"/>
      <w:jc w:val="both"/>
      <w:outlineLvl w:val="5"/>
    </w:pPr>
    <w:rPr>
      <w:rFonts w:ascii="Times Armenian" w:hAnsi="Times Armenian"/>
      <w:noProof/>
      <w:u w:val="single"/>
      <w:lang w:val="hy-AM"/>
    </w:rPr>
  </w:style>
  <w:style w:type="paragraph" w:styleId="Heading7">
    <w:name w:val="heading 7"/>
    <w:basedOn w:val="Normal"/>
    <w:next w:val="Normal"/>
    <w:link w:val="Heading7Char"/>
    <w:uiPriority w:val="99"/>
    <w:qFormat/>
    <w:rsid w:val="00184E74"/>
    <w:pPr>
      <w:spacing w:before="240" w:after="60"/>
      <w:outlineLvl w:val="6"/>
    </w:pPr>
    <w:rPr>
      <w:rFonts w:ascii="Times New Roman" w:hAnsi="Times New Roman"/>
    </w:rPr>
  </w:style>
  <w:style w:type="paragraph" w:styleId="Heading8">
    <w:name w:val="heading 8"/>
    <w:basedOn w:val="Normal"/>
    <w:next w:val="Normal"/>
    <w:link w:val="Heading8Char"/>
    <w:uiPriority w:val="99"/>
    <w:qFormat/>
    <w:rsid w:val="00360E40"/>
    <w:p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rsid w:val="00DD23AB"/>
    <w:pPr>
      <w:overflowPunct w:val="0"/>
      <w:autoSpaceDE w:val="0"/>
      <w:autoSpaceDN w:val="0"/>
      <w:adjustRightInd w:val="0"/>
      <w:spacing w:before="240" w:after="60"/>
      <w:textAlignment w:val="baseline"/>
      <w:outlineLvl w:val="8"/>
    </w:pPr>
    <w:rPr>
      <w:rFonts w:ascii="Times New Roman" w:hAnsi="Times New Roman"/>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9712A5"/>
    <w:pPr>
      <w:spacing w:after="160" w:line="240" w:lineRule="exact"/>
    </w:pPr>
    <w:rPr>
      <w:rFonts w:ascii="Arial" w:hAnsi="Arial" w:cs="Arial"/>
      <w:sz w:val="20"/>
      <w:szCs w:val="20"/>
    </w:rPr>
  </w:style>
  <w:style w:type="paragraph" w:styleId="BodyText">
    <w:name w:val="Body Text"/>
    <w:aliases w:val="(Main Text),date,Body Text (Main text)"/>
    <w:basedOn w:val="Normal"/>
    <w:link w:val="BodyTextChar"/>
    <w:uiPriority w:val="99"/>
    <w:qFormat/>
    <w:rsid w:val="00AD1C4B"/>
    <w:pPr>
      <w:overflowPunct w:val="0"/>
      <w:autoSpaceDE w:val="0"/>
      <w:autoSpaceDN w:val="0"/>
      <w:adjustRightInd w:val="0"/>
      <w:spacing w:line="360" w:lineRule="auto"/>
      <w:jc w:val="center"/>
      <w:textAlignment w:val="baseline"/>
    </w:pPr>
    <w:rPr>
      <w:rFonts w:ascii="Times Armenian" w:hAnsi="Times Armenian"/>
      <w:b/>
      <w:i/>
      <w:szCs w:val="20"/>
    </w:rPr>
  </w:style>
  <w:style w:type="paragraph" w:styleId="Footer">
    <w:name w:val="footer"/>
    <w:basedOn w:val="Normal"/>
    <w:link w:val="FooterChar"/>
    <w:uiPriority w:val="99"/>
    <w:rsid w:val="00AD1C4B"/>
    <w:pPr>
      <w:tabs>
        <w:tab w:val="center" w:pos="4320"/>
        <w:tab w:val="right" w:pos="8640"/>
      </w:tabs>
      <w:overflowPunct w:val="0"/>
      <w:autoSpaceDE w:val="0"/>
      <w:autoSpaceDN w:val="0"/>
      <w:adjustRightInd w:val="0"/>
      <w:textAlignment w:val="baseline"/>
    </w:pPr>
    <w:rPr>
      <w:szCs w:val="20"/>
    </w:rPr>
  </w:style>
  <w:style w:type="character" w:styleId="PageNumber">
    <w:name w:val="page number"/>
    <w:basedOn w:val="DefaultParagraphFont"/>
    <w:uiPriority w:val="99"/>
    <w:rsid w:val="00AD1C4B"/>
  </w:style>
  <w:style w:type="paragraph" w:styleId="BodyText2">
    <w:name w:val="Body Text 2"/>
    <w:basedOn w:val="Normal"/>
    <w:link w:val="BodyText2Char"/>
    <w:uiPriority w:val="99"/>
    <w:rsid w:val="00AD1C4B"/>
    <w:pPr>
      <w:tabs>
        <w:tab w:val="left" w:pos="1418"/>
      </w:tabs>
      <w:overflowPunct w:val="0"/>
      <w:autoSpaceDE w:val="0"/>
      <w:autoSpaceDN w:val="0"/>
      <w:adjustRightInd w:val="0"/>
      <w:spacing w:line="360" w:lineRule="auto"/>
      <w:ind w:firstLine="720"/>
      <w:jc w:val="both"/>
      <w:textAlignment w:val="baseline"/>
    </w:pPr>
    <w:rPr>
      <w:rFonts w:ascii="Times Armenian" w:hAnsi="Times Armenian"/>
      <w:sz w:val="22"/>
      <w:szCs w:val="20"/>
    </w:rPr>
  </w:style>
  <w:style w:type="character" w:customStyle="1" w:styleId="BodyText2Char">
    <w:name w:val="Body Text 2 Char"/>
    <w:link w:val="BodyText2"/>
    <w:uiPriority w:val="99"/>
    <w:rsid w:val="00184E74"/>
    <w:rPr>
      <w:rFonts w:ascii="Times Armenian" w:hAnsi="Times Armenian"/>
      <w:sz w:val="22"/>
      <w:lang w:val="en-US" w:eastAsia="en-US" w:bidi="ar-SA"/>
    </w:rPr>
  </w:style>
  <w:style w:type="paragraph" w:styleId="BodyTextIndent">
    <w:name w:val="Body Text Indent"/>
    <w:aliases w:val=" (Table Source),(Table Source),Body Text Indent Char2,(Table Source) Char2,(Table Source) Char Char1,Body Text Indent Char Char"/>
    <w:basedOn w:val="Normal"/>
    <w:link w:val="BodyTextIndentChar"/>
    <w:qFormat/>
    <w:rsid w:val="00AD1C4B"/>
    <w:pPr>
      <w:spacing w:line="360" w:lineRule="auto"/>
      <w:ind w:firstLine="720"/>
      <w:jc w:val="both"/>
    </w:pPr>
    <w:rPr>
      <w:rFonts w:ascii="Times Armenian" w:hAnsi="Times Armenian"/>
    </w:rPr>
  </w:style>
  <w:style w:type="paragraph" w:styleId="BodyTextIndent3">
    <w:name w:val="Body Text Indent 3"/>
    <w:basedOn w:val="Normal"/>
    <w:link w:val="BodyTextIndent3Char"/>
    <w:uiPriority w:val="99"/>
    <w:rsid w:val="00AD1C4B"/>
    <w:pPr>
      <w:spacing w:line="360" w:lineRule="auto"/>
      <w:ind w:firstLine="720"/>
      <w:jc w:val="both"/>
    </w:pPr>
    <w:rPr>
      <w:rFonts w:ascii="Times Armenian" w:hAnsi="Times Armenian"/>
    </w:rPr>
  </w:style>
  <w:style w:type="paragraph" w:styleId="Header">
    <w:name w:val="header"/>
    <w:aliases w:val="Header Char Char Char Char Char Char Char Char Char Char,Header Char Char Char Char Char Char Char Char Char Char Char Char,h,Header Char Char Char Char,Header Char Char Char,Header Char Char"/>
    <w:basedOn w:val="Normal"/>
    <w:link w:val="HeaderChar"/>
    <w:uiPriority w:val="99"/>
    <w:qFormat/>
    <w:rsid w:val="00AD1C4B"/>
    <w:pPr>
      <w:tabs>
        <w:tab w:val="center" w:pos="4320"/>
        <w:tab w:val="right" w:pos="8640"/>
      </w:tabs>
    </w:pPr>
    <w:rPr>
      <w:rFonts w:ascii="Times New Roman" w:hAnsi="Times New Roman"/>
    </w:rPr>
  </w:style>
  <w:style w:type="paragraph" w:styleId="FootnoteText">
    <w:name w:val="footnote text"/>
    <w:aliases w:val="fn,ADB,single space,footnote text Char,fn Char,ADB Char,single space Char Char,footnote text,FOOTNOTES Char,FOOTNOTES Char Char Char,FOOTNOTES,Footnote Text Char2 Char,Footnote Text Char1 Char Char,Footnote Text Char2 Char Char Char,f"/>
    <w:basedOn w:val="Normal"/>
    <w:link w:val="FootnoteTextChar1"/>
    <w:uiPriority w:val="99"/>
    <w:qFormat/>
    <w:rsid w:val="00AD1C4B"/>
    <w:rPr>
      <w:sz w:val="20"/>
      <w:szCs w:val="20"/>
    </w:rPr>
  </w:style>
  <w:style w:type="character" w:customStyle="1" w:styleId="FootnoteTextChar1">
    <w:name w:val="Footnote Text Char1"/>
    <w:aliases w:val="fn Char1,ADB Char1,single space Char,footnote text Char Char,fn Char Char,ADB Char Char,single space Char Char Char,footnote text Char2,FOOTNOTES Char Char2,FOOTNOTES Char Char Char Char1,FOOTNOTES Char1,Footnote Text Char2 Char Char"/>
    <w:link w:val="FootnoteText"/>
    <w:uiPriority w:val="99"/>
    <w:rsid w:val="00360E40"/>
    <w:rPr>
      <w:rFonts w:ascii="Arial Armenian" w:hAnsi="Arial Armenian"/>
      <w:lang w:val="en-US" w:eastAsia="en-US" w:bidi="ar-SA"/>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BVI fnr Char Char Char"/>
    <w:link w:val="BVIfnr1"/>
    <w:uiPriority w:val="99"/>
    <w:qFormat/>
    <w:rsid w:val="00AD1C4B"/>
    <w:rPr>
      <w:vertAlign w:val="superscript"/>
    </w:rPr>
  </w:style>
  <w:style w:type="paragraph" w:styleId="BodyTextIndent2">
    <w:name w:val="Body Text Indent 2"/>
    <w:basedOn w:val="Normal"/>
    <w:link w:val="BodyTextIndent2Char"/>
    <w:uiPriority w:val="99"/>
    <w:rsid w:val="00AD1C4B"/>
    <w:pPr>
      <w:spacing w:line="360" w:lineRule="auto"/>
      <w:ind w:firstLine="720"/>
      <w:jc w:val="both"/>
    </w:pPr>
    <w:rPr>
      <w:rFonts w:ascii="Times Armenian" w:hAnsi="Times Armenian"/>
    </w:rPr>
  </w:style>
  <w:style w:type="paragraph" w:styleId="BodyText3">
    <w:name w:val="Body Text 3"/>
    <w:basedOn w:val="Normal"/>
    <w:link w:val="BodyText3Char"/>
    <w:uiPriority w:val="99"/>
    <w:rsid w:val="00AD1C4B"/>
    <w:pPr>
      <w:overflowPunct w:val="0"/>
      <w:autoSpaceDE w:val="0"/>
      <w:autoSpaceDN w:val="0"/>
      <w:adjustRightInd w:val="0"/>
      <w:spacing w:line="360" w:lineRule="auto"/>
      <w:jc w:val="both"/>
      <w:textAlignment w:val="baseline"/>
    </w:pPr>
    <w:rPr>
      <w:rFonts w:ascii="Times Armenian" w:hAnsi="Times Armenian"/>
      <w:i/>
      <w:szCs w:val="20"/>
    </w:rPr>
  </w:style>
  <w:style w:type="paragraph" w:styleId="BalloonText">
    <w:name w:val="Balloon Text"/>
    <w:basedOn w:val="Normal"/>
    <w:link w:val="BalloonTextChar"/>
    <w:uiPriority w:val="99"/>
    <w:rsid w:val="005D6DDA"/>
    <w:rPr>
      <w:rFonts w:ascii="Tahoma" w:hAnsi="Tahoma"/>
      <w:sz w:val="16"/>
      <w:szCs w:val="16"/>
    </w:rPr>
  </w:style>
  <w:style w:type="table" w:styleId="TableGrid">
    <w:name w:val="Table Grid"/>
    <w:basedOn w:val="TableNormal"/>
    <w:uiPriority w:val="59"/>
    <w:rsid w:val="00360E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
    <w:name w:val="Char Char Char Char Char Char Char Char Char Char"/>
    <w:basedOn w:val="Normal"/>
    <w:uiPriority w:val="99"/>
    <w:qFormat/>
    <w:rsid w:val="00360E40"/>
    <w:pPr>
      <w:spacing w:after="160" w:line="240" w:lineRule="exact"/>
    </w:pPr>
    <w:rPr>
      <w:rFonts w:ascii="Arial" w:hAnsi="Arial" w:cs="Arial"/>
      <w:sz w:val="20"/>
      <w:szCs w:val="20"/>
    </w:rPr>
  </w:style>
  <w:style w:type="character" w:customStyle="1" w:styleId="FootnoteTextChar">
    <w:name w:val="Footnote Text Char"/>
    <w:aliases w:val="Footnote Text Char1 Char,Footnote Text Char1 Char Char Char,Footnote Text Char2 Char Char Char Char,Footnote Text Char1 Char Char Char Char Char,Footnote Text Char3,f Char,Footnote Text Char2 Char Char2,Footnote Text Char31"/>
    <w:uiPriority w:val="99"/>
    <w:rsid w:val="00184E74"/>
    <w:rPr>
      <w:noProof/>
      <w:lang w:val="hy-AM" w:eastAsia="en-US" w:bidi="ar-SA"/>
    </w:rPr>
  </w:style>
  <w:style w:type="paragraph" w:customStyle="1" w:styleId="CharCharCharCharCharCharCharCharCharChar1">
    <w:name w:val="Char Char Char Char Char Char Char Char Char Char1"/>
    <w:basedOn w:val="Normal"/>
    <w:uiPriority w:val="99"/>
    <w:qFormat/>
    <w:rsid w:val="00184E74"/>
    <w:pPr>
      <w:spacing w:after="160" w:line="240" w:lineRule="exact"/>
    </w:pPr>
    <w:rPr>
      <w:rFonts w:ascii="Arial" w:hAnsi="Arial" w:cs="Arial"/>
      <w:sz w:val="20"/>
      <w:szCs w:val="20"/>
    </w:rPr>
  </w:style>
  <w:style w:type="character" w:customStyle="1" w:styleId="CharChar4">
    <w:name w:val="Char Char4"/>
    <w:rsid w:val="00184E74"/>
    <w:rPr>
      <w:noProof/>
      <w:lang w:val="hy-AM" w:eastAsia="en-US" w:bidi="ar-SA"/>
    </w:rPr>
  </w:style>
  <w:style w:type="paragraph" w:customStyle="1" w:styleId="2">
    <w:name w:val="Знак Знак2"/>
    <w:basedOn w:val="Normal"/>
    <w:uiPriority w:val="99"/>
    <w:qFormat/>
    <w:rsid w:val="00184E74"/>
    <w:pPr>
      <w:spacing w:after="160" w:line="240" w:lineRule="exact"/>
    </w:pPr>
    <w:rPr>
      <w:rFonts w:ascii="Arial" w:hAnsi="Arial" w:cs="Arial"/>
      <w:sz w:val="20"/>
      <w:szCs w:val="20"/>
    </w:rPr>
  </w:style>
  <w:style w:type="paragraph" w:customStyle="1" w:styleId="Char3CharCharChar">
    <w:name w:val="Char3 Char Char Char"/>
    <w:basedOn w:val="Normal"/>
    <w:next w:val="Normal"/>
    <w:uiPriority w:val="99"/>
    <w:semiHidden/>
    <w:qFormat/>
    <w:rsid w:val="003B665C"/>
    <w:pPr>
      <w:spacing w:after="160" w:line="240" w:lineRule="exact"/>
    </w:pPr>
    <w:rPr>
      <w:rFonts w:ascii="Arial" w:hAnsi="Arial" w:cs="Arial"/>
      <w:sz w:val="20"/>
      <w:szCs w:val="20"/>
      <w:lang w:val="en-GB"/>
    </w:rPr>
  </w:style>
  <w:style w:type="paragraph" w:styleId="NormalWeb">
    <w:name w:val="Normal (Web)"/>
    <w:aliases w:val="webb, webb,Обычный (веб) Знак Знак,Знак Знак Знак Знак,Обычный (веб) Знак Знак Знак,Знак Знак Знак1 Знак Знак Знак Знак Знак,Знак1,Знак, Char Char,Обычный (веб)"/>
    <w:basedOn w:val="Normal"/>
    <w:link w:val="NormalWebChar"/>
    <w:uiPriority w:val="99"/>
    <w:qFormat/>
    <w:rsid w:val="00F72B30"/>
    <w:pPr>
      <w:spacing w:before="100" w:beforeAutospacing="1" w:after="100" w:afterAutospacing="1"/>
    </w:pPr>
    <w:rPr>
      <w:rFonts w:ascii="Times New Roman" w:hAnsi="Times New Roman"/>
    </w:rPr>
  </w:style>
  <w:style w:type="character" w:styleId="Strong">
    <w:name w:val="Strong"/>
    <w:uiPriority w:val="22"/>
    <w:qFormat/>
    <w:rsid w:val="00CC57EF"/>
    <w:rPr>
      <w:b/>
      <w:bCs/>
    </w:rPr>
  </w:style>
  <w:style w:type="paragraph" w:styleId="CommentText">
    <w:name w:val="annotation text"/>
    <w:basedOn w:val="Normal"/>
    <w:link w:val="CommentTextChar"/>
    <w:uiPriority w:val="99"/>
    <w:rsid w:val="009D1097"/>
    <w:rPr>
      <w:rFonts w:ascii="Times New Roman" w:hAnsi="Times New Roman"/>
      <w:noProof/>
      <w:sz w:val="20"/>
      <w:szCs w:val="20"/>
      <w:lang w:val="hy-AM"/>
    </w:rPr>
  </w:style>
  <w:style w:type="paragraph" w:styleId="CommentSubject">
    <w:name w:val="annotation subject"/>
    <w:basedOn w:val="CommentText"/>
    <w:next w:val="CommentText"/>
    <w:link w:val="CommentSubjectChar"/>
    <w:uiPriority w:val="99"/>
    <w:rsid w:val="009D1097"/>
    <w:rPr>
      <w:b/>
      <w:bCs/>
    </w:rPr>
  </w:style>
  <w:style w:type="character" w:customStyle="1" w:styleId="CharChar1">
    <w:name w:val="Char Char1"/>
    <w:rsid w:val="00BD51BD"/>
    <w:rPr>
      <w:rFonts w:ascii="Times Armenian" w:hAnsi="Times Armenian"/>
      <w:sz w:val="22"/>
      <w:lang w:val="en-US" w:eastAsia="en-US" w:bidi="ar-SA"/>
    </w:rPr>
  </w:style>
  <w:style w:type="character" w:customStyle="1" w:styleId="apple-converted-space">
    <w:name w:val="apple-converted-space"/>
    <w:basedOn w:val="DefaultParagraphFont"/>
    <w:uiPriority w:val="99"/>
    <w:rsid w:val="00BD51BD"/>
  </w:style>
  <w:style w:type="character" w:customStyle="1" w:styleId="fnChar3">
    <w:name w:val="fn Char3"/>
    <w:aliases w:val="ADB Char3,single space Char2,footnote text Char Char4,fn Char Char2,ADB Char Char2,single space Char Char Char2,footnote text Char Char5,footnote text Char1,FOOTNOTES Char Char,FOOTNOTES Char Char Char Char,FOOTNOTES Char Char1,FOOTNOTES Char2"/>
    <w:uiPriority w:val="99"/>
    <w:rsid w:val="00786D61"/>
    <w:rPr>
      <w:noProof/>
      <w:lang w:val="hy-AM" w:eastAsia="en-US" w:bidi="ar-SA"/>
    </w:rPr>
  </w:style>
  <w:style w:type="character" w:customStyle="1" w:styleId="fnChar2">
    <w:name w:val="fn Char2"/>
    <w:aliases w:val="ADB Char2,single space Char1,footnote text Char Char2,fn Char Char1,ADB Char Char1,single space Char Char Char1,footnote text Char Char3,footnote text Char Char1,FOOTNOTES Char Char3"/>
    <w:rsid w:val="00786D61"/>
    <w:rPr>
      <w:noProof/>
      <w:lang w:val="hy-AM" w:eastAsia="en-US" w:bidi="ar-SA"/>
    </w:rPr>
  </w:style>
  <w:style w:type="paragraph" w:styleId="EndnoteText">
    <w:name w:val="endnote text"/>
    <w:basedOn w:val="Normal"/>
    <w:link w:val="EndnoteTextChar"/>
    <w:uiPriority w:val="99"/>
    <w:rsid w:val="001C4F78"/>
    <w:rPr>
      <w:sz w:val="20"/>
      <w:szCs w:val="20"/>
    </w:rPr>
  </w:style>
  <w:style w:type="character" w:styleId="EndnoteReference">
    <w:name w:val="endnote reference"/>
    <w:rsid w:val="001C4F78"/>
    <w:rPr>
      <w:vertAlign w:val="superscript"/>
    </w:rPr>
  </w:style>
  <w:style w:type="character" w:customStyle="1" w:styleId="Heading1Char">
    <w:name w:val="Heading 1 Char"/>
    <w:link w:val="Heading1"/>
    <w:uiPriority w:val="9"/>
    <w:locked/>
    <w:rsid w:val="009D02C0"/>
    <w:rPr>
      <w:rFonts w:ascii="Times Armenian" w:hAnsi="Times Armenian"/>
      <w:b/>
      <w:i/>
      <w:sz w:val="26"/>
      <w:lang w:val="en-US" w:eastAsia="en-US" w:bidi="ar-SA"/>
    </w:rPr>
  </w:style>
  <w:style w:type="character" w:customStyle="1" w:styleId="Heading2Char">
    <w:name w:val="Heading 2 Char"/>
    <w:aliases w:val="Paranum Char"/>
    <w:link w:val="Heading2"/>
    <w:rsid w:val="00F64AC4"/>
    <w:rPr>
      <w:rFonts w:ascii="Arial" w:hAnsi="Arial"/>
      <w:b/>
      <w:i/>
      <w:sz w:val="28"/>
    </w:rPr>
  </w:style>
  <w:style w:type="character" w:customStyle="1" w:styleId="Heading3Char">
    <w:name w:val="Heading 3 Char"/>
    <w:aliases w:val="Centered Char,(text) Char,(Sub-Chapter) Char,Heading 3 Char Char Char Char Char Char Char1"/>
    <w:link w:val="Heading3"/>
    <w:uiPriority w:val="99"/>
    <w:rsid w:val="00F64AC4"/>
    <w:rPr>
      <w:rFonts w:ascii="Times Armenian" w:hAnsi="Times Armenian"/>
      <w:b/>
      <w:i/>
      <w:sz w:val="28"/>
      <w:u w:val="single"/>
    </w:rPr>
  </w:style>
  <w:style w:type="character" w:customStyle="1" w:styleId="Heading4Char">
    <w:name w:val="Heading 4 Char"/>
    <w:aliases w:val="Centred Char1,List Paragraph5 Char1,PDP DOCUMENT SUBTITLE Char1,Table no. List Paragraph Char1,Абзац списка3 Char1,Bullet Points Char1,List Paragraph111 Char1,Bullet paras Char1,OBC Bullet Char1,Normal numbered Char,Titulo 2 Char"/>
    <w:link w:val="Heading4"/>
    <w:uiPriority w:val="34"/>
    <w:rsid w:val="00F64AC4"/>
    <w:rPr>
      <w:rFonts w:ascii="Times Armenian" w:hAnsi="Times Armenian"/>
      <w:b/>
      <w:bCs/>
      <w:sz w:val="22"/>
      <w:szCs w:val="24"/>
    </w:rPr>
  </w:style>
  <w:style w:type="character" w:customStyle="1" w:styleId="Heading5Char">
    <w:name w:val="Heading 5 Char"/>
    <w:aliases w:val="Side Char1"/>
    <w:link w:val="Heading5"/>
    <w:uiPriority w:val="99"/>
    <w:rsid w:val="00F64AC4"/>
    <w:rPr>
      <w:rFonts w:ascii="Times Armenian" w:hAnsi="Times Armenian"/>
      <w:b/>
      <w:bCs/>
      <w:sz w:val="24"/>
      <w:szCs w:val="24"/>
    </w:rPr>
  </w:style>
  <w:style w:type="character" w:customStyle="1" w:styleId="Heading7Char">
    <w:name w:val="Heading 7 Char"/>
    <w:link w:val="Heading7"/>
    <w:uiPriority w:val="99"/>
    <w:rsid w:val="00F64AC4"/>
    <w:rPr>
      <w:sz w:val="24"/>
      <w:szCs w:val="24"/>
    </w:rPr>
  </w:style>
  <w:style w:type="character" w:customStyle="1" w:styleId="Heading8Char">
    <w:name w:val="Heading 8 Char"/>
    <w:link w:val="Heading8"/>
    <w:uiPriority w:val="99"/>
    <w:rsid w:val="00F64AC4"/>
    <w:rPr>
      <w:i/>
      <w:iCs/>
      <w:sz w:val="24"/>
      <w:szCs w:val="24"/>
    </w:rPr>
  </w:style>
  <w:style w:type="character" w:customStyle="1" w:styleId="BodyTextChar">
    <w:name w:val="Body Text Char"/>
    <w:aliases w:val="(Main Text) Char,date Char,Body Text (Main text) Char"/>
    <w:link w:val="BodyText"/>
    <w:uiPriority w:val="99"/>
    <w:rsid w:val="00F64AC4"/>
    <w:rPr>
      <w:rFonts w:ascii="Times Armenian" w:hAnsi="Times Armenian"/>
      <w:b/>
      <w:i/>
      <w:sz w:val="24"/>
    </w:rPr>
  </w:style>
  <w:style w:type="character" w:customStyle="1" w:styleId="FooterChar">
    <w:name w:val="Footer Char"/>
    <w:link w:val="Footer"/>
    <w:uiPriority w:val="99"/>
    <w:rsid w:val="00F64AC4"/>
    <w:rPr>
      <w:rFonts w:ascii="Arial Armenian" w:hAnsi="Arial Armenian"/>
      <w:sz w:val="24"/>
    </w:rPr>
  </w:style>
  <w:style w:type="character" w:customStyle="1" w:styleId="BodyTextIndentChar">
    <w:name w:val="Body Text Indent Char"/>
    <w:aliases w:val=" (Table Source) Char,(Table Source) Char,Body Text Indent Char2 Char2,(Table Source) Char2 Char2,(Table Source) Char Char1 Char1,Body Text Indent Char Char Char"/>
    <w:link w:val="BodyTextIndent"/>
    <w:rsid w:val="00F64AC4"/>
    <w:rPr>
      <w:rFonts w:ascii="Times Armenian" w:hAnsi="Times Armenian"/>
      <w:sz w:val="24"/>
      <w:szCs w:val="24"/>
    </w:rPr>
  </w:style>
  <w:style w:type="character" w:customStyle="1" w:styleId="BodyTextIndent3Char">
    <w:name w:val="Body Text Indent 3 Char"/>
    <w:link w:val="BodyTextIndent3"/>
    <w:uiPriority w:val="99"/>
    <w:rsid w:val="00F64AC4"/>
    <w:rPr>
      <w:rFonts w:ascii="Times Armenian" w:hAnsi="Times Armenian"/>
      <w:sz w:val="24"/>
      <w:szCs w:val="24"/>
    </w:rPr>
  </w:style>
  <w:style w:type="character" w:customStyle="1" w:styleId="HeaderChar">
    <w:name w:val="Header Char"/>
    <w:aliases w:val="Header Char Char Char Char Char Char Char Char Char Char Char1,Header Char Char Char Char Char Char Char Char Char Char Char Char Char1,h Char1,Header Char Char Char Char Char,Header Char Char Char Char1,Header Char Char Char1"/>
    <w:link w:val="Header"/>
    <w:uiPriority w:val="99"/>
    <w:rsid w:val="00F64AC4"/>
    <w:rPr>
      <w:sz w:val="24"/>
      <w:szCs w:val="24"/>
    </w:rPr>
  </w:style>
  <w:style w:type="character" w:customStyle="1" w:styleId="BodyTextIndent2Char">
    <w:name w:val="Body Text Indent 2 Char"/>
    <w:link w:val="BodyTextIndent2"/>
    <w:uiPriority w:val="99"/>
    <w:rsid w:val="00F64AC4"/>
    <w:rPr>
      <w:rFonts w:ascii="Times Armenian" w:hAnsi="Times Armenian"/>
      <w:sz w:val="24"/>
      <w:szCs w:val="24"/>
    </w:rPr>
  </w:style>
  <w:style w:type="character" w:customStyle="1" w:styleId="BodyText3Char">
    <w:name w:val="Body Text 3 Char"/>
    <w:link w:val="BodyText3"/>
    <w:uiPriority w:val="99"/>
    <w:rsid w:val="00F64AC4"/>
    <w:rPr>
      <w:rFonts w:ascii="Times Armenian" w:hAnsi="Times Armenian"/>
      <w:i/>
      <w:sz w:val="24"/>
    </w:rPr>
  </w:style>
  <w:style w:type="character" w:customStyle="1" w:styleId="BalloonTextChar">
    <w:name w:val="Balloon Text Char"/>
    <w:link w:val="BalloonText"/>
    <w:uiPriority w:val="99"/>
    <w:rsid w:val="00F64AC4"/>
    <w:rPr>
      <w:rFonts w:ascii="Tahoma" w:hAnsi="Tahoma" w:cs="Tahoma"/>
      <w:sz w:val="16"/>
      <w:szCs w:val="16"/>
    </w:rPr>
  </w:style>
  <w:style w:type="character" w:customStyle="1" w:styleId="CommentTextChar">
    <w:name w:val="Comment Text Char"/>
    <w:link w:val="CommentText"/>
    <w:uiPriority w:val="99"/>
    <w:rsid w:val="00F64AC4"/>
    <w:rPr>
      <w:noProof/>
      <w:lang w:val="hy-AM"/>
    </w:rPr>
  </w:style>
  <w:style w:type="character" w:customStyle="1" w:styleId="CommentSubjectChar">
    <w:name w:val="Comment Subject Char"/>
    <w:link w:val="CommentSubject"/>
    <w:uiPriority w:val="99"/>
    <w:rsid w:val="00F64AC4"/>
    <w:rPr>
      <w:b/>
      <w:bCs/>
      <w:noProof/>
      <w:lang w:val="hy-AM"/>
    </w:rPr>
  </w:style>
  <w:style w:type="character" w:customStyle="1" w:styleId="EndnoteTextChar">
    <w:name w:val="Endnote Text Char"/>
    <w:link w:val="EndnoteText"/>
    <w:uiPriority w:val="99"/>
    <w:rsid w:val="00F64AC4"/>
    <w:rPr>
      <w:rFonts w:ascii="Arial Armenian" w:hAnsi="Arial Armenian"/>
    </w:rPr>
  </w:style>
  <w:style w:type="paragraph" w:styleId="ListParagraph">
    <w:name w:val="List Paragraph"/>
    <w:aliases w:val="Akapit z listą BS,List Paragraph2,Bullets,List Paragraph nowy,List Paragraph (numbered (a)),Liste 1,List Paragraph 1,List_Paragraph,Multilevel para_II,References,IBL List Paragraph,Numbered List Paragraph,Bullet1,List Paragraph4,OBC Bulle"/>
    <w:basedOn w:val="Normal"/>
    <w:link w:val="ListParagraphChar"/>
    <w:uiPriority w:val="34"/>
    <w:qFormat/>
    <w:rsid w:val="003306F4"/>
    <w:pPr>
      <w:ind w:left="720"/>
      <w:contextualSpacing/>
    </w:pPr>
  </w:style>
  <w:style w:type="character" w:customStyle="1" w:styleId="news-content">
    <w:name w:val="news-content"/>
    <w:basedOn w:val="DefaultParagraphFont"/>
    <w:uiPriority w:val="99"/>
    <w:rsid w:val="003028D4"/>
  </w:style>
  <w:style w:type="character" w:styleId="CommentReference">
    <w:name w:val="annotation reference"/>
    <w:rsid w:val="0006055C"/>
    <w:rPr>
      <w:sz w:val="16"/>
      <w:szCs w:val="16"/>
    </w:rPr>
  </w:style>
  <w:style w:type="character" w:customStyle="1" w:styleId="NormalWebChar">
    <w:name w:val="Normal (Web) Char"/>
    <w:aliases w:val="webb Char, webb Char,Обычный (веб) Знак Знак Char,Знак Знак Знак Знак Char,Обычный (веб) Знак Знак Знак Char,Знак Знак Знак1 Знак Знак Знак Знак Знак Char,Знак1 Char,Знак Char, Char Char Char,Обычный (веб) Char"/>
    <w:link w:val="NormalWeb"/>
    <w:uiPriority w:val="99"/>
    <w:locked/>
    <w:rsid w:val="007C3BCB"/>
    <w:rPr>
      <w:sz w:val="24"/>
      <w:szCs w:val="24"/>
    </w:rPr>
  </w:style>
  <w:style w:type="character" w:customStyle="1" w:styleId="ListParagraphChar">
    <w:name w:val="List Paragraph Char"/>
    <w:aliases w:val="Akapit z listą BS Char,List Paragraph2 Char,Bullets Char,List Paragraph nowy Char,List Paragraph (numbered (a)) Char,Liste 1 Char,List Paragraph 1 Char,List_Paragraph Char,Multilevel para_II Char,References Char,Bullet1 Char"/>
    <w:link w:val="ListParagraph"/>
    <w:uiPriority w:val="34"/>
    <w:qFormat/>
    <w:locked/>
    <w:rsid w:val="00157032"/>
    <w:rPr>
      <w:rFonts w:ascii="Arial Armenian" w:hAnsi="Arial Armenian"/>
      <w:sz w:val="24"/>
      <w:szCs w:val="24"/>
    </w:rPr>
  </w:style>
  <w:style w:type="paragraph" w:styleId="TOC1">
    <w:name w:val="toc 1"/>
    <w:basedOn w:val="Normal"/>
    <w:next w:val="Normal"/>
    <w:autoRedefine/>
    <w:uiPriority w:val="39"/>
    <w:rsid w:val="00E37514"/>
    <w:pPr>
      <w:tabs>
        <w:tab w:val="right" w:leader="dot" w:pos="10198"/>
      </w:tabs>
    </w:pPr>
    <w:rPr>
      <w:rFonts w:ascii="GHEA Grapalat" w:hAnsi="GHEA Grapalat" w:cs="Sylfaen"/>
      <w:b/>
      <w:bCs/>
      <w:caps/>
      <w:noProof/>
      <w:color w:val="000000"/>
      <w:sz w:val="20"/>
      <w:szCs w:val="20"/>
    </w:rPr>
  </w:style>
  <w:style w:type="paragraph" w:styleId="TOCHeading">
    <w:name w:val="TOC Heading"/>
    <w:basedOn w:val="Heading1"/>
    <w:next w:val="Normal"/>
    <w:uiPriority w:val="39"/>
    <w:unhideWhenUsed/>
    <w:qFormat/>
    <w:rsid w:val="00036F10"/>
    <w:pPr>
      <w:keepLines/>
      <w:overflowPunct/>
      <w:autoSpaceDE/>
      <w:autoSpaceDN/>
      <w:adjustRightInd/>
      <w:spacing w:before="240" w:line="259" w:lineRule="auto"/>
      <w:ind w:firstLine="0"/>
      <w:jc w:val="left"/>
      <w:textAlignment w:val="auto"/>
      <w:outlineLvl w:val="9"/>
    </w:pPr>
    <w:rPr>
      <w:rFonts w:ascii="Calibri Light" w:hAnsi="Calibri Light"/>
      <w:b w:val="0"/>
      <w:i w:val="0"/>
      <w:color w:val="2E74B5"/>
      <w:sz w:val="32"/>
      <w:szCs w:val="32"/>
    </w:rPr>
  </w:style>
  <w:style w:type="character" w:customStyle="1" w:styleId="Heading1Char1">
    <w:name w:val="Heading 1 Char1"/>
    <w:uiPriority w:val="99"/>
    <w:locked/>
    <w:rsid w:val="00036F10"/>
    <w:rPr>
      <w:rFonts w:ascii="Times Armenian" w:hAnsi="Times Armenian"/>
      <w:b/>
      <w:i/>
      <w:noProof/>
      <w:sz w:val="28"/>
      <w:lang w:val="hy-AM" w:eastAsia="en-US" w:bidi="ar-SA"/>
    </w:rPr>
  </w:style>
  <w:style w:type="character" w:styleId="Hyperlink">
    <w:name w:val="Hyperlink"/>
    <w:uiPriority w:val="99"/>
    <w:unhideWhenUsed/>
    <w:rsid w:val="00C4419B"/>
    <w:rPr>
      <w:color w:val="0563C1"/>
      <w:u w:val="single"/>
    </w:rPr>
  </w:style>
  <w:style w:type="paragraph" w:styleId="TOC2">
    <w:name w:val="toc 2"/>
    <w:basedOn w:val="Normal"/>
    <w:next w:val="Normal"/>
    <w:autoRedefine/>
    <w:uiPriority w:val="39"/>
    <w:rsid w:val="00E37514"/>
    <w:pPr>
      <w:tabs>
        <w:tab w:val="right" w:leader="dot" w:pos="10196"/>
      </w:tabs>
      <w:spacing w:line="276" w:lineRule="auto"/>
      <w:ind w:left="240"/>
    </w:pPr>
    <w:rPr>
      <w:rFonts w:ascii="GHEA Grapalat" w:hAnsi="GHEA Grapalat"/>
      <w:bCs/>
      <w:noProof/>
      <w:sz w:val="20"/>
      <w:szCs w:val="20"/>
      <w:lang w:val="hy-AM"/>
    </w:rPr>
  </w:style>
  <w:style w:type="character" w:customStyle="1" w:styleId="Heading6Char">
    <w:name w:val="Heading 6 Char"/>
    <w:link w:val="Heading6"/>
    <w:uiPriority w:val="9"/>
    <w:rsid w:val="00DD23AB"/>
    <w:rPr>
      <w:rFonts w:ascii="Times Armenian" w:hAnsi="Times Armenian"/>
      <w:noProof/>
      <w:sz w:val="24"/>
      <w:szCs w:val="24"/>
      <w:u w:val="single"/>
      <w:lang w:val="hy-AM"/>
    </w:rPr>
  </w:style>
  <w:style w:type="character" w:customStyle="1" w:styleId="Heading9Char">
    <w:name w:val="Heading 9 Char"/>
    <w:link w:val="Heading9"/>
    <w:uiPriority w:val="99"/>
    <w:rsid w:val="00DD23AB"/>
    <w:rPr>
      <w:sz w:val="22"/>
      <w:lang w:val="en-GB"/>
    </w:rPr>
  </w:style>
  <w:style w:type="character" w:customStyle="1" w:styleId="BodyText2Char1">
    <w:name w:val="Body Text 2 Char1"/>
    <w:uiPriority w:val="99"/>
    <w:rsid w:val="00DD23AB"/>
    <w:rPr>
      <w:rFonts w:ascii="Times Armenian" w:eastAsia="Times New Roman" w:hAnsi="Times Armenian" w:cs="Times New Roman"/>
      <w:noProof/>
      <w:sz w:val="24"/>
      <w:szCs w:val="24"/>
      <w:lang w:val="hy-AM"/>
    </w:rPr>
  </w:style>
  <w:style w:type="character" w:customStyle="1" w:styleId="FooterChar1">
    <w:name w:val="Footer Char1"/>
    <w:uiPriority w:val="99"/>
    <w:rsid w:val="00DD23AB"/>
    <w:rPr>
      <w:rFonts w:ascii="Times New Roman" w:eastAsia="Times New Roman" w:hAnsi="Times New Roman" w:cs="Times New Roman"/>
      <w:noProof/>
      <w:sz w:val="24"/>
      <w:szCs w:val="24"/>
      <w:lang w:val="hy-AM"/>
    </w:rPr>
  </w:style>
  <w:style w:type="paragraph" w:styleId="TOC3">
    <w:name w:val="toc 3"/>
    <w:basedOn w:val="Normal"/>
    <w:next w:val="Normal"/>
    <w:autoRedefine/>
    <w:uiPriority w:val="39"/>
    <w:rsid w:val="00DD23AB"/>
    <w:pPr>
      <w:ind w:left="480"/>
    </w:pPr>
    <w:rPr>
      <w:rFonts w:ascii="Times New Roman" w:hAnsi="Times New Roman"/>
      <w:i/>
      <w:iCs/>
      <w:noProof/>
      <w:sz w:val="20"/>
      <w:szCs w:val="20"/>
      <w:lang w:val="hy-AM"/>
    </w:rPr>
  </w:style>
  <w:style w:type="character" w:customStyle="1" w:styleId="BodyTextChar2">
    <w:name w:val="Body Text Char2"/>
    <w:aliases w:val="(Main Text) Char1,date Char1,Body Text (Main text) Char1"/>
    <w:uiPriority w:val="99"/>
    <w:rsid w:val="00DD23AB"/>
    <w:rPr>
      <w:rFonts w:ascii="Times New Roman" w:eastAsia="Times New Roman" w:hAnsi="Times New Roman" w:cs="Times New Roman"/>
      <w:noProof/>
      <w:sz w:val="24"/>
      <w:szCs w:val="24"/>
      <w:lang w:val="hy-AM"/>
    </w:rPr>
  </w:style>
  <w:style w:type="paragraph" w:customStyle="1" w:styleId="a0">
    <w:name w:val="???????"/>
    <w:uiPriority w:val="99"/>
    <w:qFormat/>
    <w:rsid w:val="00DD23AB"/>
    <w:rPr>
      <w:sz w:val="24"/>
      <w:lang w:eastAsia="ru-RU"/>
    </w:rPr>
  </w:style>
  <w:style w:type="paragraph" w:customStyle="1" w:styleId="10">
    <w:name w:val="???????1"/>
    <w:uiPriority w:val="99"/>
    <w:qFormat/>
    <w:rsid w:val="00DD23AB"/>
    <w:rPr>
      <w:lang w:val="ru-RU" w:eastAsia="ru-RU"/>
    </w:rPr>
  </w:style>
  <w:style w:type="paragraph" w:customStyle="1" w:styleId="3">
    <w:name w:val="???????? ????? ? ????????3"/>
    <w:basedOn w:val="a0"/>
    <w:uiPriority w:val="99"/>
    <w:qFormat/>
    <w:rsid w:val="00DD23AB"/>
    <w:pPr>
      <w:ind w:left="360" w:hanging="360"/>
      <w:jc w:val="both"/>
    </w:pPr>
    <w:rPr>
      <w:rFonts w:ascii="Times Armenian" w:hAnsi="Times Armenian"/>
    </w:rPr>
  </w:style>
  <w:style w:type="paragraph" w:customStyle="1" w:styleId="CharCharCharCharCharCharCharCharCharCharCharChar">
    <w:name w:val="Char Char Char Char Char Char Char Char Char Char Char Char"/>
    <w:basedOn w:val="Normal"/>
    <w:uiPriority w:val="99"/>
    <w:qFormat/>
    <w:rsid w:val="00DD23AB"/>
    <w:pPr>
      <w:spacing w:after="160" w:line="240" w:lineRule="exact"/>
    </w:pPr>
    <w:rPr>
      <w:rFonts w:ascii="Arial" w:hAnsi="Arial" w:cs="Arial"/>
      <w:noProof/>
      <w:sz w:val="20"/>
      <w:szCs w:val="20"/>
      <w:lang w:val="hy-AM"/>
    </w:rPr>
  </w:style>
  <w:style w:type="paragraph" w:customStyle="1" w:styleId="Armenian">
    <w:name w:val="Armenian"/>
    <w:basedOn w:val="Normal"/>
    <w:uiPriority w:val="99"/>
    <w:qFormat/>
    <w:rsid w:val="00DD23AB"/>
    <w:rPr>
      <w:rFonts w:ascii="Agg_Times1" w:hAnsi="Agg_Times1"/>
      <w:noProof/>
      <w:szCs w:val="20"/>
      <w:lang w:val="en-GB"/>
    </w:rPr>
  </w:style>
  <w:style w:type="paragraph" w:styleId="Title">
    <w:name w:val="Title"/>
    <w:basedOn w:val="Normal"/>
    <w:link w:val="TitleChar1"/>
    <w:uiPriority w:val="10"/>
    <w:qFormat/>
    <w:rsid w:val="00DD23AB"/>
    <w:pPr>
      <w:jc w:val="center"/>
    </w:pPr>
    <w:rPr>
      <w:b/>
      <w:noProof/>
      <w:sz w:val="28"/>
      <w:szCs w:val="20"/>
      <w:lang w:val="hy-AM"/>
    </w:rPr>
  </w:style>
  <w:style w:type="character" w:customStyle="1" w:styleId="TitleChar">
    <w:name w:val="Title Char"/>
    <w:uiPriority w:val="10"/>
    <w:rsid w:val="00DD23AB"/>
    <w:rPr>
      <w:rFonts w:ascii="Cambria" w:eastAsia="Times New Roman" w:hAnsi="Cambria" w:cs="Times New Roman"/>
      <w:b/>
      <w:bCs/>
      <w:kern w:val="28"/>
      <w:sz w:val="32"/>
      <w:szCs w:val="32"/>
    </w:rPr>
  </w:style>
  <w:style w:type="paragraph" w:styleId="BlockText">
    <w:name w:val="Block Text"/>
    <w:basedOn w:val="Normal"/>
    <w:uiPriority w:val="99"/>
    <w:rsid w:val="00DD23AB"/>
    <w:pPr>
      <w:tabs>
        <w:tab w:val="left" w:pos="900"/>
      </w:tabs>
      <w:overflowPunct w:val="0"/>
      <w:autoSpaceDE w:val="0"/>
      <w:autoSpaceDN w:val="0"/>
      <w:adjustRightInd w:val="0"/>
      <w:ind w:left="360" w:right="-90" w:firstLine="774"/>
      <w:jc w:val="both"/>
    </w:pPr>
    <w:rPr>
      <w:rFonts w:ascii="Times LatArm" w:hAnsi="Times LatArm"/>
      <w:noProof/>
      <w:sz w:val="28"/>
      <w:szCs w:val="20"/>
      <w:lang w:val="en-GB"/>
    </w:rPr>
  </w:style>
  <w:style w:type="paragraph" w:customStyle="1" w:styleId="11">
    <w:name w:val="????????1"/>
    <w:basedOn w:val="a0"/>
    <w:uiPriority w:val="99"/>
    <w:qFormat/>
    <w:rsid w:val="00DD23AB"/>
    <w:pPr>
      <w:jc w:val="center"/>
    </w:pPr>
    <w:rPr>
      <w:rFonts w:ascii="Times Armenian" w:hAnsi="Times Armenian"/>
      <w:i/>
      <w:sz w:val="28"/>
    </w:rPr>
  </w:style>
  <w:style w:type="paragraph" w:customStyle="1" w:styleId="CharCharCharCharCharCharCharCharCharCharCharCharCharCharChar">
    <w:name w:val="Char Char Char Char Знак Char Знак Char Char Char Char Char Char Char Char Char Char"/>
    <w:basedOn w:val="Normal"/>
    <w:uiPriority w:val="99"/>
    <w:qFormat/>
    <w:rsid w:val="00DD23AB"/>
    <w:pPr>
      <w:tabs>
        <w:tab w:val="left" w:pos="709"/>
      </w:tabs>
    </w:pPr>
    <w:rPr>
      <w:rFonts w:ascii="Tahoma" w:hAnsi="Tahoma"/>
      <w:lang w:val="pl-PL" w:eastAsia="pl-PL"/>
    </w:rPr>
  </w:style>
  <w:style w:type="paragraph" w:customStyle="1" w:styleId="CharCharCharCharChar">
    <w:name w:val="Char Char Char Char Char"/>
    <w:basedOn w:val="Normal"/>
    <w:uiPriority w:val="99"/>
    <w:qFormat/>
    <w:rsid w:val="00DD23AB"/>
    <w:pPr>
      <w:spacing w:after="160" w:line="240" w:lineRule="exact"/>
    </w:pPr>
    <w:rPr>
      <w:rFonts w:ascii="Arial" w:hAnsi="Arial" w:cs="Arial"/>
      <w:sz w:val="20"/>
      <w:szCs w:val="20"/>
    </w:rPr>
  </w:style>
  <w:style w:type="paragraph" w:customStyle="1" w:styleId="ZchnZchn1">
    <w:name w:val="Zchn Zchn1"/>
    <w:basedOn w:val="Normal"/>
    <w:uiPriority w:val="99"/>
    <w:qFormat/>
    <w:rsid w:val="00DD23AB"/>
    <w:pPr>
      <w:spacing w:after="160" w:line="240" w:lineRule="exact"/>
    </w:pPr>
    <w:rPr>
      <w:rFonts w:ascii="Verdana" w:hAnsi="Verdana"/>
      <w:sz w:val="20"/>
      <w:szCs w:val="20"/>
      <w:lang w:val="en-GB"/>
    </w:rPr>
  </w:style>
  <w:style w:type="paragraph" w:customStyle="1" w:styleId="Znak">
    <w:name w:val="Znak"/>
    <w:basedOn w:val="Normal"/>
    <w:uiPriority w:val="99"/>
    <w:qFormat/>
    <w:rsid w:val="00DD23AB"/>
    <w:pPr>
      <w:tabs>
        <w:tab w:val="left" w:pos="709"/>
      </w:tabs>
    </w:pPr>
    <w:rPr>
      <w:rFonts w:ascii="Tahoma" w:hAnsi="Tahoma"/>
      <w:lang w:val="pl-PL" w:eastAsia="pl-PL"/>
    </w:rPr>
  </w:style>
  <w:style w:type="paragraph" w:customStyle="1" w:styleId="a1">
    <w:name w:val="Знак Знак"/>
    <w:basedOn w:val="Normal"/>
    <w:uiPriority w:val="99"/>
    <w:qFormat/>
    <w:rsid w:val="00DD23AB"/>
    <w:pPr>
      <w:spacing w:after="160" w:line="240" w:lineRule="exact"/>
    </w:pPr>
    <w:rPr>
      <w:rFonts w:ascii="Arial" w:hAnsi="Arial" w:cs="Arial"/>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qFormat/>
    <w:rsid w:val="00DD23AB"/>
    <w:pPr>
      <w:spacing w:after="160" w:line="240" w:lineRule="exact"/>
    </w:pPr>
    <w:rPr>
      <w:rFonts w:ascii="Arial" w:hAnsi="Arial" w:cs="Arial"/>
      <w:sz w:val="20"/>
      <w:szCs w:val="20"/>
    </w:rPr>
  </w:style>
  <w:style w:type="paragraph" w:customStyle="1" w:styleId="DefaultParagraphFontParaChar">
    <w:name w:val="Default Paragraph Font Para Char"/>
    <w:basedOn w:val="Normal"/>
    <w:uiPriority w:val="99"/>
    <w:qFormat/>
    <w:locked/>
    <w:rsid w:val="00DD23AB"/>
    <w:pPr>
      <w:spacing w:after="160"/>
    </w:pPr>
    <w:rPr>
      <w:rFonts w:ascii="Verdana" w:eastAsia="Batang" w:hAnsi="Verdana" w:cs="Verdana"/>
    </w:rPr>
  </w:style>
  <w:style w:type="paragraph" w:customStyle="1" w:styleId="30">
    <w:name w:val="???????? ????? ? ???????? 3"/>
    <w:basedOn w:val="a0"/>
    <w:uiPriority w:val="99"/>
    <w:qFormat/>
    <w:rsid w:val="00DD23AB"/>
    <w:pPr>
      <w:ind w:firstLine="360"/>
      <w:jc w:val="both"/>
    </w:pPr>
    <w:rPr>
      <w:rFonts w:ascii="Times Armenian" w:hAnsi="Times Armenian"/>
      <w:lang w:val="af-ZA"/>
    </w:rPr>
  </w:style>
  <w:style w:type="paragraph" w:customStyle="1" w:styleId="a2">
    <w:name w:val="???????? ????? ? ????????"/>
    <w:basedOn w:val="10"/>
    <w:uiPriority w:val="99"/>
    <w:qFormat/>
    <w:rsid w:val="00DD23AB"/>
    <w:pPr>
      <w:ind w:left="360" w:hanging="360"/>
      <w:jc w:val="both"/>
    </w:pPr>
    <w:rPr>
      <w:rFonts w:ascii="Times Armenian" w:hAnsi="Times Armenian"/>
      <w:sz w:val="24"/>
      <w:lang w:val="en-US"/>
    </w:rPr>
  </w:style>
  <w:style w:type="paragraph" w:customStyle="1" w:styleId="CharCharCharCharCharCharCharCharCharCharCharCharCharCharChar4">
    <w:name w:val="Char Char Char Char Знак Char Знак Char Char Char Char Char Char Char Char Char Char4"/>
    <w:basedOn w:val="Normal"/>
    <w:uiPriority w:val="99"/>
    <w:qFormat/>
    <w:rsid w:val="00DD23AB"/>
    <w:pPr>
      <w:tabs>
        <w:tab w:val="left" w:pos="709"/>
      </w:tabs>
    </w:pPr>
    <w:rPr>
      <w:rFonts w:ascii="Tahoma" w:hAnsi="Tahoma"/>
      <w:lang w:val="pl-PL" w:eastAsia="pl-PL"/>
    </w:rPr>
  </w:style>
  <w:style w:type="paragraph" w:customStyle="1" w:styleId="norm">
    <w:name w:val="norm"/>
    <w:basedOn w:val="Normal"/>
    <w:link w:val="normChar"/>
    <w:uiPriority w:val="99"/>
    <w:qFormat/>
    <w:rsid w:val="00DD23AB"/>
    <w:pPr>
      <w:spacing w:line="480" w:lineRule="auto"/>
      <w:ind w:firstLine="709"/>
      <w:jc w:val="both"/>
    </w:pPr>
    <w:rPr>
      <w:sz w:val="22"/>
      <w:szCs w:val="20"/>
      <w:lang w:eastAsia="ru-RU"/>
    </w:rPr>
  </w:style>
  <w:style w:type="character" w:customStyle="1" w:styleId="normChar">
    <w:name w:val="norm Char"/>
    <w:link w:val="norm"/>
    <w:uiPriority w:val="99"/>
    <w:rsid w:val="00DD23AB"/>
    <w:rPr>
      <w:rFonts w:ascii="Arial Armenian" w:hAnsi="Arial Armenian"/>
      <w:sz w:val="22"/>
      <w:lang w:eastAsia="ru-RU"/>
    </w:rPr>
  </w:style>
  <w:style w:type="paragraph" w:customStyle="1" w:styleId="Char1">
    <w:name w:val="Char1"/>
    <w:basedOn w:val="Normal"/>
    <w:next w:val="Normal"/>
    <w:uiPriority w:val="99"/>
    <w:qFormat/>
    <w:rsid w:val="00DD23AB"/>
    <w:pPr>
      <w:spacing w:after="160" w:line="240" w:lineRule="exact"/>
    </w:pPr>
    <w:rPr>
      <w:rFonts w:ascii="Tahoma" w:hAnsi="Tahoma"/>
      <w:szCs w:val="20"/>
    </w:rPr>
  </w:style>
  <w:style w:type="paragraph" w:customStyle="1" w:styleId="BodyText21">
    <w:name w:val="Body Text 21"/>
    <w:basedOn w:val="Normal"/>
    <w:uiPriority w:val="99"/>
    <w:qFormat/>
    <w:rsid w:val="00DD23AB"/>
    <w:pPr>
      <w:autoSpaceDE w:val="0"/>
      <w:autoSpaceDN w:val="0"/>
      <w:spacing w:line="360" w:lineRule="auto"/>
    </w:pPr>
    <w:rPr>
      <w:sz w:val="20"/>
      <w:szCs w:val="20"/>
    </w:rPr>
  </w:style>
  <w:style w:type="paragraph" w:customStyle="1" w:styleId="20">
    <w:name w:val="???????? ????? 2"/>
    <w:basedOn w:val="a0"/>
    <w:uiPriority w:val="99"/>
    <w:qFormat/>
    <w:rsid w:val="00DD23AB"/>
    <w:pPr>
      <w:jc w:val="center"/>
    </w:pPr>
    <w:rPr>
      <w:rFonts w:ascii="Times Armenian" w:hAnsi="Times Armenian"/>
      <w:i/>
      <w:sz w:val="28"/>
    </w:rPr>
  </w:style>
  <w:style w:type="paragraph" w:customStyle="1" w:styleId="Default">
    <w:name w:val="Default"/>
    <w:link w:val="DefaultChar"/>
    <w:uiPriority w:val="99"/>
    <w:qFormat/>
    <w:rsid w:val="00DD23AB"/>
    <w:pPr>
      <w:autoSpaceDE w:val="0"/>
      <w:autoSpaceDN w:val="0"/>
      <w:adjustRightInd w:val="0"/>
    </w:pPr>
    <w:rPr>
      <w:rFonts w:ascii="Warnock Pro" w:hAnsi="Warnock Pro"/>
      <w:color w:val="000000"/>
      <w:sz w:val="24"/>
      <w:szCs w:val="24"/>
    </w:rPr>
  </w:style>
  <w:style w:type="character" w:styleId="Emphasis">
    <w:name w:val="Emphasis"/>
    <w:uiPriority w:val="99"/>
    <w:qFormat/>
    <w:rsid w:val="00DD23AB"/>
    <w:rPr>
      <w:i/>
      <w:iCs/>
    </w:rPr>
  </w:style>
  <w:style w:type="paragraph" w:customStyle="1" w:styleId="CharCharCharCharCharCharCharCharCharChar4">
    <w:name w:val="Char Char Char Char Char Char Char Char Char Char4"/>
    <w:basedOn w:val="Normal"/>
    <w:uiPriority w:val="99"/>
    <w:qFormat/>
    <w:rsid w:val="00DD23AB"/>
    <w:pPr>
      <w:spacing w:after="160" w:line="240" w:lineRule="exact"/>
    </w:pPr>
    <w:rPr>
      <w:rFonts w:ascii="Arial" w:hAnsi="Arial" w:cs="Arial"/>
      <w:sz w:val="20"/>
      <w:szCs w:val="20"/>
    </w:rPr>
  </w:style>
  <w:style w:type="character" w:styleId="FollowedHyperlink">
    <w:name w:val="FollowedHyperlink"/>
    <w:uiPriority w:val="99"/>
    <w:rsid w:val="00DD23AB"/>
    <w:rPr>
      <w:color w:val="800080"/>
      <w:u w:val="single"/>
    </w:rPr>
  </w:style>
  <w:style w:type="paragraph" w:customStyle="1" w:styleId="ListParagraph1">
    <w:name w:val="List Paragraph1"/>
    <w:aliases w:val="Абзац списка1,Paragraphe de liste PBLH"/>
    <w:basedOn w:val="Normal"/>
    <w:uiPriority w:val="99"/>
    <w:qFormat/>
    <w:rsid w:val="00DD23AB"/>
    <w:pPr>
      <w:ind w:left="720"/>
      <w:contextualSpacing/>
    </w:pPr>
    <w:rPr>
      <w:rFonts w:ascii="Times New Roman" w:hAnsi="Times New Roman"/>
      <w:sz w:val="20"/>
      <w:szCs w:val="20"/>
      <w:lang w:val="en-AU" w:eastAsia="ru-RU"/>
    </w:rPr>
  </w:style>
  <w:style w:type="paragraph" w:customStyle="1" w:styleId="CharChar1CharCharChar1Char">
    <w:name w:val="Char Char1 Char Char Char1 Char"/>
    <w:basedOn w:val="Normal"/>
    <w:autoRedefine/>
    <w:uiPriority w:val="99"/>
    <w:qFormat/>
    <w:rsid w:val="00DD23AB"/>
    <w:rPr>
      <w:rFonts w:ascii="Times New Roman" w:eastAsia="SimSun" w:hAnsi="Times New Roman"/>
      <w:sz w:val="20"/>
      <w:szCs w:val="20"/>
      <w:lang w:eastAsia="ru-RU"/>
    </w:rPr>
  </w:style>
  <w:style w:type="paragraph" w:customStyle="1" w:styleId="mechtex">
    <w:name w:val="mechtex"/>
    <w:basedOn w:val="Normal"/>
    <w:link w:val="mechtexChar"/>
    <w:uiPriority w:val="99"/>
    <w:qFormat/>
    <w:rsid w:val="00DD23AB"/>
    <w:pPr>
      <w:jc w:val="center"/>
    </w:pPr>
    <w:rPr>
      <w:sz w:val="22"/>
      <w:szCs w:val="22"/>
      <w:lang w:eastAsia="ru-RU"/>
    </w:rPr>
  </w:style>
  <w:style w:type="character" w:customStyle="1" w:styleId="mechtexChar">
    <w:name w:val="mechtex Char"/>
    <w:link w:val="mechtex"/>
    <w:uiPriority w:val="99"/>
    <w:rsid w:val="00DD23AB"/>
    <w:rPr>
      <w:rFonts w:ascii="Arial Armenian" w:hAnsi="Arial Armenian"/>
      <w:sz w:val="22"/>
      <w:szCs w:val="22"/>
      <w:lang w:eastAsia="ru-RU"/>
    </w:rPr>
  </w:style>
  <w:style w:type="paragraph" w:customStyle="1" w:styleId="6">
    <w:name w:val="Знак Знак6"/>
    <w:basedOn w:val="Normal"/>
    <w:autoRedefine/>
    <w:uiPriority w:val="99"/>
    <w:qFormat/>
    <w:rsid w:val="00DD23AB"/>
    <w:rPr>
      <w:rFonts w:ascii="Times New Roman" w:eastAsia="SimSun" w:hAnsi="Times New Roman"/>
      <w:sz w:val="20"/>
      <w:szCs w:val="20"/>
      <w:lang w:eastAsia="ru-RU"/>
    </w:rPr>
  </w:style>
  <w:style w:type="paragraph" w:customStyle="1" w:styleId="Znak4">
    <w:name w:val="Znak4"/>
    <w:basedOn w:val="Normal"/>
    <w:uiPriority w:val="99"/>
    <w:qFormat/>
    <w:rsid w:val="00DD23AB"/>
    <w:pPr>
      <w:tabs>
        <w:tab w:val="left" w:pos="709"/>
      </w:tabs>
    </w:pPr>
    <w:rPr>
      <w:rFonts w:ascii="Tahoma" w:hAnsi="Tahoma"/>
      <w:lang w:val="pl-PL" w:eastAsia="pl-PL"/>
    </w:rPr>
  </w:style>
  <w:style w:type="character" w:customStyle="1" w:styleId="t101">
    <w:name w:val="t101"/>
    <w:uiPriority w:val="99"/>
    <w:rsid w:val="00DD23AB"/>
    <w:rPr>
      <w:b/>
      <w:bCs/>
      <w:color w:val="0000FF"/>
    </w:rPr>
  </w:style>
  <w:style w:type="paragraph" w:styleId="Caption">
    <w:name w:val="caption"/>
    <w:basedOn w:val="Normal"/>
    <w:next w:val="Normal"/>
    <w:uiPriority w:val="35"/>
    <w:qFormat/>
    <w:rsid w:val="00DD23AB"/>
    <w:pPr>
      <w:spacing w:before="120" w:after="120"/>
      <w:jc w:val="both"/>
    </w:pPr>
    <w:rPr>
      <w:rFonts w:ascii="Times Armenian" w:hAnsi="Times Armenian"/>
      <w:b/>
      <w:bCs/>
      <w:sz w:val="20"/>
      <w:lang w:val="en-GB"/>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uiPriority w:val="99"/>
    <w:qFormat/>
    <w:rsid w:val="00DD23AB"/>
    <w:pPr>
      <w:spacing w:after="120"/>
      <w:ind w:left="360"/>
    </w:pPr>
    <w:rPr>
      <w:rFonts w:ascii="Times New Roman" w:hAnsi="Times New Roman"/>
      <w:sz w:val="20"/>
    </w:rPr>
  </w:style>
  <w:style w:type="table" w:styleId="TableColumns2">
    <w:name w:val="Table Columns 2"/>
    <w:basedOn w:val="TableNormal"/>
    <w:uiPriority w:val="99"/>
    <w:rsid w:val="00DD23AB"/>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DD23A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DD23A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7">
    <w:name w:val="Table List 7"/>
    <w:basedOn w:val="TableNormal"/>
    <w:uiPriority w:val="99"/>
    <w:rsid w:val="00DD23A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CharCharChar">
    <w:name w:val="Char Char Char Знак"/>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
    <w:name w:val="Char Char Char1 Char Char Char Char Char Char Char Char Char1 Char"/>
    <w:basedOn w:val="Normal"/>
    <w:uiPriority w:val="99"/>
    <w:qFormat/>
    <w:rsid w:val="00DD23AB"/>
    <w:pPr>
      <w:spacing w:after="160" w:line="240" w:lineRule="exact"/>
    </w:pPr>
    <w:rPr>
      <w:rFonts w:ascii="Arial" w:hAnsi="Arial" w:cs="Arial"/>
      <w:sz w:val="20"/>
      <w:szCs w:val="20"/>
    </w:rPr>
  </w:style>
  <w:style w:type="paragraph" w:customStyle="1" w:styleId="Char8">
    <w:name w:val="Char8"/>
    <w:basedOn w:val="Normal"/>
    <w:uiPriority w:val="99"/>
    <w:qFormat/>
    <w:locked/>
    <w:rsid w:val="00DD23AB"/>
    <w:pPr>
      <w:spacing w:after="160"/>
    </w:pPr>
    <w:rPr>
      <w:rFonts w:ascii="Verdana" w:eastAsia="Batang" w:hAnsi="Verdana" w:cs="Verdana"/>
    </w:rPr>
  </w:style>
  <w:style w:type="paragraph" w:customStyle="1" w:styleId="12">
    <w:name w:val="Знак Знак1"/>
    <w:basedOn w:val="Normal"/>
    <w:uiPriority w:val="99"/>
    <w:qFormat/>
    <w:rsid w:val="00DD23AB"/>
    <w:pPr>
      <w:spacing w:after="160" w:line="240" w:lineRule="exact"/>
    </w:pPr>
    <w:rPr>
      <w:rFonts w:ascii="Arial" w:hAnsi="Arial" w:cs="Arial"/>
      <w:sz w:val="20"/>
      <w:szCs w:val="20"/>
    </w:rPr>
  </w:style>
  <w:style w:type="paragraph" w:customStyle="1" w:styleId="CarCharCarCharCar1CharCar">
    <w:name w:val="Car Char Car Char Car1 Char Car"/>
    <w:basedOn w:val="Normal"/>
    <w:uiPriority w:val="99"/>
    <w:qFormat/>
    <w:rsid w:val="00DD23AB"/>
    <w:pPr>
      <w:spacing w:after="160" w:line="240" w:lineRule="exact"/>
    </w:pPr>
    <w:rPr>
      <w:rFonts w:ascii="Arial" w:hAnsi="Arial" w:cs="Arial"/>
      <w:b/>
      <w:bCs/>
      <w:sz w:val="20"/>
      <w:szCs w:val="20"/>
    </w:rPr>
  </w:style>
  <w:style w:type="paragraph" w:customStyle="1" w:styleId="general">
    <w:name w:val="general"/>
    <w:basedOn w:val="Normal"/>
    <w:uiPriority w:val="99"/>
    <w:qFormat/>
    <w:rsid w:val="00DD23AB"/>
    <w:pPr>
      <w:spacing w:before="60" w:after="60"/>
    </w:pPr>
    <w:rPr>
      <w:rFonts w:ascii="Sylfaen" w:hAnsi="Sylfaen"/>
      <w:color w:val="354581"/>
      <w:sz w:val="20"/>
      <w:szCs w:val="20"/>
    </w:rPr>
  </w:style>
  <w:style w:type="paragraph" w:customStyle="1" w:styleId="StyleHeading1SectionSectionHeadingText11Chapterhead3">
    <w:name w:val="Style Heading 1(Section)Section Heading(Text)1 1Chapterhead3..."/>
    <w:basedOn w:val="Default"/>
    <w:next w:val="Default"/>
    <w:uiPriority w:val="99"/>
    <w:qFormat/>
    <w:rsid w:val="00DD23AB"/>
    <w:rPr>
      <w:rFonts w:ascii="Sylfaen" w:hAnsi="Sylfaen"/>
      <w:color w:val="auto"/>
    </w:rPr>
  </w:style>
  <w:style w:type="paragraph" w:customStyle="1" w:styleId="StyleHeading2ChapterParanumTextSylfaen1">
    <w:name w:val="Style Heading 2.(Chapter).Paranum.Text + Sylfaen1"/>
    <w:basedOn w:val="Default"/>
    <w:next w:val="Default"/>
    <w:uiPriority w:val="99"/>
    <w:qFormat/>
    <w:rsid w:val="00DD23AB"/>
    <w:rPr>
      <w:rFonts w:ascii="Sylfaen" w:hAnsi="Sylfaen"/>
      <w:color w:val="auto"/>
    </w:rPr>
  </w:style>
  <w:style w:type="paragraph" w:customStyle="1" w:styleId="BodyText1">
    <w:name w:val="Body Text1"/>
    <w:basedOn w:val="Default"/>
    <w:next w:val="Default"/>
    <w:uiPriority w:val="99"/>
    <w:qFormat/>
    <w:rsid w:val="00DD23AB"/>
    <w:rPr>
      <w:rFonts w:ascii="Sylfaen" w:hAnsi="Sylfaen"/>
      <w:color w:val="auto"/>
    </w:rPr>
  </w:style>
  <w:style w:type="paragraph" w:customStyle="1" w:styleId="Text">
    <w:name w:val="Text"/>
    <w:basedOn w:val="Normal"/>
    <w:uiPriority w:val="99"/>
    <w:qFormat/>
    <w:rsid w:val="00DD23AB"/>
    <w:pPr>
      <w:overflowPunct w:val="0"/>
      <w:autoSpaceDE w:val="0"/>
      <w:autoSpaceDN w:val="0"/>
      <w:adjustRightInd w:val="0"/>
      <w:spacing w:after="220"/>
      <w:jc w:val="both"/>
      <w:textAlignment w:val="baseline"/>
    </w:pPr>
    <w:rPr>
      <w:rFonts w:ascii="Times New Roman" w:hAnsi="Times New Roman"/>
      <w:sz w:val="22"/>
      <w:szCs w:val="20"/>
      <w:lang w:val="en-GB"/>
    </w:rPr>
  </w:style>
  <w:style w:type="paragraph" w:styleId="ListBullet">
    <w:name w:val="List Bullet"/>
    <w:basedOn w:val="Normal"/>
    <w:autoRedefine/>
    <w:uiPriority w:val="99"/>
    <w:qFormat/>
    <w:rsid w:val="00DD23AB"/>
    <w:pPr>
      <w:tabs>
        <w:tab w:val="num" w:pos="360"/>
      </w:tabs>
      <w:overflowPunct w:val="0"/>
      <w:autoSpaceDE w:val="0"/>
      <w:autoSpaceDN w:val="0"/>
      <w:adjustRightInd w:val="0"/>
      <w:spacing w:before="130"/>
      <w:ind w:left="360" w:hanging="360"/>
      <w:jc w:val="both"/>
      <w:textAlignment w:val="baseline"/>
    </w:pPr>
    <w:rPr>
      <w:rFonts w:ascii="Times New Roman" w:hAnsi="Times New Roman"/>
      <w:sz w:val="22"/>
      <w:szCs w:val="20"/>
      <w:lang w:val="en-GB"/>
    </w:rPr>
  </w:style>
  <w:style w:type="paragraph" w:styleId="PlainText">
    <w:name w:val="Plain Text"/>
    <w:basedOn w:val="Normal"/>
    <w:link w:val="PlainTextChar1"/>
    <w:uiPriority w:val="99"/>
    <w:rsid w:val="00DD23AB"/>
    <w:rPr>
      <w:rFonts w:ascii="Courier New" w:hAnsi="Courier New"/>
      <w:sz w:val="20"/>
      <w:szCs w:val="20"/>
    </w:rPr>
  </w:style>
  <w:style w:type="character" w:customStyle="1" w:styleId="PlainTextChar">
    <w:name w:val="Plain Text Char"/>
    <w:uiPriority w:val="99"/>
    <w:rsid w:val="00DD23AB"/>
    <w:rPr>
      <w:rFonts w:ascii="Courier New" w:hAnsi="Courier New" w:cs="Courier New"/>
    </w:rPr>
  </w:style>
  <w:style w:type="paragraph" w:customStyle="1" w:styleId="Tabletext">
    <w:name w:val="Tabletext"/>
    <w:basedOn w:val="Normal"/>
    <w:uiPriority w:val="99"/>
    <w:qFormat/>
    <w:rsid w:val="00DD23AB"/>
    <w:pPr>
      <w:overflowPunct w:val="0"/>
      <w:autoSpaceDE w:val="0"/>
      <w:autoSpaceDN w:val="0"/>
      <w:adjustRightInd w:val="0"/>
      <w:ind w:left="153" w:hanging="153"/>
      <w:textAlignment w:val="baseline"/>
    </w:pPr>
    <w:rPr>
      <w:rFonts w:ascii="Times New Roman" w:hAnsi="Times New Roman"/>
      <w:sz w:val="18"/>
      <w:szCs w:val="20"/>
      <w:lang w:val="en-GB"/>
    </w:rPr>
  </w:style>
  <w:style w:type="paragraph" w:customStyle="1" w:styleId="Graphic">
    <w:name w:val="Graphic"/>
    <w:basedOn w:val="Text"/>
    <w:uiPriority w:val="99"/>
    <w:qFormat/>
    <w:rsid w:val="00DD23AB"/>
    <w:pPr>
      <w:keepNext/>
      <w:spacing w:after="130"/>
      <w:jc w:val="center"/>
    </w:pPr>
  </w:style>
  <w:style w:type="paragraph" w:customStyle="1" w:styleId="Bullet">
    <w:name w:val="Bullet"/>
    <w:aliases w:val="bl,Bullet L1,bl1"/>
    <w:basedOn w:val="Normal"/>
    <w:uiPriority w:val="99"/>
    <w:qFormat/>
    <w:rsid w:val="00DD23AB"/>
    <w:pPr>
      <w:numPr>
        <w:numId w:val="3"/>
      </w:numPr>
      <w:overflowPunct w:val="0"/>
      <w:autoSpaceDE w:val="0"/>
      <w:autoSpaceDN w:val="0"/>
      <w:adjustRightInd w:val="0"/>
      <w:spacing w:after="130"/>
      <w:jc w:val="both"/>
      <w:textAlignment w:val="baseline"/>
    </w:pPr>
    <w:rPr>
      <w:rFonts w:ascii="Times New Roman" w:hAnsi="Times New Roman"/>
      <w:sz w:val="22"/>
      <w:szCs w:val="20"/>
      <w:lang w:val="en-GB"/>
    </w:rPr>
  </w:style>
  <w:style w:type="paragraph" w:styleId="ListBullet2">
    <w:name w:val="List Bullet 2"/>
    <w:basedOn w:val="Normal"/>
    <w:autoRedefine/>
    <w:uiPriority w:val="99"/>
    <w:rsid w:val="00DD23AB"/>
    <w:pPr>
      <w:numPr>
        <w:numId w:val="2"/>
      </w:numPr>
    </w:pPr>
    <w:rPr>
      <w:rFonts w:ascii="Times New Roman" w:hAnsi="Times New Roman"/>
    </w:rPr>
  </w:style>
  <w:style w:type="paragraph" w:styleId="ListContinue2">
    <w:name w:val="List Continue 2"/>
    <w:basedOn w:val="Normal"/>
    <w:uiPriority w:val="99"/>
    <w:rsid w:val="00DD23AB"/>
    <w:pPr>
      <w:spacing w:after="120"/>
      <w:ind w:left="720"/>
    </w:pPr>
    <w:rPr>
      <w:rFonts w:ascii="Times New Roman" w:hAnsi="Times New Roman"/>
    </w:rPr>
  </w:style>
  <w:style w:type="paragraph" w:customStyle="1" w:styleId="GlossaryHeader">
    <w:name w:val="Glossary Header"/>
    <w:next w:val="Normal"/>
    <w:uiPriority w:val="99"/>
    <w:qFormat/>
    <w:rsid w:val="00DD23AB"/>
    <w:pPr>
      <w:pageBreakBefore/>
      <w:overflowPunct w:val="0"/>
      <w:autoSpaceDE w:val="0"/>
      <w:autoSpaceDN w:val="0"/>
      <w:adjustRightInd w:val="0"/>
      <w:textAlignment w:val="baseline"/>
    </w:pPr>
    <w:rPr>
      <w:noProof/>
      <w:sz w:val="36"/>
      <w:lang w:val="en-GB"/>
    </w:rPr>
  </w:style>
  <w:style w:type="paragraph" w:customStyle="1" w:styleId="CaptionSubtitle">
    <w:name w:val="Caption: Subtitle"/>
    <w:uiPriority w:val="99"/>
    <w:qFormat/>
    <w:rsid w:val="00DD23AB"/>
    <w:rPr>
      <w:rFonts w:ascii="Arial" w:hAnsi="Arial"/>
      <w:noProof/>
      <w:sz w:val="18"/>
    </w:rPr>
  </w:style>
  <w:style w:type="paragraph" w:customStyle="1" w:styleId="KLegalHeading3">
    <w:name w:val="KLegal Heading 3"/>
    <w:basedOn w:val="Normal"/>
    <w:next w:val="Text"/>
    <w:uiPriority w:val="99"/>
    <w:qFormat/>
    <w:rsid w:val="00DD23AB"/>
    <w:pPr>
      <w:keepNext/>
      <w:tabs>
        <w:tab w:val="num" w:pos="2700"/>
      </w:tabs>
      <w:overflowPunct w:val="0"/>
      <w:autoSpaceDE w:val="0"/>
      <w:autoSpaceDN w:val="0"/>
      <w:adjustRightInd w:val="0"/>
      <w:spacing w:after="220"/>
      <w:ind w:left="1440" w:hanging="720"/>
      <w:jc w:val="both"/>
      <w:textAlignment w:val="baseline"/>
    </w:pPr>
    <w:rPr>
      <w:rFonts w:ascii="Times New Roman" w:hAnsi="Times New Roman"/>
      <w:b/>
      <w:sz w:val="22"/>
      <w:szCs w:val="20"/>
      <w:lang w:val="en-GB"/>
    </w:rPr>
  </w:style>
  <w:style w:type="paragraph" w:customStyle="1" w:styleId="KLegalHeading4">
    <w:name w:val="KLegal Heading 4"/>
    <w:basedOn w:val="Normal"/>
    <w:next w:val="Text"/>
    <w:uiPriority w:val="99"/>
    <w:qFormat/>
    <w:rsid w:val="00DD23AB"/>
    <w:pPr>
      <w:keepNext/>
      <w:tabs>
        <w:tab w:val="num" w:pos="3420"/>
      </w:tabs>
      <w:overflowPunct w:val="0"/>
      <w:autoSpaceDE w:val="0"/>
      <w:autoSpaceDN w:val="0"/>
      <w:adjustRightInd w:val="0"/>
      <w:spacing w:after="220"/>
      <w:ind w:left="2160" w:hanging="720"/>
      <w:jc w:val="both"/>
      <w:textAlignment w:val="baseline"/>
    </w:pPr>
    <w:rPr>
      <w:rFonts w:ascii="Times New Roman" w:hAnsi="Times New Roman"/>
      <w:b/>
      <w:i/>
      <w:sz w:val="22"/>
      <w:szCs w:val="20"/>
      <w:lang w:val="en-GB"/>
    </w:rPr>
  </w:style>
  <w:style w:type="paragraph" w:customStyle="1" w:styleId="KLegalHeading1">
    <w:name w:val="KLegal Heading 1"/>
    <w:basedOn w:val="Normal"/>
    <w:next w:val="KLegalHeading2"/>
    <w:uiPriority w:val="99"/>
    <w:qFormat/>
    <w:rsid w:val="00DD23AB"/>
    <w:pPr>
      <w:keepNext/>
      <w:pageBreakBefore/>
      <w:tabs>
        <w:tab w:val="num" w:pos="1260"/>
      </w:tabs>
      <w:overflowPunct w:val="0"/>
      <w:autoSpaceDE w:val="0"/>
      <w:autoSpaceDN w:val="0"/>
      <w:adjustRightInd w:val="0"/>
      <w:spacing w:after="440"/>
      <w:ind w:left="851" w:hanging="851"/>
      <w:jc w:val="both"/>
      <w:textAlignment w:val="baseline"/>
      <w:outlineLvl w:val="0"/>
    </w:pPr>
    <w:rPr>
      <w:rFonts w:ascii="Times New Roman" w:hAnsi="Times New Roman"/>
      <w:b/>
      <w:sz w:val="32"/>
      <w:szCs w:val="20"/>
      <w:lang w:val="en-GB"/>
    </w:rPr>
  </w:style>
  <w:style w:type="paragraph" w:customStyle="1" w:styleId="KLegalHeading2">
    <w:name w:val="KLegal Heading 2"/>
    <w:basedOn w:val="Normal"/>
    <w:next w:val="KLegalHeading3"/>
    <w:uiPriority w:val="99"/>
    <w:qFormat/>
    <w:rsid w:val="00DD23AB"/>
    <w:pPr>
      <w:keepNext/>
      <w:tabs>
        <w:tab w:val="num" w:pos="1980"/>
      </w:tabs>
      <w:overflowPunct w:val="0"/>
      <w:autoSpaceDE w:val="0"/>
      <w:autoSpaceDN w:val="0"/>
      <w:adjustRightInd w:val="0"/>
      <w:spacing w:after="220"/>
      <w:ind w:left="851" w:hanging="851"/>
      <w:jc w:val="both"/>
      <w:textAlignment w:val="baseline"/>
      <w:outlineLvl w:val="1"/>
    </w:pPr>
    <w:rPr>
      <w:rFonts w:ascii="Times New Roman" w:hAnsi="Times New Roman"/>
      <w:b/>
      <w:sz w:val="28"/>
      <w:szCs w:val="20"/>
      <w:lang w:val="en-GB"/>
    </w:rPr>
  </w:style>
  <w:style w:type="character" w:customStyle="1" w:styleId="Heading3CharCharCharCharCharCharChar">
    <w:name w:val="Heading 3 Char Char Char Char Char Char Char"/>
    <w:rsid w:val="00DD23AB"/>
    <w:rPr>
      <w:rFonts w:ascii="Times Armenian" w:hAnsi="Times Armenian"/>
      <w:b/>
      <w:bCs/>
      <w:sz w:val="24"/>
      <w:szCs w:val="24"/>
      <w:lang w:val="en-GB" w:eastAsia="en-US" w:bidi="ar-SA"/>
    </w:rPr>
  </w:style>
  <w:style w:type="paragraph" w:customStyle="1" w:styleId="font5">
    <w:name w:val="font5"/>
    <w:basedOn w:val="Normal"/>
    <w:uiPriority w:val="99"/>
    <w:qFormat/>
    <w:rsid w:val="00DD23AB"/>
    <w:pPr>
      <w:spacing w:before="100" w:beforeAutospacing="1" w:after="100" w:afterAutospacing="1"/>
    </w:pPr>
    <w:rPr>
      <w:rFonts w:ascii="Times Armenian" w:hAnsi="Times Armenian"/>
      <w:color w:val="000000"/>
      <w:sz w:val="16"/>
      <w:szCs w:val="16"/>
    </w:rPr>
  </w:style>
  <w:style w:type="paragraph" w:customStyle="1" w:styleId="font6">
    <w:name w:val="font6"/>
    <w:basedOn w:val="Normal"/>
    <w:uiPriority w:val="99"/>
    <w:qFormat/>
    <w:rsid w:val="00DD23AB"/>
    <w:pPr>
      <w:spacing w:before="100" w:beforeAutospacing="1" w:after="100" w:afterAutospacing="1"/>
    </w:pPr>
    <w:rPr>
      <w:rFonts w:ascii="Times Armenian" w:hAnsi="Times Armenian"/>
      <w:b/>
      <w:bCs/>
      <w:color w:val="000000"/>
      <w:sz w:val="16"/>
      <w:szCs w:val="16"/>
    </w:rPr>
  </w:style>
  <w:style w:type="paragraph" w:customStyle="1" w:styleId="font7">
    <w:name w:val="font7"/>
    <w:basedOn w:val="Normal"/>
    <w:uiPriority w:val="99"/>
    <w:qFormat/>
    <w:rsid w:val="00DD23AB"/>
    <w:pPr>
      <w:spacing w:before="100" w:beforeAutospacing="1" w:after="100" w:afterAutospacing="1"/>
    </w:pPr>
    <w:rPr>
      <w:rFonts w:ascii="Times Armenian" w:hAnsi="Times Armenian"/>
      <w:color w:val="000000"/>
      <w:sz w:val="20"/>
      <w:szCs w:val="20"/>
    </w:rPr>
  </w:style>
  <w:style w:type="paragraph" w:customStyle="1" w:styleId="font8">
    <w:name w:val="font8"/>
    <w:basedOn w:val="Normal"/>
    <w:uiPriority w:val="99"/>
    <w:qFormat/>
    <w:rsid w:val="00DD23AB"/>
    <w:pPr>
      <w:spacing w:before="100" w:beforeAutospacing="1" w:after="100" w:afterAutospacing="1"/>
    </w:pPr>
    <w:rPr>
      <w:rFonts w:ascii="Times Armenian" w:hAnsi="Times Armenian"/>
      <w:color w:val="000000"/>
      <w:sz w:val="16"/>
      <w:szCs w:val="16"/>
    </w:rPr>
  </w:style>
  <w:style w:type="paragraph" w:customStyle="1" w:styleId="font9">
    <w:name w:val="font9"/>
    <w:basedOn w:val="Normal"/>
    <w:uiPriority w:val="99"/>
    <w:qFormat/>
    <w:rsid w:val="00DD23AB"/>
    <w:pPr>
      <w:spacing w:before="100" w:beforeAutospacing="1" w:after="100" w:afterAutospacing="1"/>
    </w:pPr>
    <w:rPr>
      <w:rFonts w:ascii="Times Armenian" w:hAnsi="Times Armenian"/>
      <w:color w:val="000000"/>
      <w:sz w:val="22"/>
      <w:szCs w:val="22"/>
    </w:rPr>
  </w:style>
  <w:style w:type="paragraph" w:customStyle="1" w:styleId="font10">
    <w:name w:val="font10"/>
    <w:basedOn w:val="Normal"/>
    <w:uiPriority w:val="99"/>
    <w:qFormat/>
    <w:rsid w:val="00DD23AB"/>
    <w:pPr>
      <w:spacing w:before="100" w:beforeAutospacing="1" w:after="100" w:afterAutospacing="1"/>
    </w:pPr>
    <w:rPr>
      <w:rFonts w:ascii="Times Armenian" w:hAnsi="Times Armenian"/>
      <w:b/>
      <w:bCs/>
      <w:color w:val="000000"/>
      <w:sz w:val="16"/>
      <w:szCs w:val="16"/>
    </w:rPr>
  </w:style>
  <w:style w:type="paragraph" w:customStyle="1" w:styleId="xl65">
    <w:name w:val="xl65"/>
    <w:basedOn w:val="Normal"/>
    <w:uiPriority w:val="99"/>
    <w:qFormat/>
    <w:rsid w:val="00DD23AB"/>
    <w:pPr>
      <w:spacing w:before="100" w:beforeAutospacing="1" w:after="100" w:afterAutospacing="1"/>
      <w:textAlignment w:val="center"/>
    </w:pPr>
    <w:rPr>
      <w:rFonts w:ascii="Times New Roman" w:hAnsi="Times New Roman"/>
    </w:rPr>
  </w:style>
  <w:style w:type="paragraph" w:customStyle="1" w:styleId="xl66">
    <w:name w:val="xl66"/>
    <w:basedOn w:val="Normal"/>
    <w:uiPriority w:val="99"/>
    <w:qFormat/>
    <w:rsid w:val="00DD23AB"/>
    <w:pPr>
      <w:pBdr>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67">
    <w:name w:val="xl67"/>
    <w:basedOn w:val="Normal"/>
    <w:uiPriority w:val="99"/>
    <w:qFormat/>
    <w:rsid w:val="00DD23AB"/>
    <w:pPr>
      <w:spacing w:before="100" w:beforeAutospacing="1" w:after="100" w:afterAutospacing="1"/>
      <w:jc w:val="center"/>
      <w:textAlignment w:val="center"/>
    </w:pPr>
    <w:rPr>
      <w:rFonts w:ascii="Times New Roman" w:hAnsi="Times New Roman"/>
    </w:rPr>
  </w:style>
  <w:style w:type="paragraph" w:customStyle="1" w:styleId="xl68">
    <w:name w:val="xl68"/>
    <w:basedOn w:val="Normal"/>
    <w:uiPriority w:val="99"/>
    <w:qFormat/>
    <w:rsid w:val="00DD23AB"/>
    <w:pPr>
      <w:spacing w:before="100" w:beforeAutospacing="1" w:after="100" w:afterAutospacing="1"/>
      <w:jc w:val="right"/>
      <w:textAlignment w:val="top"/>
    </w:pPr>
    <w:rPr>
      <w:rFonts w:ascii="Times Armenian" w:hAnsi="Times Armenian"/>
      <w:sz w:val="18"/>
      <w:szCs w:val="18"/>
    </w:rPr>
  </w:style>
  <w:style w:type="paragraph" w:customStyle="1" w:styleId="xl69">
    <w:name w:val="xl69"/>
    <w:basedOn w:val="Normal"/>
    <w:uiPriority w:val="99"/>
    <w:qFormat/>
    <w:rsid w:val="00DD23AB"/>
    <w:pPr>
      <w:spacing w:before="100" w:beforeAutospacing="1" w:after="100" w:afterAutospacing="1"/>
      <w:jc w:val="both"/>
      <w:textAlignment w:val="top"/>
    </w:pPr>
    <w:rPr>
      <w:rFonts w:ascii="Times Armenian" w:hAnsi="Times Armenian"/>
      <w:sz w:val="18"/>
      <w:szCs w:val="18"/>
    </w:rPr>
  </w:style>
  <w:style w:type="paragraph" w:customStyle="1" w:styleId="xl70">
    <w:name w:val="xl70"/>
    <w:basedOn w:val="Normal"/>
    <w:uiPriority w:val="99"/>
    <w:qFormat/>
    <w:rsid w:val="00DD23AB"/>
    <w:pPr>
      <w:pBdr>
        <w:top w:val="double" w:sz="6"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1">
    <w:name w:val="xl71"/>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2">
    <w:name w:val="xl72"/>
    <w:basedOn w:val="Normal"/>
    <w:uiPriority w:val="99"/>
    <w:qFormat/>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3">
    <w:name w:val="xl73"/>
    <w:basedOn w:val="Normal"/>
    <w:uiPriority w:val="99"/>
    <w:qFormat/>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4">
    <w:name w:val="xl74"/>
    <w:basedOn w:val="Normal"/>
    <w:uiPriority w:val="99"/>
    <w:qFormat/>
    <w:rsid w:val="00DD23AB"/>
    <w:pPr>
      <w:pBdr>
        <w:top w:val="double" w:sz="6" w:space="0" w:color="auto"/>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5">
    <w:name w:val="xl75"/>
    <w:basedOn w:val="Normal"/>
    <w:uiPriority w:val="99"/>
    <w:qFormat/>
    <w:rsid w:val="00DD23AB"/>
    <w:pPr>
      <w:pBdr>
        <w:top w:val="double" w:sz="6"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6">
    <w:name w:val="xl76"/>
    <w:basedOn w:val="Normal"/>
    <w:uiPriority w:val="99"/>
    <w:qFormat/>
    <w:rsid w:val="00DD23AB"/>
    <w:pPr>
      <w:pBdr>
        <w:top w:val="double" w:sz="6"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77">
    <w:name w:val="xl77"/>
    <w:basedOn w:val="Normal"/>
    <w:uiPriority w:val="99"/>
    <w:qFormat/>
    <w:rsid w:val="00DD23AB"/>
    <w:pPr>
      <w:pBdr>
        <w:left w:val="double" w:sz="6"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8">
    <w:name w:val="xl78"/>
    <w:basedOn w:val="Normal"/>
    <w:uiPriority w:val="99"/>
    <w:qFormat/>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9">
    <w:name w:val="xl79"/>
    <w:basedOn w:val="Normal"/>
    <w:uiPriority w:val="99"/>
    <w:qFormat/>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80">
    <w:name w:val="xl80"/>
    <w:basedOn w:val="Normal"/>
    <w:uiPriority w:val="99"/>
    <w:qFormat/>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81">
    <w:name w:val="xl81"/>
    <w:basedOn w:val="Normal"/>
    <w:uiPriority w:val="99"/>
    <w:qFormat/>
    <w:rsid w:val="00DD23AB"/>
    <w:pPr>
      <w:pBdr>
        <w:top w:val="double" w:sz="6" w:space="0" w:color="auto"/>
        <w:lef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2">
    <w:name w:val="xl82"/>
    <w:basedOn w:val="Normal"/>
    <w:uiPriority w:val="99"/>
    <w:qFormat/>
    <w:rsid w:val="00DD23AB"/>
    <w:pPr>
      <w:pBdr>
        <w:top w:val="double" w:sz="6" w:space="0" w:color="auto"/>
        <w:righ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3">
    <w:name w:val="xl83"/>
    <w:basedOn w:val="Normal"/>
    <w:uiPriority w:val="99"/>
    <w:qFormat/>
    <w:rsid w:val="00DD23AB"/>
    <w:pPr>
      <w:pBdr>
        <w:left w:val="single" w:sz="8" w:space="0" w:color="auto"/>
        <w:bottom w:val="double" w:sz="6"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4">
    <w:name w:val="xl84"/>
    <w:basedOn w:val="Normal"/>
    <w:uiPriority w:val="99"/>
    <w:qFormat/>
    <w:rsid w:val="00DD23AB"/>
    <w:pPr>
      <w:pBdr>
        <w:bottom w:val="double" w:sz="6" w:space="0" w:color="auto"/>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5">
    <w:name w:val="xl85"/>
    <w:basedOn w:val="Normal"/>
    <w:uiPriority w:val="99"/>
    <w:qFormat/>
    <w:rsid w:val="00DD23AB"/>
    <w:pPr>
      <w:pBdr>
        <w:top w:val="double" w:sz="6"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6">
    <w:name w:val="xl86"/>
    <w:basedOn w:val="Normal"/>
    <w:uiPriority w:val="99"/>
    <w:qFormat/>
    <w:rsid w:val="00DD23AB"/>
    <w:pPr>
      <w:pBdr>
        <w:top w:val="double" w:sz="6"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7">
    <w:name w:val="xl87"/>
    <w:basedOn w:val="Normal"/>
    <w:uiPriority w:val="99"/>
    <w:qFormat/>
    <w:rsid w:val="00DD23AB"/>
    <w:pPr>
      <w:pBdr>
        <w:lef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8">
    <w:name w:val="xl88"/>
    <w:basedOn w:val="Normal"/>
    <w:uiPriority w:val="99"/>
    <w:qFormat/>
    <w:rsid w:val="00DD23AB"/>
    <w:pPr>
      <w:pBdr>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9">
    <w:name w:val="xl89"/>
    <w:basedOn w:val="Normal"/>
    <w:uiPriority w:val="99"/>
    <w:qFormat/>
    <w:rsid w:val="00DD23AB"/>
    <w:pPr>
      <w:pBdr>
        <w:left w:val="single" w:sz="8" w:space="0" w:color="auto"/>
        <w:bottom w:val="double" w:sz="6" w:space="0" w:color="auto"/>
      </w:pBdr>
      <w:spacing w:before="100" w:beforeAutospacing="1" w:after="100" w:afterAutospacing="1"/>
      <w:jc w:val="both"/>
      <w:textAlignment w:val="center"/>
    </w:pPr>
    <w:rPr>
      <w:rFonts w:ascii="Times Armenian" w:hAnsi="Times Armenian"/>
      <w:sz w:val="16"/>
      <w:szCs w:val="16"/>
    </w:rPr>
  </w:style>
  <w:style w:type="paragraph" w:customStyle="1" w:styleId="xl90">
    <w:name w:val="xl90"/>
    <w:basedOn w:val="Normal"/>
    <w:uiPriority w:val="99"/>
    <w:qFormat/>
    <w:rsid w:val="00DD23AB"/>
    <w:pPr>
      <w:pBdr>
        <w:bottom w:val="double" w:sz="6"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1">
    <w:name w:val="xl91"/>
    <w:basedOn w:val="Normal"/>
    <w:uiPriority w:val="99"/>
    <w:qFormat/>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92">
    <w:name w:val="xl92"/>
    <w:basedOn w:val="Normal"/>
    <w:uiPriority w:val="99"/>
    <w:qFormat/>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3">
    <w:name w:val="xl93"/>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4">
    <w:name w:val="xl94"/>
    <w:basedOn w:val="Normal"/>
    <w:uiPriority w:val="99"/>
    <w:qFormat/>
    <w:rsid w:val="00DD23AB"/>
    <w:pPr>
      <w:pBdr>
        <w:top w:val="single" w:sz="8"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5">
    <w:name w:val="xl95"/>
    <w:basedOn w:val="Normal"/>
    <w:uiPriority w:val="99"/>
    <w:qFormat/>
    <w:rsid w:val="00DD23AB"/>
    <w:pPr>
      <w:pBdr>
        <w:top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6">
    <w:name w:val="xl96"/>
    <w:basedOn w:val="Normal"/>
    <w:uiPriority w:val="99"/>
    <w:qFormat/>
    <w:rsid w:val="00DD23AB"/>
    <w:pPr>
      <w:pBdr>
        <w:lef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7">
    <w:name w:val="xl97"/>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8">
    <w:name w:val="xl98"/>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9">
    <w:name w:val="xl99"/>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00">
    <w:name w:val="xl100"/>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1">
    <w:name w:val="xl101"/>
    <w:basedOn w:val="Normal"/>
    <w:uiPriority w:val="99"/>
    <w:qFormat/>
    <w:rsid w:val="00DD23AB"/>
    <w:pPr>
      <w:pBdr>
        <w:lef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2">
    <w:name w:val="xl102"/>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3">
    <w:name w:val="xl103"/>
    <w:basedOn w:val="Normal"/>
    <w:uiPriority w:val="99"/>
    <w:qFormat/>
    <w:rsid w:val="00DD23AB"/>
    <w:pPr>
      <w:pBdr>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04">
    <w:name w:val="xl104"/>
    <w:basedOn w:val="Normal"/>
    <w:uiPriority w:val="99"/>
    <w:qFormat/>
    <w:rsid w:val="00DD23AB"/>
    <w:pPr>
      <w:spacing w:before="100" w:beforeAutospacing="1" w:after="100" w:afterAutospacing="1"/>
      <w:textAlignment w:val="center"/>
    </w:pPr>
    <w:rPr>
      <w:rFonts w:ascii="Calibri" w:hAnsi="Calibri"/>
    </w:rPr>
  </w:style>
  <w:style w:type="paragraph" w:customStyle="1" w:styleId="xl105">
    <w:name w:val="xl105"/>
    <w:basedOn w:val="Normal"/>
    <w:uiPriority w:val="99"/>
    <w:qFormat/>
    <w:rsid w:val="00DD23AB"/>
    <w:pPr>
      <w:pBdr>
        <w:top w:val="single" w:sz="8" w:space="0" w:color="auto"/>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6">
    <w:name w:val="xl106"/>
    <w:basedOn w:val="Normal"/>
    <w:uiPriority w:val="99"/>
    <w:qFormat/>
    <w:rsid w:val="00DD23AB"/>
    <w:pPr>
      <w:pBdr>
        <w:top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7">
    <w:name w:val="xl107"/>
    <w:basedOn w:val="Normal"/>
    <w:uiPriority w:val="99"/>
    <w:qFormat/>
    <w:rsid w:val="00DD23AB"/>
    <w:pPr>
      <w:pBdr>
        <w:top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8">
    <w:name w:val="xl108"/>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9">
    <w:name w:val="xl109"/>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0">
    <w:name w:val="xl110"/>
    <w:basedOn w:val="Normal"/>
    <w:uiPriority w:val="99"/>
    <w:qFormat/>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1">
    <w:name w:val="xl111"/>
    <w:basedOn w:val="Normal"/>
    <w:uiPriority w:val="99"/>
    <w:qFormat/>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2">
    <w:name w:val="xl112"/>
    <w:basedOn w:val="Normal"/>
    <w:uiPriority w:val="99"/>
    <w:qFormat/>
    <w:rsid w:val="00DD23AB"/>
    <w:pPr>
      <w:pBdr>
        <w:top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3">
    <w:name w:val="xl113"/>
    <w:basedOn w:val="Normal"/>
    <w:uiPriority w:val="99"/>
    <w:qFormat/>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4">
    <w:name w:val="xl114"/>
    <w:basedOn w:val="Normal"/>
    <w:uiPriority w:val="99"/>
    <w:qFormat/>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5">
    <w:name w:val="xl115"/>
    <w:basedOn w:val="Normal"/>
    <w:uiPriority w:val="99"/>
    <w:qFormat/>
    <w:rsid w:val="00DD23AB"/>
    <w:pPr>
      <w:pBdr>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16">
    <w:name w:val="xl116"/>
    <w:basedOn w:val="Normal"/>
    <w:uiPriority w:val="99"/>
    <w:qFormat/>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7">
    <w:name w:val="xl117"/>
    <w:basedOn w:val="Normal"/>
    <w:uiPriority w:val="99"/>
    <w:qFormat/>
    <w:rsid w:val="00DD23AB"/>
    <w:pPr>
      <w:pBdr>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8">
    <w:name w:val="xl118"/>
    <w:basedOn w:val="Normal"/>
    <w:uiPriority w:val="99"/>
    <w:qFormat/>
    <w:rsid w:val="00DD23AB"/>
    <w:pPr>
      <w:pBdr>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9">
    <w:name w:val="xl119"/>
    <w:basedOn w:val="Normal"/>
    <w:uiPriority w:val="99"/>
    <w:qFormat/>
    <w:rsid w:val="00DD23AB"/>
    <w:pPr>
      <w:pBdr>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0">
    <w:name w:val="xl120"/>
    <w:basedOn w:val="Normal"/>
    <w:uiPriority w:val="99"/>
    <w:qFormat/>
    <w:rsid w:val="00DD23AB"/>
    <w:pPr>
      <w:pBdr>
        <w:left w:val="double" w:sz="6"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1">
    <w:name w:val="xl12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2">
    <w:name w:val="xl122"/>
    <w:basedOn w:val="Normal"/>
    <w:uiPriority w:val="99"/>
    <w:qFormat/>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3">
    <w:name w:val="xl123"/>
    <w:basedOn w:val="Normal"/>
    <w:uiPriority w:val="99"/>
    <w:qFormat/>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4">
    <w:name w:val="xl124"/>
    <w:basedOn w:val="Normal"/>
    <w:uiPriority w:val="99"/>
    <w:qFormat/>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5">
    <w:name w:val="xl125"/>
    <w:basedOn w:val="Normal"/>
    <w:uiPriority w:val="99"/>
    <w:qFormat/>
    <w:rsid w:val="00DD23AB"/>
    <w:pPr>
      <w:pBdr>
        <w:top w:val="single" w:sz="8"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6">
    <w:name w:val="xl126"/>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27">
    <w:name w:val="xl127"/>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8">
    <w:name w:val="xl128"/>
    <w:basedOn w:val="Normal"/>
    <w:uiPriority w:val="99"/>
    <w:qFormat/>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9">
    <w:name w:val="xl129"/>
    <w:basedOn w:val="Normal"/>
    <w:uiPriority w:val="99"/>
    <w:qFormat/>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0">
    <w:name w:val="xl130"/>
    <w:basedOn w:val="Normal"/>
    <w:uiPriority w:val="99"/>
    <w:qFormat/>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1">
    <w:name w:val="xl13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32">
    <w:name w:val="xl132"/>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3">
    <w:name w:val="xl133"/>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4">
    <w:name w:val="xl134"/>
    <w:basedOn w:val="Normal"/>
    <w:uiPriority w:val="99"/>
    <w:qFormat/>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5">
    <w:name w:val="xl135"/>
    <w:basedOn w:val="Normal"/>
    <w:uiPriority w:val="99"/>
    <w:qFormat/>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6">
    <w:name w:val="xl136"/>
    <w:basedOn w:val="Normal"/>
    <w:uiPriority w:val="99"/>
    <w:qFormat/>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7">
    <w:name w:val="xl137"/>
    <w:basedOn w:val="Normal"/>
    <w:uiPriority w:val="99"/>
    <w:qFormat/>
    <w:rsid w:val="00DD23AB"/>
    <w:pPr>
      <w:pBdr>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8">
    <w:name w:val="xl138"/>
    <w:basedOn w:val="Normal"/>
    <w:uiPriority w:val="99"/>
    <w:qFormat/>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9">
    <w:name w:val="xl139"/>
    <w:basedOn w:val="Normal"/>
    <w:uiPriority w:val="99"/>
    <w:qFormat/>
    <w:rsid w:val="00DD23AB"/>
    <w:pPr>
      <w:pBdr>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0">
    <w:name w:val="xl140"/>
    <w:basedOn w:val="Normal"/>
    <w:uiPriority w:val="99"/>
    <w:qFormat/>
    <w:rsid w:val="00DD23AB"/>
    <w:pPr>
      <w:pBdr>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1">
    <w:name w:val="xl14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42">
    <w:name w:val="xl142"/>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3">
    <w:name w:val="xl143"/>
    <w:basedOn w:val="Normal"/>
    <w:uiPriority w:val="99"/>
    <w:qFormat/>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4">
    <w:name w:val="xl144"/>
    <w:basedOn w:val="Normal"/>
    <w:uiPriority w:val="99"/>
    <w:qFormat/>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5">
    <w:name w:val="xl145"/>
    <w:basedOn w:val="Normal"/>
    <w:uiPriority w:val="99"/>
    <w:qFormat/>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6">
    <w:name w:val="xl146"/>
    <w:basedOn w:val="Normal"/>
    <w:uiPriority w:val="99"/>
    <w:qFormat/>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47">
    <w:name w:val="xl147"/>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8">
    <w:name w:val="xl148"/>
    <w:basedOn w:val="Normal"/>
    <w:uiPriority w:val="99"/>
    <w:qFormat/>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9">
    <w:name w:val="xl149"/>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0">
    <w:name w:val="xl150"/>
    <w:basedOn w:val="Normal"/>
    <w:uiPriority w:val="99"/>
    <w:qFormat/>
    <w:rsid w:val="00DD23AB"/>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1">
    <w:name w:val="xl151"/>
    <w:basedOn w:val="Normal"/>
    <w:uiPriority w:val="99"/>
    <w:qFormat/>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2">
    <w:name w:val="xl152"/>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3">
    <w:name w:val="xl153"/>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4">
    <w:name w:val="xl154"/>
    <w:basedOn w:val="Normal"/>
    <w:uiPriority w:val="99"/>
    <w:qFormat/>
    <w:rsid w:val="00DD23AB"/>
    <w:pPr>
      <w:spacing w:before="100" w:beforeAutospacing="1" w:after="100" w:afterAutospacing="1"/>
      <w:jc w:val="center"/>
      <w:textAlignment w:val="center"/>
    </w:pPr>
    <w:rPr>
      <w:rFonts w:ascii="Calibri" w:hAnsi="Calibri"/>
    </w:rPr>
  </w:style>
  <w:style w:type="paragraph" w:customStyle="1" w:styleId="xl155">
    <w:name w:val="xl155"/>
    <w:basedOn w:val="Normal"/>
    <w:uiPriority w:val="99"/>
    <w:qFormat/>
    <w:rsid w:val="00DD23AB"/>
    <w:pPr>
      <w:spacing w:before="100" w:beforeAutospacing="1" w:after="100" w:afterAutospacing="1"/>
      <w:textAlignment w:val="center"/>
    </w:pPr>
    <w:rPr>
      <w:rFonts w:ascii="Times Armenian" w:hAnsi="Times Armenian"/>
      <w:b/>
      <w:bCs/>
      <w:sz w:val="18"/>
      <w:szCs w:val="18"/>
    </w:rPr>
  </w:style>
  <w:style w:type="paragraph" w:customStyle="1" w:styleId="xl156">
    <w:name w:val="xl156"/>
    <w:basedOn w:val="Normal"/>
    <w:uiPriority w:val="99"/>
    <w:qFormat/>
    <w:rsid w:val="00DD23AB"/>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7">
    <w:name w:val="xl157"/>
    <w:basedOn w:val="Normal"/>
    <w:uiPriority w:val="99"/>
    <w:qFormat/>
    <w:rsid w:val="00DD23AB"/>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8">
    <w:name w:val="xl158"/>
    <w:basedOn w:val="Normal"/>
    <w:uiPriority w:val="99"/>
    <w:qFormat/>
    <w:rsid w:val="00DD23AB"/>
    <w:pPr>
      <w:pBdr>
        <w:top w:val="double" w:sz="6"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59">
    <w:name w:val="xl159"/>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0">
    <w:name w:val="xl160"/>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1">
    <w:name w:val="xl161"/>
    <w:basedOn w:val="Normal"/>
    <w:uiPriority w:val="99"/>
    <w:qFormat/>
    <w:rsid w:val="00DD23AB"/>
    <w:pPr>
      <w:spacing w:before="100" w:beforeAutospacing="1" w:after="100" w:afterAutospacing="1"/>
      <w:textAlignment w:val="center"/>
    </w:pPr>
    <w:rPr>
      <w:rFonts w:ascii="Times Armenian" w:hAnsi="Times Armenian"/>
      <w:b/>
      <w:bCs/>
      <w:sz w:val="18"/>
      <w:szCs w:val="18"/>
      <w:u w:val="single"/>
    </w:rPr>
  </w:style>
  <w:style w:type="paragraph" w:styleId="Subtitle">
    <w:name w:val="Subtitle"/>
    <w:basedOn w:val="Normal"/>
    <w:link w:val="SubtitleChar1"/>
    <w:uiPriority w:val="11"/>
    <w:qFormat/>
    <w:rsid w:val="00DD23AB"/>
    <w:pPr>
      <w:jc w:val="center"/>
    </w:pPr>
    <w:rPr>
      <w:rFonts w:ascii="Times LatArm" w:hAnsi="Times LatArm"/>
      <w:b/>
      <w:bCs/>
    </w:rPr>
  </w:style>
  <w:style w:type="character" w:customStyle="1" w:styleId="SubtitleChar">
    <w:name w:val="Subtitle Char"/>
    <w:uiPriority w:val="11"/>
    <w:rsid w:val="00DD23AB"/>
    <w:rPr>
      <w:rFonts w:ascii="Cambria" w:eastAsia="Times New Roman" w:hAnsi="Cambria" w:cs="Times New Roman"/>
      <w:sz w:val="24"/>
      <w:szCs w:val="24"/>
    </w:rPr>
  </w:style>
  <w:style w:type="paragraph" w:customStyle="1" w:styleId="xl24">
    <w:name w:val="xl24"/>
    <w:basedOn w:val="Normal"/>
    <w:uiPriority w:val="99"/>
    <w:qFormat/>
    <w:rsid w:val="00DD23AB"/>
    <w:pP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5">
    <w:name w:val="xl25"/>
    <w:basedOn w:val="Normal"/>
    <w:uiPriority w:val="99"/>
    <w:qFormat/>
    <w:rsid w:val="00DD23AB"/>
    <w:pP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6">
    <w:name w:val="xl26"/>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7">
    <w:name w:val="xl27"/>
    <w:basedOn w:val="Normal"/>
    <w:uiPriority w:val="99"/>
    <w:qFormat/>
    <w:rsid w:val="00DD23AB"/>
    <w:pPr>
      <w:pBdr>
        <w:bottom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8">
    <w:name w:val="xl28"/>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9">
    <w:name w:val="xl29"/>
    <w:basedOn w:val="Normal"/>
    <w:uiPriority w:val="99"/>
    <w:qFormat/>
    <w:rsid w:val="00DD23AB"/>
    <w:pPr>
      <w:pBdr>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30">
    <w:name w:val="xl30"/>
    <w:basedOn w:val="Normal"/>
    <w:uiPriority w:val="99"/>
    <w:qFormat/>
    <w:rsid w:val="00DD23AB"/>
    <w:pPr>
      <w:pBdr>
        <w:bottom w:val="single" w:sz="4" w:space="0" w:color="auto"/>
      </w:pBdr>
      <w:spacing w:before="100" w:beforeAutospacing="1" w:after="100" w:afterAutospacing="1"/>
      <w:jc w:val="center"/>
      <w:textAlignment w:val="top"/>
    </w:pPr>
    <w:rPr>
      <w:rFonts w:ascii="Times Armenian" w:eastAsia="Arial Unicode MS" w:hAnsi="Times Armenian" w:cs="Arial Unicode MS"/>
      <w:b/>
      <w:bCs/>
      <w:sz w:val="22"/>
      <w:szCs w:val="22"/>
    </w:rPr>
  </w:style>
  <w:style w:type="paragraph" w:customStyle="1" w:styleId="xl31">
    <w:name w:val="xl31"/>
    <w:basedOn w:val="Normal"/>
    <w:uiPriority w:val="99"/>
    <w:qFormat/>
    <w:rsid w:val="00DD23AB"/>
    <w:pPr>
      <w:pBdr>
        <w:left w:val="single" w:sz="4" w:space="0" w:color="auto"/>
        <w:bottom w:val="single" w:sz="4" w:space="0" w:color="auto"/>
      </w:pBdr>
      <w:spacing w:before="100" w:beforeAutospacing="1" w:after="100" w:afterAutospacing="1"/>
      <w:jc w:val="center"/>
      <w:textAlignment w:val="top"/>
    </w:pPr>
    <w:rPr>
      <w:rFonts w:ascii="Times Armenian" w:eastAsia="Arial Unicode MS" w:hAnsi="Times Armenian" w:cs="Arial Unicode MS"/>
      <w:b/>
      <w:bCs/>
    </w:rPr>
  </w:style>
  <w:style w:type="paragraph" w:customStyle="1" w:styleId="xl32">
    <w:name w:val="xl32"/>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3">
    <w:name w:val="xl33"/>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4">
    <w:name w:val="xl34"/>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5">
    <w:name w:val="xl35"/>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6">
    <w:name w:val="xl36"/>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23">
    <w:name w:val="xl23"/>
    <w:basedOn w:val="Normal"/>
    <w:uiPriority w:val="99"/>
    <w:qFormat/>
    <w:rsid w:val="00DD23AB"/>
    <w:pPr>
      <w:spacing w:before="100" w:beforeAutospacing="1" w:after="100" w:afterAutospacing="1"/>
      <w:jc w:val="center"/>
      <w:textAlignment w:val="center"/>
    </w:pPr>
    <w:rPr>
      <w:rFonts w:ascii="Times Armenian" w:hAnsi="Times Armenian"/>
    </w:rPr>
  </w:style>
  <w:style w:type="paragraph" w:customStyle="1" w:styleId="xl37">
    <w:name w:val="xl37"/>
    <w:basedOn w:val="Normal"/>
    <w:uiPriority w:val="99"/>
    <w:qFormat/>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xl38">
    <w:name w:val="xl38"/>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39">
    <w:name w:val="xl39"/>
    <w:basedOn w:val="Normal"/>
    <w:uiPriority w:val="99"/>
    <w:qFormat/>
    <w:rsid w:val="00DD23A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0">
    <w:name w:val="xl40"/>
    <w:basedOn w:val="Normal"/>
    <w:uiPriority w:val="99"/>
    <w:qFormat/>
    <w:rsid w:val="00DD23AB"/>
    <w:pPr>
      <w:pBdr>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1">
    <w:name w:val="xl41"/>
    <w:basedOn w:val="Normal"/>
    <w:uiPriority w:val="99"/>
    <w:qFormat/>
    <w:rsid w:val="00DD23AB"/>
    <w:pPr>
      <w:pBdr>
        <w:top w:val="single" w:sz="4" w:space="0" w:color="auto"/>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2">
    <w:name w:val="xl42"/>
    <w:basedOn w:val="Normal"/>
    <w:uiPriority w:val="99"/>
    <w:qFormat/>
    <w:rsid w:val="00DD23AB"/>
    <w:pPr>
      <w:pBdr>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3">
    <w:name w:val="xl43"/>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4">
    <w:name w:val="xl44"/>
    <w:basedOn w:val="Normal"/>
    <w:uiPriority w:val="99"/>
    <w:qFormat/>
    <w:rsid w:val="00DD23AB"/>
    <w:pPr>
      <w:spacing w:before="100" w:beforeAutospacing="1" w:after="100" w:afterAutospacing="1"/>
      <w:jc w:val="both"/>
    </w:pPr>
    <w:rPr>
      <w:rFonts w:ascii="Times Armenian" w:eastAsia="Arial Unicode MS" w:hAnsi="Times Armenian" w:cs="Arial Unicode MS"/>
      <w:b/>
      <w:bCs/>
    </w:rPr>
  </w:style>
  <w:style w:type="paragraph" w:customStyle="1" w:styleId="xl45">
    <w:name w:val="xl45"/>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46">
    <w:name w:val="xl46"/>
    <w:basedOn w:val="Normal"/>
    <w:uiPriority w:val="99"/>
    <w:qFormat/>
    <w:rsid w:val="00DD23AB"/>
    <w:pPr>
      <w:spacing w:before="100" w:beforeAutospacing="1" w:after="100" w:afterAutospacing="1"/>
      <w:jc w:val="center"/>
      <w:textAlignment w:val="center"/>
    </w:pPr>
    <w:rPr>
      <w:rFonts w:ascii="Times Armenian" w:eastAsia="Arial Unicode MS" w:hAnsi="Times Armenian" w:cs="Arial Unicode MS"/>
      <w:b/>
      <w:bCs/>
      <w:sz w:val="22"/>
      <w:szCs w:val="22"/>
      <w:u w:val="single"/>
    </w:rPr>
  </w:style>
  <w:style w:type="paragraph" w:customStyle="1" w:styleId="xl47">
    <w:name w:val="xl47"/>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8">
    <w:name w:val="xl48"/>
    <w:basedOn w:val="Normal"/>
    <w:uiPriority w:val="99"/>
    <w:qFormat/>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StyleBodyTextArialAMChar">
    <w:name w:val="Style Body Text + Arial AM Char"/>
    <w:basedOn w:val="BodyText"/>
    <w:uiPriority w:val="99"/>
    <w:qFormat/>
    <w:rsid w:val="00DD23AB"/>
    <w:pPr>
      <w:overflowPunct/>
      <w:autoSpaceDE/>
      <w:autoSpaceDN/>
      <w:adjustRightInd/>
      <w:spacing w:after="240" w:line="240" w:lineRule="auto"/>
      <w:jc w:val="both"/>
      <w:textAlignment w:val="auto"/>
    </w:pPr>
    <w:rPr>
      <w:rFonts w:ascii="Arial AM" w:hAnsi="Arial AM"/>
      <w:b w:val="0"/>
      <w:i w:val="0"/>
      <w:spacing w:val="-5"/>
      <w:lang w:val="en-GB"/>
    </w:rPr>
  </w:style>
  <w:style w:type="paragraph" w:customStyle="1" w:styleId="CoverSubTitle">
    <w:name w:val="Cover SubTitle"/>
    <w:basedOn w:val="Normal"/>
    <w:uiPriority w:val="99"/>
    <w:qFormat/>
    <w:rsid w:val="00DD23AB"/>
    <w:pPr>
      <w:overflowPunct w:val="0"/>
      <w:autoSpaceDE w:val="0"/>
      <w:autoSpaceDN w:val="0"/>
      <w:adjustRightInd w:val="0"/>
      <w:spacing w:line="440" w:lineRule="exact"/>
      <w:jc w:val="center"/>
      <w:textAlignment w:val="baseline"/>
    </w:pPr>
    <w:rPr>
      <w:rFonts w:ascii="Times New Roman" w:hAnsi="Times New Roman"/>
      <w:sz w:val="32"/>
      <w:szCs w:val="20"/>
    </w:rPr>
  </w:style>
  <w:style w:type="paragraph" w:customStyle="1" w:styleId="CharCharCharChar">
    <w:name w:val="Char Char Char Char"/>
    <w:basedOn w:val="Normal"/>
    <w:next w:val="Normal"/>
    <w:uiPriority w:val="99"/>
    <w:qFormat/>
    <w:rsid w:val="00DD23AB"/>
    <w:pPr>
      <w:spacing w:after="160" w:line="240" w:lineRule="exact"/>
    </w:pPr>
    <w:rPr>
      <w:rFonts w:ascii="Tahoma" w:hAnsi="Tahoma" w:cs="Tahoma"/>
    </w:rPr>
  </w:style>
  <w:style w:type="paragraph" w:customStyle="1" w:styleId="CharCharChar0">
    <w:name w:val="Char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0">
    <w:name w:val="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21">
    <w:name w:val="Абзац списка2"/>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NoSpacing">
    <w:name w:val="No Spacing"/>
    <w:link w:val="NoSpacingChar"/>
    <w:uiPriority w:val="1"/>
    <w:qFormat/>
    <w:rsid w:val="00DD23AB"/>
    <w:rPr>
      <w:rFonts w:ascii="Calibri" w:eastAsia="Calibri" w:hAnsi="Calibri"/>
      <w:sz w:val="22"/>
      <w:szCs w:val="22"/>
    </w:rPr>
  </w:style>
  <w:style w:type="paragraph" w:styleId="DocumentMap">
    <w:name w:val="Document Map"/>
    <w:basedOn w:val="Normal"/>
    <w:link w:val="DocumentMapChar"/>
    <w:uiPriority w:val="99"/>
    <w:rsid w:val="00DD23AB"/>
    <w:pPr>
      <w:shd w:val="clear" w:color="auto" w:fill="000080"/>
    </w:pPr>
    <w:rPr>
      <w:rFonts w:ascii="Tahoma" w:hAnsi="Tahoma"/>
      <w:sz w:val="20"/>
      <w:szCs w:val="20"/>
      <w:lang w:val="hy-AM"/>
    </w:rPr>
  </w:style>
  <w:style w:type="character" w:customStyle="1" w:styleId="DocumentMapChar">
    <w:name w:val="Document Map Char"/>
    <w:link w:val="DocumentMap"/>
    <w:uiPriority w:val="99"/>
    <w:rsid w:val="00DD23AB"/>
    <w:rPr>
      <w:rFonts w:ascii="Tahoma" w:hAnsi="Tahoma"/>
      <w:shd w:val="clear" w:color="auto" w:fill="000080"/>
      <w:lang w:val="hy-AM"/>
    </w:rPr>
  </w:style>
  <w:style w:type="character" w:customStyle="1" w:styleId="CharChar6">
    <w:name w:val="Char Char6"/>
    <w:uiPriority w:val="99"/>
    <w:rsid w:val="00DD23AB"/>
    <w:rPr>
      <w:rFonts w:ascii="Times Armenian" w:hAnsi="Times Armenian" w:cs="Arial"/>
      <w:b/>
      <w:bCs/>
      <w:i/>
      <w:noProof/>
      <w:sz w:val="26"/>
      <w:szCs w:val="26"/>
      <w:u w:val="single"/>
      <w:lang w:val="hy-AM" w:eastAsia="en-US" w:bidi="ar-SA"/>
    </w:rPr>
  </w:style>
  <w:style w:type="character" w:customStyle="1" w:styleId="CharChar5">
    <w:name w:val="Char Char5"/>
    <w:uiPriority w:val="99"/>
    <w:rsid w:val="00DD23AB"/>
    <w:rPr>
      <w:rFonts w:ascii="Times Armenian" w:hAnsi="Times Armenian"/>
      <w:noProof/>
      <w:sz w:val="24"/>
      <w:szCs w:val="24"/>
      <w:lang w:val="hy-AM" w:eastAsia="en-US" w:bidi="ar-SA"/>
    </w:rPr>
  </w:style>
  <w:style w:type="paragraph" w:styleId="BodyTextFirstIndent">
    <w:name w:val="Body Text First Indent"/>
    <w:basedOn w:val="BodyText"/>
    <w:link w:val="BodyTextFirstIndentChar"/>
    <w:uiPriority w:val="99"/>
    <w:unhideWhenUsed/>
    <w:rsid w:val="00DD23AB"/>
    <w:pPr>
      <w:overflowPunct/>
      <w:autoSpaceDE/>
      <w:autoSpaceDN/>
      <w:adjustRightInd/>
      <w:spacing w:after="120"/>
      <w:ind w:firstLine="210"/>
      <w:jc w:val="both"/>
      <w:textAlignment w:val="auto"/>
    </w:pPr>
    <w:rPr>
      <w:rFonts w:ascii="Calibri" w:eastAsia="Calibri" w:hAnsi="Calibri"/>
      <w:sz w:val="22"/>
      <w:szCs w:val="22"/>
      <w:lang w:val="hy-AM"/>
    </w:rPr>
  </w:style>
  <w:style w:type="character" w:customStyle="1" w:styleId="BodyTextFirstIndentChar">
    <w:name w:val="Body Text First Indent Char"/>
    <w:link w:val="BodyTextFirstIndent"/>
    <w:uiPriority w:val="99"/>
    <w:rsid w:val="00DD23AB"/>
    <w:rPr>
      <w:rFonts w:ascii="Calibri" w:eastAsia="Calibri" w:hAnsi="Calibri"/>
      <w:b/>
      <w:i/>
      <w:sz w:val="22"/>
      <w:szCs w:val="22"/>
      <w:lang w:val="hy-AM"/>
    </w:rPr>
  </w:style>
  <w:style w:type="character" w:customStyle="1" w:styleId="apple-style-span">
    <w:name w:val="apple-style-span"/>
    <w:basedOn w:val="DefaultParagraphFont"/>
    <w:uiPriority w:val="99"/>
    <w:rsid w:val="00DD23AB"/>
  </w:style>
  <w:style w:type="paragraph" w:styleId="TOC4">
    <w:name w:val="toc 4"/>
    <w:basedOn w:val="Normal"/>
    <w:next w:val="Normal"/>
    <w:autoRedefine/>
    <w:uiPriority w:val="99"/>
    <w:rsid w:val="00DD23AB"/>
    <w:pPr>
      <w:ind w:left="720"/>
    </w:pPr>
    <w:rPr>
      <w:rFonts w:ascii="Times New Roman" w:hAnsi="Times New Roman"/>
      <w:noProof/>
      <w:sz w:val="18"/>
      <w:szCs w:val="18"/>
      <w:lang w:val="hy-AM"/>
    </w:rPr>
  </w:style>
  <w:style w:type="paragraph" w:styleId="TOC5">
    <w:name w:val="toc 5"/>
    <w:basedOn w:val="Normal"/>
    <w:next w:val="Normal"/>
    <w:autoRedefine/>
    <w:uiPriority w:val="99"/>
    <w:rsid w:val="00DD23AB"/>
    <w:pPr>
      <w:ind w:left="960"/>
    </w:pPr>
    <w:rPr>
      <w:rFonts w:ascii="Times New Roman" w:hAnsi="Times New Roman"/>
      <w:noProof/>
      <w:sz w:val="18"/>
      <w:szCs w:val="18"/>
      <w:lang w:val="hy-AM"/>
    </w:rPr>
  </w:style>
  <w:style w:type="paragraph" w:styleId="TOC6">
    <w:name w:val="toc 6"/>
    <w:basedOn w:val="Normal"/>
    <w:next w:val="Normal"/>
    <w:autoRedefine/>
    <w:uiPriority w:val="99"/>
    <w:rsid w:val="00DD23AB"/>
    <w:pPr>
      <w:ind w:left="1200"/>
    </w:pPr>
    <w:rPr>
      <w:rFonts w:ascii="Times New Roman" w:hAnsi="Times New Roman"/>
      <w:noProof/>
      <w:sz w:val="18"/>
      <w:szCs w:val="18"/>
      <w:lang w:val="hy-AM"/>
    </w:rPr>
  </w:style>
  <w:style w:type="paragraph" w:styleId="TOC7">
    <w:name w:val="toc 7"/>
    <w:basedOn w:val="Normal"/>
    <w:next w:val="Normal"/>
    <w:autoRedefine/>
    <w:uiPriority w:val="99"/>
    <w:rsid w:val="00DD23AB"/>
    <w:pPr>
      <w:ind w:left="1440"/>
    </w:pPr>
    <w:rPr>
      <w:rFonts w:ascii="Times New Roman" w:hAnsi="Times New Roman"/>
      <w:noProof/>
      <w:sz w:val="18"/>
      <w:szCs w:val="18"/>
      <w:lang w:val="hy-AM"/>
    </w:rPr>
  </w:style>
  <w:style w:type="paragraph" w:styleId="TOC8">
    <w:name w:val="toc 8"/>
    <w:basedOn w:val="Normal"/>
    <w:next w:val="Normal"/>
    <w:autoRedefine/>
    <w:uiPriority w:val="99"/>
    <w:rsid w:val="00DD23AB"/>
    <w:pPr>
      <w:ind w:left="1680"/>
    </w:pPr>
    <w:rPr>
      <w:rFonts w:ascii="Times New Roman" w:hAnsi="Times New Roman"/>
      <w:noProof/>
      <w:sz w:val="18"/>
      <w:szCs w:val="18"/>
      <w:lang w:val="hy-AM"/>
    </w:rPr>
  </w:style>
  <w:style w:type="paragraph" w:styleId="TOC9">
    <w:name w:val="toc 9"/>
    <w:basedOn w:val="Normal"/>
    <w:next w:val="Normal"/>
    <w:autoRedefine/>
    <w:uiPriority w:val="99"/>
    <w:rsid w:val="00DD23AB"/>
    <w:pPr>
      <w:ind w:left="1920"/>
    </w:pPr>
    <w:rPr>
      <w:rFonts w:ascii="Times New Roman" w:hAnsi="Times New Roman"/>
      <w:noProof/>
      <w:sz w:val="18"/>
      <w:szCs w:val="18"/>
      <w:lang w:val="hy-AM"/>
    </w:rPr>
  </w:style>
  <w:style w:type="paragraph" w:customStyle="1" w:styleId="book-title">
    <w:name w:val="book-title"/>
    <w:basedOn w:val="Normal"/>
    <w:uiPriority w:val="99"/>
    <w:qFormat/>
    <w:rsid w:val="00DD23AB"/>
    <w:pPr>
      <w:spacing w:before="100" w:beforeAutospacing="1" w:after="100" w:afterAutospacing="1"/>
    </w:pPr>
    <w:rPr>
      <w:rFonts w:ascii="Times New Roman" w:hAnsi="Times New Roman"/>
    </w:rPr>
  </w:style>
  <w:style w:type="character" w:customStyle="1" w:styleId="BalloonTextChar1">
    <w:name w:val="Balloon Text Char1"/>
    <w:uiPriority w:val="99"/>
    <w:locked/>
    <w:rsid w:val="00DD23AB"/>
    <w:rPr>
      <w:rFonts w:ascii="Tahoma" w:eastAsia="Times New Roman" w:hAnsi="Tahoma" w:cs="Tahoma"/>
      <w:noProof/>
      <w:sz w:val="16"/>
      <w:szCs w:val="16"/>
      <w:lang w:val="hy-AM"/>
    </w:rPr>
  </w:style>
  <w:style w:type="paragraph" w:customStyle="1" w:styleId="CharCharCharCharCharChar1CharCharCharCharCharCharCharCharChar">
    <w:name w:val="Char Char Char Char Char Char1 Char Char Char Char Char Char Char Char Char Знак Знак"/>
    <w:basedOn w:val="Normal"/>
    <w:uiPriority w:val="99"/>
    <w:qFormat/>
    <w:rsid w:val="00DD23AB"/>
    <w:pPr>
      <w:spacing w:after="160" w:line="240" w:lineRule="exact"/>
    </w:pPr>
    <w:rPr>
      <w:rFonts w:ascii="Arial" w:hAnsi="Arial" w:cs="Arial"/>
      <w:sz w:val="20"/>
      <w:szCs w:val="20"/>
    </w:rPr>
  </w:style>
  <w:style w:type="character" w:customStyle="1" w:styleId="a3">
    <w:name w:val="Основной текст_"/>
    <w:link w:val="13"/>
    <w:uiPriority w:val="99"/>
    <w:rsid w:val="00DD23AB"/>
    <w:rPr>
      <w:rFonts w:ascii="Tahoma" w:eastAsia="Tahoma" w:hAnsi="Tahoma"/>
      <w:sz w:val="19"/>
      <w:szCs w:val="19"/>
      <w:shd w:val="clear" w:color="auto" w:fill="FFFFFF"/>
    </w:rPr>
  </w:style>
  <w:style w:type="paragraph" w:customStyle="1" w:styleId="13">
    <w:name w:val="Основной текст1"/>
    <w:basedOn w:val="Normal"/>
    <w:link w:val="a3"/>
    <w:uiPriority w:val="99"/>
    <w:qFormat/>
    <w:rsid w:val="00DD23AB"/>
    <w:pPr>
      <w:shd w:val="clear" w:color="auto" w:fill="FFFFFF"/>
      <w:spacing w:line="0" w:lineRule="atLeast"/>
      <w:ind w:hanging="360"/>
    </w:pPr>
    <w:rPr>
      <w:rFonts w:ascii="Tahoma" w:eastAsia="Tahoma" w:hAnsi="Tahoma"/>
      <w:sz w:val="19"/>
      <w:szCs w:val="19"/>
      <w:shd w:val="clear" w:color="auto" w:fill="FFFFFF"/>
    </w:rPr>
  </w:style>
  <w:style w:type="paragraph" w:customStyle="1" w:styleId="yiv1819130750msonormal">
    <w:name w:val="yiv1819130750msonormal"/>
    <w:basedOn w:val="Normal"/>
    <w:uiPriority w:val="99"/>
    <w:qFormat/>
    <w:rsid w:val="00DD23AB"/>
    <w:pPr>
      <w:spacing w:before="100" w:beforeAutospacing="1" w:after="100" w:afterAutospacing="1"/>
    </w:pPr>
    <w:rPr>
      <w:rFonts w:ascii="Times New Roman" w:hAnsi="Times New Roman"/>
      <w:lang w:bidi="th-TH"/>
    </w:rPr>
  </w:style>
  <w:style w:type="character" w:customStyle="1" w:styleId="hps">
    <w:name w:val="hps"/>
    <w:uiPriority w:val="99"/>
    <w:rsid w:val="00DD23AB"/>
  </w:style>
  <w:style w:type="paragraph" w:customStyle="1" w:styleId="NoSpacing1">
    <w:name w:val="No Spacing1"/>
    <w:uiPriority w:val="99"/>
    <w:qFormat/>
    <w:rsid w:val="00DD23AB"/>
    <w:rPr>
      <w:rFonts w:eastAsia="Calibri"/>
      <w:sz w:val="24"/>
      <w:szCs w:val="24"/>
      <w:lang w:eastAsia="en-GB"/>
    </w:rPr>
  </w:style>
  <w:style w:type="character" w:customStyle="1" w:styleId="NoSpacingChar">
    <w:name w:val="No Spacing Char"/>
    <w:link w:val="NoSpacing"/>
    <w:uiPriority w:val="99"/>
    <w:locked/>
    <w:rsid w:val="00DD23AB"/>
    <w:rPr>
      <w:rFonts w:ascii="Calibri" w:eastAsia="Calibri" w:hAnsi="Calibri"/>
      <w:sz w:val="22"/>
      <w:szCs w:val="22"/>
      <w:lang w:bidi="ar-SA"/>
    </w:rPr>
  </w:style>
  <w:style w:type="paragraph" w:styleId="Index1">
    <w:name w:val="index 1"/>
    <w:basedOn w:val="Normal"/>
    <w:next w:val="Normal"/>
    <w:autoRedefine/>
    <w:uiPriority w:val="99"/>
    <w:rsid w:val="00DD23AB"/>
    <w:pPr>
      <w:ind w:left="240" w:hanging="240"/>
    </w:pPr>
    <w:rPr>
      <w:rFonts w:ascii="Times New Roman" w:hAnsi="Times New Roman"/>
      <w:noProof/>
      <w:sz w:val="20"/>
      <w:szCs w:val="20"/>
      <w:lang w:val="hy-AM"/>
    </w:rPr>
  </w:style>
  <w:style w:type="paragraph" w:styleId="Index2">
    <w:name w:val="index 2"/>
    <w:basedOn w:val="Normal"/>
    <w:next w:val="Normal"/>
    <w:autoRedefine/>
    <w:uiPriority w:val="99"/>
    <w:rsid w:val="00DD23AB"/>
    <w:pPr>
      <w:ind w:left="480" w:hanging="240"/>
    </w:pPr>
    <w:rPr>
      <w:rFonts w:ascii="Times New Roman" w:hAnsi="Times New Roman"/>
      <w:noProof/>
      <w:sz w:val="20"/>
      <w:szCs w:val="20"/>
      <w:lang w:val="hy-AM"/>
    </w:rPr>
  </w:style>
  <w:style w:type="paragraph" w:styleId="Index3">
    <w:name w:val="index 3"/>
    <w:basedOn w:val="Normal"/>
    <w:next w:val="Normal"/>
    <w:autoRedefine/>
    <w:uiPriority w:val="99"/>
    <w:rsid w:val="00DD23AB"/>
    <w:pPr>
      <w:ind w:left="720" w:hanging="240"/>
    </w:pPr>
    <w:rPr>
      <w:rFonts w:ascii="Times New Roman" w:hAnsi="Times New Roman"/>
      <w:noProof/>
      <w:sz w:val="20"/>
      <w:szCs w:val="20"/>
      <w:lang w:val="hy-AM"/>
    </w:rPr>
  </w:style>
  <w:style w:type="paragraph" w:styleId="Index4">
    <w:name w:val="index 4"/>
    <w:basedOn w:val="Normal"/>
    <w:next w:val="Normal"/>
    <w:autoRedefine/>
    <w:uiPriority w:val="99"/>
    <w:rsid w:val="00DD23AB"/>
    <w:pPr>
      <w:ind w:left="960" w:hanging="240"/>
    </w:pPr>
    <w:rPr>
      <w:rFonts w:ascii="Times New Roman" w:hAnsi="Times New Roman"/>
      <w:noProof/>
      <w:sz w:val="20"/>
      <w:szCs w:val="20"/>
      <w:lang w:val="hy-AM"/>
    </w:rPr>
  </w:style>
  <w:style w:type="paragraph" w:styleId="Index5">
    <w:name w:val="index 5"/>
    <w:basedOn w:val="Normal"/>
    <w:next w:val="Normal"/>
    <w:autoRedefine/>
    <w:uiPriority w:val="99"/>
    <w:rsid w:val="00DD23AB"/>
    <w:pPr>
      <w:ind w:left="1200" w:hanging="240"/>
    </w:pPr>
    <w:rPr>
      <w:rFonts w:ascii="Times New Roman" w:hAnsi="Times New Roman"/>
      <w:noProof/>
      <w:sz w:val="20"/>
      <w:szCs w:val="20"/>
      <w:lang w:val="hy-AM"/>
    </w:rPr>
  </w:style>
  <w:style w:type="paragraph" w:styleId="Index6">
    <w:name w:val="index 6"/>
    <w:basedOn w:val="Normal"/>
    <w:next w:val="Normal"/>
    <w:autoRedefine/>
    <w:uiPriority w:val="99"/>
    <w:rsid w:val="00DD23AB"/>
    <w:pPr>
      <w:ind w:left="1440" w:hanging="240"/>
    </w:pPr>
    <w:rPr>
      <w:rFonts w:ascii="Times New Roman" w:hAnsi="Times New Roman"/>
      <w:noProof/>
      <w:sz w:val="20"/>
      <w:szCs w:val="20"/>
      <w:lang w:val="hy-AM"/>
    </w:rPr>
  </w:style>
  <w:style w:type="paragraph" w:styleId="Index7">
    <w:name w:val="index 7"/>
    <w:basedOn w:val="Normal"/>
    <w:next w:val="Normal"/>
    <w:autoRedefine/>
    <w:uiPriority w:val="99"/>
    <w:rsid w:val="00DD23AB"/>
    <w:pPr>
      <w:ind w:left="1680" w:hanging="240"/>
    </w:pPr>
    <w:rPr>
      <w:rFonts w:ascii="Times New Roman" w:hAnsi="Times New Roman"/>
      <w:noProof/>
      <w:sz w:val="20"/>
      <w:szCs w:val="20"/>
      <w:lang w:val="hy-AM"/>
    </w:rPr>
  </w:style>
  <w:style w:type="paragraph" w:styleId="Index8">
    <w:name w:val="index 8"/>
    <w:basedOn w:val="Normal"/>
    <w:next w:val="Normal"/>
    <w:autoRedefine/>
    <w:uiPriority w:val="99"/>
    <w:rsid w:val="00DD23AB"/>
    <w:pPr>
      <w:ind w:left="1920" w:hanging="240"/>
    </w:pPr>
    <w:rPr>
      <w:rFonts w:ascii="Times New Roman" w:hAnsi="Times New Roman"/>
      <w:noProof/>
      <w:sz w:val="20"/>
      <w:szCs w:val="20"/>
      <w:lang w:val="hy-AM"/>
    </w:rPr>
  </w:style>
  <w:style w:type="paragraph" w:styleId="Index9">
    <w:name w:val="index 9"/>
    <w:basedOn w:val="Normal"/>
    <w:next w:val="Normal"/>
    <w:autoRedefine/>
    <w:uiPriority w:val="99"/>
    <w:rsid w:val="00DD23AB"/>
    <w:pPr>
      <w:ind w:left="2160" w:hanging="240"/>
    </w:pPr>
    <w:rPr>
      <w:rFonts w:ascii="Times New Roman" w:hAnsi="Times New Roman"/>
      <w:noProof/>
      <w:sz w:val="20"/>
      <w:szCs w:val="20"/>
      <w:lang w:val="hy-AM"/>
    </w:rPr>
  </w:style>
  <w:style w:type="paragraph" w:styleId="IndexHeading">
    <w:name w:val="index heading"/>
    <w:basedOn w:val="Normal"/>
    <w:next w:val="Index1"/>
    <w:uiPriority w:val="99"/>
    <w:rsid w:val="00DD23AB"/>
    <w:pPr>
      <w:spacing w:before="120" w:after="120"/>
    </w:pPr>
    <w:rPr>
      <w:rFonts w:ascii="Times New Roman" w:hAnsi="Times New Roman"/>
      <w:b/>
      <w:bCs/>
      <w:i/>
      <w:iCs/>
      <w:noProof/>
      <w:sz w:val="20"/>
      <w:szCs w:val="20"/>
      <w:lang w:val="hy-AM"/>
    </w:rPr>
  </w:style>
  <w:style w:type="paragraph" w:styleId="IntenseQuote">
    <w:name w:val="Intense Quote"/>
    <w:basedOn w:val="Normal"/>
    <w:next w:val="Normal"/>
    <w:link w:val="IntenseQuoteChar"/>
    <w:uiPriority w:val="99"/>
    <w:qFormat/>
    <w:rsid w:val="00DD23AB"/>
    <w:pPr>
      <w:pBdr>
        <w:bottom w:val="single" w:sz="12" w:space="4" w:color="244061"/>
      </w:pBdr>
      <w:spacing w:before="200" w:after="280" w:line="276" w:lineRule="auto"/>
      <w:ind w:left="936" w:right="936"/>
    </w:pPr>
    <w:rPr>
      <w:rFonts w:ascii="Calibri" w:hAnsi="Calibri"/>
      <w:b/>
      <w:bCs/>
      <w:i/>
      <w:iCs/>
      <w:color w:val="244061"/>
      <w:sz w:val="22"/>
      <w:szCs w:val="22"/>
    </w:rPr>
  </w:style>
  <w:style w:type="character" w:customStyle="1" w:styleId="IntenseQuoteChar">
    <w:name w:val="Intense Quote Char"/>
    <w:link w:val="IntenseQuote"/>
    <w:uiPriority w:val="99"/>
    <w:rsid w:val="00DD23AB"/>
    <w:rPr>
      <w:rFonts w:ascii="Calibri" w:hAnsi="Calibri"/>
      <w:b/>
      <w:bCs/>
      <w:i/>
      <w:iCs/>
      <w:color w:val="244061"/>
      <w:sz w:val="22"/>
      <w:szCs w:val="22"/>
    </w:rPr>
  </w:style>
  <w:style w:type="character" w:customStyle="1" w:styleId="st">
    <w:name w:val="st"/>
    <w:uiPriority w:val="99"/>
    <w:rsid w:val="00DD23AB"/>
    <w:rPr>
      <w:rFonts w:cs="Times New Roman"/>
    </w:rPr>
  </w:style>
  <w:style w:type="table" w:customStyle="1" w:styleId="MediumShading1-Accent11">
    <w:name w:val="Medium Shading 1 - Accent 11"/>
    <w:uiPriority w:val="99"/>
    <w:rsid w:val="00DD23AB"/>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PlainTextChar1">
    <w:name w:val="Plain Text Char1"/>
    <w:link w:val="PlainText"/>
    <w:uiPriority w:val="99"/>
    <w:locked/>
    <w:rsid w:val="00DD23AB"/>
    <w:rPr>
      <w:rFonts w:ascii="Courier New" w:hAnsi="Courier New" w:cs="Courier New"/>
    </w:rPr>
  </w:style>
  <w:style w:type="paragraph" w:customStyle="1" w:styleId="yiv5976168221msonormal">
    <w:name w:val="yiv5976168221msonormal"/>
    <w:basedOn w:val="Normal"/>
    <w:uiPriority w:val="99"/>
    <w:qFormat/>
    <w:rsid w:val="00DD23AB"/>
    <w:pPr>
      <w:spacing w:before="100" w:beforeAutospacing="1" w:after="100" w:afterAutospacing="1"/>
    </w:pPr>
    <w:rPr>
      <w:rFonts w:ascii="Times New Roman" w:eastAsia="Calibri" w:hAnsi="Times New Roman"/>
    </w:rPr>
  </w:style>
  <w:style w:type="character" w:customStyle="1" w:styleId="HeaderChar1">
    <w:name w:val="Header Char1"/>
    <w:aliases w:val="Header Char Char Char Char Char Char Char Char Char Char Char,Header Char Char Char Char Char Char Char Char Char Char Char Char Char,h Char,Header Char Char Char Char Char1,Header Char Char Char Char2,Header Char Char Char2,h Char2"/>
    <w:uiPriority w:val="99"/>
    <w:locked/>
    <w:rsid w:val="00DD23AB"/>
    <w:rPr>
      <w:rFonts w:ascii="Times New Roman" w:eastAsia="Times New Roman" w:hAnsi="Times New Roman" w:cs="Times New Roman"/>
      <w:noProof/>
      <w:sz w:val="24"/>
      <w:szCs w:val="24"/>
      <w:lang w:val="hy-AM"/>
    </w:rPr>
  </w:style>
  <w:style w:type="character" w:customStyle="1" w:styleId="BodyTextChar1">
    <w:name w:val="Body Text Char1"/>
    <w:uiPriority w:val="99"/>
    <w:locked/>
    <w:rsid w:val="00DD23AB"/>
    <w:rPr>
      <w:rFonts w:ascii="Arial Armenian" w:hAnsi="Arial Armenian" w:cs="Times New Roman"/>
      <w:sz w:val="20"/>
      <w:szCs w:val="20"/>
    </w:rPr>
  </w:style>
  <w:style w:type="numbering" w:customStyle="1" w:styleId="Style1">
    <w:name w:val="Style1"/>
    <w:rsid w:val="00DD23AB"/>
    <w:pPr>
      <w:numPr>
        <w:numId w:val="4"/>
      </w:numPr>
    </w:pPr>
  </w:style>
  <w:style w:type="paragraph" w:customStyle="1" w:styleId="22">
    <w:name w:val="???????? ????? ? ???????? 2"/>
    <w:basedOn w:val="a0"/>
    <w:uiPriority w:val="99"/>
    <w:qFormat/>
    <w:rsid w:val="00DD23AB"/>
    <w:pPr>
      <w:ind w:right="-141" w:firstLine="567"/>
      <w:jc w:val="both"/>
    </w:pPr>
    <w:rPr>
      <w:rFonts w:ascii="Times Armenian" w:hAnsi="Times Armenian"/>
      <w:lang w:val="ru-RU"/>
    </w:rPr>
  </w:style>
  <w:style w:type="paragraph" w:customStyle="1" w:styleId="BankNormal">
    <w:name w:val="BankNormal"/>
    <w:basedOn w:val="Normal"/>
    <w:uiPriority w:val="99"/>
    <w:qFormat/>
    <w:rsid w:val="00DD23AB"/>
    <w:pPr>
      <w:spacing w:after="240"/>
    </w:pPr>
    <w:rPr>
      <w:rFonts w:ascii="Times New Roman" w:hAnsi="Times New Roman"/>
      <w:szCs w:val="20"/>
    </w:rPr>
  </w:style>
  <w:style w:type="paragraph" w:customStyle="1" w:styleId="Einrckung1">
    <w:name w:val="Einrückung 1"/>
    <w:basedOn w:val="Normal"/>
    <w:uiPriority w:val="99"/>
    <w:qFormat/>
    <w:rsid w:val="00DD23AB"/>
    <w:pPr>
      <w:spacing w:line="360" w:lineRule="atLeast"/>
      <w:ind w:left="851" w:hanging="851"/>
    </w:pPr>
    <w:rPr>
      <w:rFonts w:ascii="Arial" w:eastAsia="SimSun" w:hAnsi="Arial"/>
      <w:szCs w:val="20"/>
      <w:lang w:val="de-DE" w:eastAsia="de-DE"/>
    </w:rPr>
  </w:style>
  <w:style w:type="character" w:customStyle="1" w:styleId="CharChar18">
    <w:name w:val="Char Char18"/>
    <w:uiPriority w:val="99"/>
    <w:rsid w:val="00DD23AB"/>
    <w:rPr>
      <w:rFonts w:ascii="Times Armenian" w:eastAsia="Times New Roman" w:hAnsi="Times Armenian" w:cs="Times New Roman"/>
      <w:b/>
      <w:i/>
      <w:noProof/>
      <w:sz w:val="28"/>
      <w:szCs w:val="20"/>
      <w:lang w:val="hy-AM"/>
    </w:rPr>
  </w:style>
  <w:style w:type="character" w:customStyle="1" w:styleId="Heading2Char1">
    <w:name w:val="Heading 2 Char1"/>
    <w:aliases w:val="Paranum Char1"/>
    <w:semiHidden/>
    <w:rsid w:val="00DD23AB"/>
    <w:rPr>
      <w:rFonts w:ascii="Cambria" w:eastAsia="Times New Roman" w:hAnsi="Cambria" w:cs="Times New Roman"/>
      <w:b/>
      <w:bCs/>
      <w:noProof/>
      <w:color w:val="4F81BD"/>
      <w:sz w:val="26"/>
      <w:szCs w:val="26"/>
      <w:lang w:val="hy-AM"/>
    </w:rPr>
  </w:style>
  <w:style w:type="character" w:customStyle="1" w:styleId="Heading4Char1">
    <w:name w:val="Heading 4 Char1"/>
    <w:aliases w:val="Centred Char,Centred Char2,Абзац списка2 Char,List Paragraph5 Char,PDP DOCUMENT SUBTITLE Char,Table no. List Paragraph Char,Абзац списка3 Char,Bullet Points Char,List Paragraph111 Char,Bullet paras Char,OBC Bullet Char,Titulo 2 Char1"/>
    <w:uiPriority w:val="99"/>
    <w:rsid w:val="00DD23AB"/>
    <w:rPr>
      <w:rFonts w:ascii="Cambria" w:eastAsia="Times New Roman" w:hAnsi="Cambria" w:cs="Times New Roman"/>
      <w:b/>
      <w:bCs/>
      <w:i/>
      <w:iCs/>
      <w:noProof/>
      <w:color w:val="4F81BD"/>
      <w:sz w:val="24"/>
      <w:szCs w:val="24"/>
      <w:lang w:val="hy-AM"/>
    </w:rPr>
  </w:style>
  <w:style w:type="character" w:customStyle="1" w:styleId="Heading5Char1">
    <w:name w:val="Heading 5 Char1"/>
    <w:aliases w:val="Side Char,Side Char2,Side Char21"/>
    <w:uiPriority w:val="99"/>
    <w:semiHidden/>
    <w:rsid w:val="00DD23AB"/>
    <w:rPr>
      <w:rFonts w:ascii="Cambria" w:eastAsia="Times New Roman" w:hAnsi="Cambria" w:cs="Times New Roman"/>
      <w:noProof/>
      <w:color w:val="243F60"/>
      <w:sz w:val="24"/>
      <w:szCs w:val="24"/>
      <w:lang w:val="hy-AM"/>
    </w:rPr>
  </w:style>
  <w:style w:type="character" w:customStyle="1" w:styleId="CharChar13">
    <w:name w:val="Char Char13"/>
    <w:uiPriority w:val="99"/>
    <w:semiHidden/>
    <w:rsid w:val="00DD23AB"/>
    <w:rPr>
      <w:rFonts w:ascii="Times New Roman" w:eastAsia="Times New Roman" w:hAnsi="Times New Roman" w:cs="Times New Roman"/>
      <w:noProof/>
      <w:sz w:val="20"/>
      <w:szCs w:val="20"/>
      <w:lang w:val="hy-AM"/>
    </w:rPr>
  </w:style>
  <w:style w:type="character" w:customStyle="1" w:styleId="TitleChar1">
    <w:name w:val="Title Char1"/>
    <w:link w:val="Title"/>
    <w:uiPriority w:val="99"/>
    <w:rsid w:val="00DD23AB"/>
    <w:rPr>
      <w:rFonts w:ascii="Arial Armenian" w:hAnsi="Arial Armenian"/>
      <w:b/>
      <w:noProof/>
      <w:sz w:val="28"/>
      <w:lang w:val="hy-AM"/>
    </w:rPr>
  </w:style>
  <w:style w:type="character" w:customStyle="1" w:styleId="BodyTextIndentChar1">
    <w:name w:val="Body Text Indent Char1"/>
    <w:aliases w:val="(Table Source) Char1,(Table Source) Char Char,Body Text Indent Char2 Char,(Table Source) Char2 Char,(Table Source) Char Char1 Char,(Table Source) Char Char2,Body Text Indent Char2 Char1,(Table Source) Char2 Char1"/>
    <w:rsid w:val="00DD23AB"/>
    <w:rPr>
      <w:rFonts w:ascii="Times New Roman" w:eastAsia="Times New Roman" w:hAnsi="Times New Roman" w:cs="Times New Roman"/>
      <w:noProof/>
      <w:sz w:val="24"/>
      <w:szCs w:val="24"/>
      <w:lang w:val="hy-AM"/>
    </w:rPr>
  </w:style>
  <w:style w:type="paragraph" w:customStyle="1" w:styleId="CharCharCharCharChar4">
    <w:name w:val="Char Char Char Char Char4"/>
    <w:basedOn w:val="Normal"/>
    <w:uiPriority w:val="99"/>
    <w:qFormat/>
    <w:rsid w:val="00DD23AB"/>
    <w:pPr>
      <w:spacing w:after="160" w:line="240" w:lineRule="exact"/>
    </w:pPr>
    <w:rPr>
      <w:rFonts w:ascii="Arial" w:hAnsi="Arial" w:cs="Arial"/>
      <w:sz w:val="20"/>
      <w:szCs w:val="20"/>
    </w:rPr>
  </w:style>
  <w:style w:type="paragraph" w:customStyle="1" w:styleId="ZchnZchn14">
    <w:name w:val="Zchn Zchn14"/>
    <w:basedOn w:val="Normal"/>
    <w:uiPriority w:val="99"/>
    <w:qFormat/>
    <w:rsid w:val="00DD23AB"/>
    <w:pPr>
      <w:spacing w:after="160" w:line="240" w:lineRule="exact"/>
    </w:pPr>
    <w:rPr>
      <w:rFonts w:ascii="Verdana" w:hAnsi="Verdana"/>
      <w:sz w:val="20"/>
      <w:szCs w:val="20"/>
      <w:lang w:val="en-GB"/>
    </w:rPr>
  </w:style>
  <w:style w:type="paragraph" w:customStyle="1" w:styleId="Char14">
    <w:name w:val="Char14"/>
    <w:basedOn w:val="Normal"/>
    <w:next w:val="Normal"/>
    <w:uiPriority w:val="99"/>
    <w:qFormat/>
    <w:rsid w:val="00DD23AB"/>
    <w:pPr>
      <w:spacing w:after="160" w:line="240" w:lineRule="exact"/>
    </w:pPr>
    <w:rPr>
      <w:rFonts w:ascii="Tahoma" w:hAnsi="Tahoma"/>
      <w:szCs w:val="20"/>
    </w:rPr>
  </w:style>
  <w:style w:type="paragraph" w:customStyle="1" w:styleId="Char3CharCharChar4">
    <w:name w:val="Char3 Char Char Char4"/>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4">
    <w:name w:val="Char Char1 Char Char Char1 Char4"/>
    <w:basedOn w:val="Normal"/>
    <w:autoRedefine/>
    <w:uiPriority w:val="99"/>
    <w:qFormat/>
    <w:rsid w:val="00DD23AB"/>
    <w:rPr>
      <w:rFonts w:ascii="Times New Roman" w:eastAsia="SimSun" w:hAnsi="Times New Roman"/>
      <w:sz w:val="20"/>
      <w:szCs w:val="20"/>
      <w:lang w:eastAsia="ru-RU"/>
    </w:rPr>
  </w:style>
  <w:style w:type="paragraph" w:customStyle="1" w:styleId="CharCharChar4">
    <w:name w:val="Char Char Char Знак4"/>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4">
    <w:name w:val="Char Char Char1 Char Char Char Char Char Char Char Char Char1 Char4"/>
    <w:basedOn w:val="Normal"/>
    <w:uiPriority w:val="99"/>
    <w:qFormat/>
    <w:rsid w:val="00DD23AB"/>
    <w:pPr>
      <w:spacing w:after="160" w:line="240" w:lineRule="exact"/>
    </w:pPr>
    <w:rPr>
      <w:rFonts w:ascii="Arial" w:hAnsi="Arial" w:cs="Arial"/>
      <w:sz w:val="20"/>
      <w:szCs w:val="20"/>
    </w:rPr>
  </w:style>
  <w:style w:type="paragraph" w:customStyle="1" w:styleId="14">
    <w:name w:val="Знак Знак14"/>
    <w:basedOn w:val="Normal"/>
    <w:uiPriority w:val="99"/>
    <w:qFormat/>
    <w:rsid w:val="00DD23AB"/>
    <w:pPr>
      <w:spacing w:after="160" w:line="240" w:lineRule="exact"/>
    </w:pPr>
    <w:rPr>
      <w:rFonts w:ascii="Arial" w:hAnsi="Arial" w:cs="Arial"/>
      <w:sz w:val="20"/>
      <w:szCs w:val="20"/>
    </w:rPr>
  </w:style>
  <w:style w:type="paragraph" w:customStyle="1" w:styleId="BodyText13">
    <w:name w:val="Body Text13"/>
    <w:basedOn w:val="Default"/>
    <w:next w:val="Default"/>
    <w:uiPriority w:val="99"/>
    <w:qFormat/>
    <w:rsid w:val="00DD23AB"/>
    <w:rPr>
      <w:rFonts w:ascii="Sylfaen" w:hAnsi="Sylfaen"/>
      <w:color w:val="auto"/>
    </w:rPr>
  </w:style>
  <w:style w:type="paragraph" w:customStyle="1" w:styleId="24">
    <w:name w:val="Знак Знак24"/>
    <w:basedOn w:val="Normal"/>
    <w:uiPriority w:val="99"/>
    <w:qFormat/>
    <w:rsid w:val="00DD23AB"/>
    <w:pPr>
      <w:spacing w:after="160" w:line="240" w:lineRule="exact"/>
    </w:pPr>
    <w:rPr>
      <w:rFonts w:ascii="Arial" w:hAnsi="Arial" w:cs="Arial"/>
      <w:sz w:val="20"/>
      <w:szCs w:val="20"/>
    </w:rPr>
  </w:style>
  <w:style w:type="paragraph" w:customStyle="1" w:styleId="CharCharChar40">
    <w:name w:val="Char Char Char Знак Знак4"/>
    <w:basedOn w:val="Normal"/>
    <w:uiPriority w:val="99"/>
    <w:qFormat/>
    <w:rsid w:val="00DD23AB"/>
    <w:pPr>
      <w:spacing w:after="160" w:line="240" w:lineRule="exact"/>
    </w:pPr>
    <w:rPr>
      <w:rFonts w:ascii="Arial" w:hAnsi="Arial" w:cs="Arial"/>
      <w:sz w:val="20"/>
      <w:szCs w:val="20"/>
    </w:rPr>
  </w:style>
  <w:style w:type="paragraph" w:customStyle="1" w:styleId="CharCharCharCharChar40">
    <w:name w:val="Char Char Char Char Char Знак Знак4"/>
    <w:basedOn w:val="Normal"/>
    <w:uiPriority w:val="99"/>
    <w:qFormat/>
    <w:rsid w:val="00DD23AB"/>
    <w:pPr>
      <w:spacing w:after="160" w:line="240" w:lineRule="exact"/>
    </w:pPr>
    <w:rPr>
      <w:rFonts w:ascii="Arial" w:hAnsi="Arial" w:cs="Arial"/>
      <w:sz w:val="20"/>
      <w:szCs w:val="20"/>
    </w:rPr>
  </w:style>
  <w:style w:type="character" w:customStyle="1" w:styleId="CharChar12">
    <w:name w:val="Char Char12"/>
    <w:uiPriority w:val="99"/>
    <w:semiHidden/>
    <w:locked/>
    <w:rsid w:val="00DD23AB"/>
    <w:rPr>
      <w:rFonts w:ascii="Times New Roman" w:eastAsia="Times New Roman" w:hAnsi="Times New Roman" w:cs="Times New Roman"/>
      <w:noProof/>
      <w:sz w:val="24"/>
      <w:szCs w:val="24"/>
      <w:lang w:val="hy-AM"/>
    </w:rPr>
  </w:style>
  <w:style w:type="character" w:customStyle="1" w:styleId="Char2">
    <w:name w:val="Char2"/>
    <w:uiPriority w:val="99"/>
    <w:rsid w:val="00DD23AB"/>
    <w:rPr>
      <w:rFonts w:ascii="Times Armenian" w:hAnsi="Times Armenian" w:hint="default"/>
      <w:sz w:val="22"/>
      <w:lang w:val="en-GB" w:eastAsia="en-US" w:bidi="ar-SA"/>
    </w:rPr>
  </w:style>
  <w:style w:type="character" w:customStyle="1" w:styleId="CharChar64">
    <w:name w:val="Char Char64"/>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4">
    <w:name w:val="Char Char54"/>
    <w:uiPriority w:val="99"/>
    <w:rsid w:val="00DD23AB"/>
    <w:rPr>
      <w:rFonts w:ascii="Times Armenian" w:hAnsi="Times Armenian" w:hint="default"/>
      <w:noProof/>
      <w:sz w:val="24"/>
      <w:szCs w:val="24"/>
      <w:lang w:val="hy-AM" w:eastAsia="en-US" w:bidi="ar-SA"/>
    </w:rPr>
  </w:style>
  <w:style w:type="character" w:customStyle="1" w:styleId="CharChar44">
    <w:name w:val="Char Char44"/>
    <w:uiPriority w:val="99"/>
    <w:rsid w:val="00DD23AB"/>
    <w:rPr>
      <w:noProof/>
      <w:lang w:val="hy-AM" w:eastAsia="en-US" w:bidi="ar-SA"/>
    </w:rPr>
  </w:style>
  <w:style w:type="character" w:customStyle="1" w:styleId="DefaultChar">
    <w:name w:val="Default Char"/>
    <w:link w:val="Default"/>
    <w:uiPriority w:val="99"/>
    <w:rsid w:val="00DD23AB"/>
    <w:rPr>
      <w:rFonts w:ascii="Warnock Pro" w:hAnsi="Warnock Pro"/>
      <w:color w:val="000000"/>
      <w:sz w:val="24"/>
      <w:szCs w:val="24"/>
      <w:lang w:bidi="ar-SA"/>
    </w:rPr>
  </w:style>
  <w:style w:type="character" w:customStyle="1" w:styleId="SubtitleChar1">
    <w:name w:val="Subtitle Char1"/>
    <w:link w:val="Subtitle"/>
    <w:uiPriority w:val="99"/>
    <w:locked/>
    <w:rsid w:val="00DD23AB"/>
    <w:rPr>
      <w:rFonts w:ascii="Times LatArm" w:hAnsi="Times LatArm"/>
      <w:b/>
      <w:bCs/>
      <w:sz w:val="24"/>
      <w:szCs w:val="24"/>
    </w:rPr>
  </w:style>
  <w:style w:type="paragraph" w:styleId="Revision">
    <w:name w:val="Revision"/>
    <w:hidden/>
    <w:uiPriority w:val="99"/>
    <w:semiHidden/>
    <w:rsid w:val="00DD23AB"/>
    <w:rPr>
      <w:noProof/>
      <w:sz w:val="24"/>
      <w:szCs w:val="24"/>
      <w:lang w:val="hy-AM"/>
    </w:rPr>
  </w:style>
  <w:style w:type="paragraph" w:customStyle="1" w:styleId="CharCharCharChar4">
    <w:name w:val="Char Char Char Char4"/>
    <w:basedOn w:val="Normal"/>
    <w:uiPriority w:val="99"/>
    <w:qFormat/>
    <w:rsid w:val="00DD23AB"/>
    <w:pPr>
      <w:spacing w:after="160" w:line="240" w:lineRule="exact"/>
    </w:pPr>
    <w:rPr>
      <w:rFonts w:ascii="Arial" w:hAnsi="Arial" w:cs="Arial"/>
      <w:sz w:val="20"/>
      <w:szCs w:val="20"/>
    </w:rPr>
  </w:style>
  <w:style w:type="paragraph" w:customStyle="1" w:styleId="HD1">
    <w:name w:val="HD1"/>
    <w:basedOn w:val="Normal"/>
    <w:uiPriority w:val="99"/>
    <w:qFormat/>
    <w:rsid w:val="00DD23AB"/>
    <w:rPr>
      <w:rFonts w:ascii="Trebuchet MS" w:eastAsia="MS Mincho" w:hAnsi="Trebuchet MS"/>
      <w:b/>
      <w:color w:val="003776"/>
    </w:rPr>
  </w:style>
  <w:style w:type="paragraph" w:customStyle="1" w:styleId="rmcvptur">
    <w:name w:val="rmcvptur"/>
    <w:basedOn w:val="Normal"/>
    <w:uiPriority w:val="99"/>
    <w:qFormat/>
    <w:rsid w:val="00DD23AB"/>
    <w:pPr>
      <w:spacing w:before="100" w:beforeAutospacing="1" w:after="100" w:afterAutospacing="1"/>
    </w:pPr>
    <w:rPr>
      <w:rFonts w:ascii="Times New Roman" w:eastAsia="MS Mincho" w:hAnsi="Times New Roman"/>
    </w:rPr>
  </w:style>
  <w:style w:type="paragraph" w:customStyle="1" w:styleId="rmctulpr">
    <w:name w:val="rmctulpr"/>
    <w:basedOn w:val="Normal"/>
    <w:uiPriority w:val="99"/>
    <w:qFormat/>
    <w:rsid w:val="00DD23AB"/>
    <w:pPr>
      <w:spacing w:before="100" w:beforeAutospacing="1" w:after="100" w:afterAutospacing="1"/>
    </w:pPr>
    <w:rPr>
      <w:rFonts w:ascii="Times New Roman" w:eastAsia="MS Mincho" w:hAnsi="Times New Roman"/>
    </w:rPr>
  </w:style>
  <w:style w:type="character" w:customStyle="1" w:styleId="CharChar23">
    <w:name w:val="Char Char23"/>
    <w:uiPriority w:val="99"/>
    <w:rsid w:val="00DD23AB"/>
    <w:rPr>
      <w:rFonts w:ascii="Times Armenian" w:eastAsia="Times New Roman" w:hAnsi="Times Armenian" w:cs="Times New Roman"/>
      <w:noProof/>
      <w:sz w:val="24"/>
      <w:szCs w:val="24"/>
      <w:u w:val="single"/>
      <w:lang w:val="hy-AM"/>
    </w:rPr>
  </w:style>
  <w:style w:type="character" w:customStyle="1" w:styleId="CharChar24">
    <w:name w:val="Char Char24"/>
    <w:uiPriority w:val="99"/>
    <w:locked/>
    <w:rsid w:val="00DD23AB"/>
    <w:rPr>
      <w:rFonts w:ascii="Times Armenian" w:eastAsia="Times New Roman" w:hAnsi="Times Armenian" w:cs="Times New Roman"/>
      <w:b/>
      <w:i/>
      <w:noProof/>
      <w:sz w:val="28"/>
      <w:szCs w:val="20"/>
      <w:lang w:val="hy-AM"/>
    </w:rPr>
  </w:style>
  <w:style w:type="paragraph" w:customStyle="1" w:styleId="CharChar2">
    <w:name w:val="Char Char2 Знак Знак"/>
    <w:basedOn w:val="Normal"/>
    <w:uiPriority w:val="99"/>
    <w:qFormat/>
    <w:rsid w:val="00DD23AB"/>
    <w:pPr>
      <w:tabs>
        <w:tab w:val="left" w:pos="709"/>
      </w:tabs>
    </w:pPr>
    <w:rPr>
      <w:rFonts w:ascii="Tahoma" w:hAnsi="Tahoma"/>
      <w:lang w:val="pl-PL" w:eastAsia="pl-PL"/>
    </w:rPr>
  </w:style>
  <w:style w:type="paragraph" w:customStyle="1" w:styleId="ColorfulList-Accent11">
    <w:name w:val="Colorful List - Accent 11"/>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HTMLPreformatted">
    <w:name w:val="HTML Preformatted"/>
    <w:basedOn w:val="Normal"/>
    <w:link w:val="HTMLPreformattedChar"/>
    <w:uiPriority w:val="99"/>
    <w:unhideWhenUsed/>
    <w:rsid w:val="00DD2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hy-AM"/>
    </w:rPr>
  </w:style>
  <w:style w:type="character" w:customStyle="1" w:styleId="HTMLPreformattedChar">
    <w:name w:val="HTML Preformatted Char"/>
    <w:link w:val="HTMLPreformatted"/>
    <w:uiPriority w:val="99"/>
    <w:rsid w:val="00DD23AB"/>
    <w:rPr>
      <w:rFonts w:ascii="Courier New" w:hAnsi="Courier New"/>
      <w:lang w:val="hy-AM"/>
    </w:rPr>
  </w:style>
  <w:style w:type="character" w:customStyle="1" w:styleId="a4">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к"/>
    <w:uiPriority w:val="99"/>
    <w:locked/>
    <w:rsid w:val="00DD23AB"/>
    <w:rPr>
      <w:rFonts w:eastAsia="Calibri"/>
      <w:sz w:val="24"/>
      <w:szCs w:val="24"/>
      <w:lang w:val="ru-RU" w:eastAsia="ru-RU"/>
    </w:rPr>
  </w:style>
  <w:style w:type="paragraph" w:customStyle="1" w:styleId="ListParagraph3">
    <w:name w:val="List Paragraph3"/>
    <w:aliases w:val="List Paragraph-ExecSummary"/>
    <w:basedOn w:val="Normal"/>
    <w:uiPriority w:val="99"/>
    <w:qFormat/>
    <w:rsid w:val="00DD23AB"/>
    <w:pPr>
      <w:ind w:left="720"/>
      <w:contextualSpacing/>
    </w:pPr>
    <w:rPr>
      <w:rFonts w:ascii="Times New Roman" w:hAnsi="Times New Roman"/>
      <w:sz w:val="20"/>
      <w:szCs w:val="20"/>
    </w:rPr>
  </w:style>
  <w:style w:type="paragraph" w:customStyle="1" w:styleId="CharCharCharCharCharCharCharCharCharCharCharCharCharCharChar1">
    <w:name w:val="Char Char Char Char Знак Char Знак Char Char Char Char Char Char Char Char Char Char1"/>
    <w:basedOn w:val="Normal"/>
    <w:uiPriority w:val="99"/>
    <w:qFormat/>
    <w:rsid w:val="00DD23AB"/>
    <w:pPr>
      <w:tabs>
        <w:tab w:val="left" w:pos="709"/>
      </w:tabs>
    </w:pPr>
    <w:rPr>
      <w:rFonts w:ascii="Tahoma" w:hAnsi="Tahoma"/>
      <w:lang w:val="pl-PL" w:eastAsia="pl-PL"/>
    </w:rPr>
  </w:style>
  <w:style w:type="paragraph" w:customStyle="1" w:styleId="ListParagraph11">
    <w:name w:val="List Paragraph11"/>
    <w:basedOn w:val="Normal"/>
    <w:uiPriority w:val="99"/>
    <w:qFormat/>
    <w:rsid w:val="00DD23AB"/>
    <w:pPr>
      <w:ind w:left="720"/>
      <w:contextualSpacing/>
    </w:pPr>
    <w:rPr>
      <w:rFonts w:ascii="Times New Roman" w:hAnsi="Times New Roman"/>
      <w:sz w:val="20"/>
      <w:szCs w:val="20"/>
      <w:lang w:val="en-AU" w:eastAsia="ru-RU"/>
    </w:rPr>
  </w:style>
  <w:style w:type="paragraph" w:customStyle="1" w:styleId="31">
    <w:name w:val="Знак Знак3"/>
    <w:basedOn w:val="Normal"/>
    <w:autoRedefine/>
    <w:uiPriority w:val="99"/>
    <w:qFormat/>
    <w:rsid w:val="00DD23AB"/>
    <w:rPr>
      <w:rFonts w:ascii="Times New Roman" w:eastAsia="SimSun" w:hAnsi="Times New Roman"/>
      <w:sz w:val="20"/>
      <w:szCs w:val="20"/>
      <w:lang w:eastAsia="ru-RU"/>
    </w:rPr>
  </w:style>
  <w:style w:type="paragraph" w:customStyle="1" w:styleId="Znak1">
    <w:name w:val="Znak1"/>
    <w:basedOn w:val="Normal"/>
    <w:uiPriority w:val="99"/>
    <w:qFormat/>
    <w:rsid w:val="00DD23AB"/>
    <w:pPr>
      <w:tabs>
        <w:tab w:val="left" w:pos="709"/>
      </w:tabs>
    </w:pPr>
    <w:rPr>
      <w:rFonts w:ascii="Tahoma" w:hAnsi="Tahoma"/>
      <w:lang w:val="pl-PL" w:eastAsia="pl-PL"/>
    </w:rPr>
  </w:style>
  <w:style w:type="paragraph" w:customStyle="1" w:styleId="Char3">
    <w:name w:val="Char3"/>
    <w:basedOn w:val="Normal"/>
    <w:uiPriority w:val="99"/>
    <w:qFormat/>
    <w:locked/>
    <w:rsid w:val="00DD23AB"/>
    <w:pPr>
      <w:spacing w:after="160"/>
    </w:pPr>
    <w:rPr>
      <w:rFonts w:ascii="Verdana" w:eastAsia="Batang" w:hAnsi="Verdana" w:cs="Verdana"/>
    </w:rPr>
  </w:style>
  <w:style w:type="character" w:customStyle="1" w:styleId="CharChar183">
    <w:name w:val="Char Char183"/>
    <w:uiPriority w:val="99"/>
    <w:rsid w:val="00DD23AB"/>
    <w:rPr>
      <w:rFonts w:ascii="Times Armenian" w:eastAsia="Times New Roman" w:hAnsi="Times Armenian" w:cs="Times New Roman"/>
      <w:b/>
      <w:i/>
      <w:noProof/>
      <w:sz w:val="28"/>
      <w:szCs w:val="20"/>
      <w:lang w:val="hy-AM"/>
    </w:rPr>
  </w:style>
  <w:style w:type="character" w:customStyle="1" w:styleId="CharChar133">
    <w:name w:val="Char Char133"/>
    <w:uiPriority w:val="99"/>
    <w:semiHidden/>
    <w:rsid w:val="00DD23AB"/>
    <w:rPr>
      <w:rFonts w:ascii="Times New Roman" w:eastAsia="Times New Roman" w:hAnsi="Times New Roman" w:cs="Times New Roman"/>
      <w:noProof/>
      <w:sz w:val="20"/>
      <w:szCs w:val="20"/>
      <w:lang w:val="hy-AM"/>
    </w:rPr>
  </w:style>
  <w:style w:type="paragraph" w:customStyle="1" w:styleId="CharCharCharCharChar1">
    <w:name w:val="Char Char Char Char Char1"/>
    <w:basedOn w:val="Normal"/>
    <w:uiPriority w:val="99"/>
    <w:qFormat/>
    <w:rsid w:val="00DD23AB"/>
    <w:pPr>
      <w:spacing w:after="160" w:line="240" w:lineRule="exact"/>
    </w:pPr>
    <w:rPr>
      <w:rFonts w:ascii="Arial" w:hAnsi="Arial" w:cs="Arial"/>
      <w:sz w:val="20"/>
      <w:szCs w:val="20"/>
    </w:rPr>
  </w:style>
  <w:style w:type="paragraph" w:customStyle="1" w:styleId="ZchnZchn11">
    <w:name w:val="Zchn Zchn11"/>
    <w:basedOn w:val="Normal"/>
    <w:uiPriority w:val="99"/>
    <w:qFormat/>
    <w:rsid w:val="00DD23AB"/>
    <w:pPr>
      <w:spacing w:after="160" w:line="240" w:lineRule="exact"/>
    </w:pPr>
    <w:rPr>
      <w:rFonts w:ascii="Verdana" w:hAnsi="Verdana"/>
      <w:sz w:val="20"/>
      <w:szCs w:val="20"/>
      <w:lang w:val="en-GB"/>
    </w:rPr>
  </w:style>
  <w:style w:type="paragraph" w:customStyle="1" w:styleId="Char11">
    <w:name w:val="Char11"/>
    <w:basedOn w:val="Normal"/>
    <w:next w:val="Normal"/>
    <w:uiPriority w:val="99"/>
    <w:qFormat/>
    <w:rsid w:val="00DD23AB"/>
    <w:pPr>
      <w:spacing w:after="160" w:line="240" w:lineRule="exact"/>
    </w:pPr>
    <w:rPr>
      <w:rFonts w:ascii="Tahoma" w:hAnsi="Tahoma"/>
      <w:szCs w:val="20"/>
    </w:rPr>
  </w:style>
  <w:style w:type="paragraph" w:customStyle="1" w:styleId="Char3CharCharChar1">
    <w:name w:val="Char3 Char Char Char1"/>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1">
    <w:name w:val="Char Char1 Char Char Char1 Char1"/>
    <w:basedOn w:val="Normal"/>
    <w:autoRedefine/>
    <w:uiPriority w:val="99"/>
    <w:qFormat/>
    <w:rsid w:val="00DD23AB"/>
    <w:rPr>
      <w:rFonts w:ascii="Times New Roman" w:eastAsia="SimSun" w:hAnsi="Times New Roman"/>
      <w:sz w:val="20"/>
      <w:szCs w:val="20"/>
      <w:lang w:eastAsia="ru-RU"/>
    </w:rPr>
  </w:style>
  <w:style w:type="paragraph" w:customStyle="1" w:styleId="CharCharChar1">
    <w:name w:val="Char Char Char Знак1"/>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1">
    <w:name w:val="Char Char Char1 Char Char Char Char Char Char Char Char Char1 Char1"/>
    <w:basedOn w:val="Normal"/>
    <w:uiPriority w:val="99"/>
    <w:qFormat/>
    <w:rsid w:val="00DD23AB"/>
    <w:pPr>
      <w:spacing w:after="160" w:line="240" w:lineRule="exact"/>
    </w:pPr>
    <w:rPr>
      <w:rFonts w:ascii="Arial" w:hAnsi="Arial" w:cs="Arial"/>
      <w:sz w:val="20"/>
      <w:szCs w:val="20"/>
    </w:rPr>
  </w:style>
  <w:style w:type="paragraph" w:customStyle="1" w:styleId="110">
    <w:name w:val="Знак Знак11"/>
    <w:basedOn w:val="Normal"/>
    <w:uiPriority w:val="99"/>
    <w:qFormat/>
    <w:rsid w:val="00DD23AB"/>
    <w:pPr>
      <w:spacing w:after="160" w:line="240" w:lineRule="exact"/>
    </w:pPr>
    <w:rPr>
      <w:rFonts w:ascii="Arial" w:hAnsi="Arial" w:cs="Arial"/>
      <w:sz w:val="20"/>
      <w:szCs w:val="20"/>
    </w:rPr>
  </w:style>
  <w:style w:type="paragraph" w:customStyle="1" w:styleId="BodyText11">
    <w:name w:val="Body Text11"/>
    <w:basedOn w:val="Default"/>
    <w:next w:val="Default"/>
    <w:uiPriority w:val="99"/>
    <w:qFormat/>
    <w:rsid w:val="00DD23AB"/>
    <w:rPr>
      <w:rFonts w:ascii="Sylfaen" w:hAnsi="Sylfaen"/>
      <w:color w:val="auto"/>
    </w:rPr>
  </w:style>
  <w:style w:type="paragraph" w:customStyle="1" w:styleId="210">
    <w:name w:val="Знак Знак21"/>
    <w:basedOn w:val="Normal"/>
    <w:uiPriority w:val="99"/>
    <w:qFormat/>
    <w:rsid w:val="00DD23AB"/>
    <w:pPr>
      <w:spacing w:after="160" w:line="240" w:lineRule="exact"/>
    </w:pPr>
    <w:rPr>
      <w:rFonts w:ascii="Arial" w:hAnsi="Arial" w:cs="Arial"/>
      <w:sz w:val="20"/>
      <w:szCs w:val="20"/>
    </w:rPr>
  </w:style>
  <w:style w:type="paragraph" w:customStyle="1" w:styleId="CharCharChar10">
    <w:name w:val="Char Char Char Знак Знак1"/>
    <w:basedOn w:val="Normal"/>
    <w:uiPriority w:val="99"/>
    <w:qFormat/>
    <w:rsid w:val="00DD23AB"/>
    <w:pPr>
      <w:spacing w:after="160" w:line="240" w:lineRule="exact"/>
    </w:pPr>
    <w:rPr>
      <w:rFonts w:ascii="Arial" w:hAnsi="Arial" w:cs="Arial"/>
      <w:sz w:val="20"/>
      <w:szCs w:val="20"/>
    </w:rPr>
  </w:style>
  <w:style w:type="paragraph" w:customStyle="1" w:styleId="CharCharCharCharChar10">
    <w:name w:val="Char Char Char Char Char Знак Знак1"/>
    <w:basedOn w:val="Normal"/>
    <w:uiPriority w:val="99"/>
    <w:qFormat/>
    <w:rsid w:val="00DD23AB"/>
    <w:pPr>
      <w:spacing w:after="160" w:line="240" w:lineRule="exact"/>
    </w:pPr>
    <w:rPr>
      <w:rFonts w:ascii="Arial" w:hAnsi="Arial" w:cs="Arial"/>
      <w:sz w:val="20"/>
      <w:szCs w:val="20"/>
    </w:rPr>
  </w:style>
  <w:style w:type="character" w:customStyle="1" w:styleId="CharChar123">
    <w:name w:val="Char Char123"/>
    <w:uiPriority w:val="99"/>
    <w:semiHidden/>
    <w:locked/>
    <w:rsid w:val="00DD23AB"/>
    <w:rPr>
      <w:rFonts w:ascii="Times New Roman" w:eastAsia="Times New Roman" w:hAnsi="Times New Roman" w:cs="Times New Roman"/>
      <w:noProof/>
      <w:sz w:val="24"/>
      <w:szCs w:val="24"/>
      <w:lang w:val="hy-AM"/>
    </w:rPr>
  </w:style>
  <w:style w:type="character" w:customStyle="1" w:styleId="CharChar61">
    <w:name w:val="Char Char61"/>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1">
    <w:name w:val="Char Char51"/>
    <w:uiPriority w:val="99"/>
    <w:rsid w:val="00DD23AB"/>
    <w:rPr>
      <w:rFonts w:ascii="Times Armenian" w:hAnsi="Times Armenian" w:hint="default"/>
      <w:noProof/>
      <w:sz w:val="24"/>
      <w:szCs w:val="24"/>
      <w:lang w:val="hy-AM" w:eastAsia="en-US" w:bidi="ar-SA"/>
    </w:rPr>
  </w:style>
  <w:style w:type="character" w:customStyle="1" w:styleId="CharChar41">
    <w:name w:val="Char Char41"/>
    <w:uiPriority w:val="99"/>
    <w:rsid w:val="00DD23AB"/>
    <w:rPr>
      <w:noProof/>
      <w:lang w:val="hy-AM" w:eastAsia="en-US" w:bidi="ar-SA"/>
    </w:rPr>
  </w:style>
  <w:style w:type="paragraph" w:customStyle="1" w:styleId="CharCharCharChar1">
    <w:name w:val="Char Char Char Char1"/>
    <w:basedOn w:val="Normal"/>
    <w:uiPriority w:val="99"/>
    <w:qFormat/>
    <w:rsid w:val="00DD23AB"/>
    <w:pPr>
      <w:spacing w:after="160" w:line="240" w:lineRule="exact"/>
    </w:pPr>
    <w:rPr>
      <w:rFonts w:ascii="Arial" w:hAnsi="Arial" w:cs="Arial"/>
      <w:sz w:val="20"/>
      <w:szCs w:val="20"/>
    </w:rPr>
  </w:style>
  <w:style w:type="character" w:customStyle="1" w:styleId="CharChar233">
    <w:name w:val="Char Char233"/>
    <w:uiPriority w:val="99"/>
    <w:rsid w:val="00DD23AB"/>
    <w:rPr>
      <w:rFonts w:ascii="Times Armenian" w:eastAsia="Times New Roman" w:hAnsi="Times Armenian" w:cs="Times New Roman"/>
      <w:noProof/>
      <w:sz w:val="24"/>
      <w:szCs w:val="24"/>
      <w:u w:val="single"/>
      <w:lang w:val="hy-AM"/>
    </w:rPr>
  </w:style>
  <w:style w:type="character" w:customStyle="1" w:styleId="CharChar243">
    <w:name w:val="Char Char243"/>
    <w:uiPriority w:val="99"/>
    <w:locked/>
    <w:rsid w:val="00DD23AB"/>
    <w:rPr>
      <w:rFonts w:ascii="Times Armenian" w:eastAsia="Times New Roman" w:hAnsi="Times Armenian" w:cs="Times New Roman"/>
      <w:b/>
      <w:i/>
      <w:noProof/>
      <w:sz w:val="28"/>
      <w:szCs w:val="20"/>
      <w:lang w:val="hy-AM"/>
    </w:rPr>
  </w:style>
  <w:style w:type="paragraph" w:customStyle="1" w:styleId="CM4">
    <w:name w:val="CM4"/>
    <w:basedOn w:val="Default"/>
    <w:next w:val="Default"/>
    <w:uiPriority w:val="99"/>
    <w:qFormat/>
    <w:rsid w:val="00DD23AB"/>
    <w:pPr>
      <w:widowControl w:val="0"/>
      <w:spacing w:line="248" w:lineRule="atLeast"/>
    </w:pPr>
    <w:rPr>
      <w:rFonts w:ascii="Arial Armenian" w:hAnsi="Arial Armenian"/>
      <w:color w:val="auto"/>
    </w:rPr>
  </w:style>
  <w:style w:type="character" w:customStyle="1" w:styleId="FontStyle37">
    <w:name w:val="Font Style37"/>
    <w:uiPriority w:val="99"/>
    <w:rsid w:val="00DD23AB"/>
    <w:rPr>
      <w:rFonts w:ascii="Sylfaen" w:hAnsi="Sylfaen" w:cs="Sylfaen"/>
      <w:sz w:val="22"/>
      <w:szCs w:val="22"/>
    </w:rPr>
  </w:style>
  <w:style w:type="character" w:customStyle="1" w:styleId="apple-tab-span">
    <w:name w:val="apple-tab-span"/>
    <w:uiPriority w:val="99"/>
    <w:rsid w:val="00DD23AB"/>
  </w:style>
  <w:style w:type="paragraph" w:customStyle="1" w:styleId="Style10">
    <w:name w:val="Style10"/>
    <w:basedOn w:val="Normal"/>
    <w:uiPriority w:val="99"/>
    <w:qFormat/>
    <w:rsid w:val="00DD23AB"/>
    <w:pPr>
      <w:widowControl w:val="0"/>
      <w:autoSpaceDE w:val="0"/>
      <w:autoSpaceDN w:val="0"/>
      <w:adjustRightInd w:val="0"/>
      <w:spacing w:line="403" w:lineRule="exact"/>
      <w:ind w:firstLine="562"/>
      <w:jc w:val="both"/>
    </w:pPr>
    <w:rPr>
      <w:rFonts w:ascii="Tahoma" w:hAnsi="Tahoma" w:cs="Tahoma"/>
    </w:rPr>
  </w:style>
  <w:style w:type="character" w:customStyle="1" w:styleId="Bodytext20">
    <w:name w:val="Body text (2)_"/>
    <w:link w:val="Bodytext22"/>
    <w:uiPriority w:val="99"/>
    <w:rsid w:val="00DD23AB"/>
    <w:rPr>
      <w:rFonts w:ascii="Sylfaen" w:eastAsia="Sylfaen" w:hAnsi="Sylfaen" w:cs="Sylfaen"/>
      <w:spacing w:val="20"/>
      <w:shd w:val="clear" w:color="auto" w:fill="FFFFFF"/>
    </w:rPr>
  </w:style>
  <w:style w:type="paragraph" w:customStyle="1" w:styleId="Bodytext22">
    <w:name w:val="Body text (2)"/>
    <w:basedOn w:val="Normal"/>
    <w:link w:val="Bodytext20"/>
    <w:uiPriority w:val="99"/>
    <w:qFormat/>
    <w:rsid w:val="00DD23AB"/>
    <w:pPr>
      <w:widowControl w:val="0"/>
      <w:shd w:val="clear" w:color="auto" w:fill="FFFFFF"/>
      <w:spacing w:before="220" w:after="220" w:line="370" w:lineRule="exact"/>
      <w:ind w:hanging="360"/>
      <w:jc w:val="both"/>
    </w:pPr>
    <w:rPr>
      <w:rFonts w:ascii="Sylfaen" w:eastAsia="Sylfaen" w:hAnsi="Sylfaen"/>
      <w:spacing w:val="20"/>
      <w:sz w:val="20"/>
      <w:szCs w:val="20"/>
    </w:rPr>
  </w:style>
  <w:style w:type="character" w:customStyle="1" w:styleId="23">
    <w:name w:val="Основной текст (2)"/>
    <w:uiPriority w:val="99"/>
    <w:rsid w:val="00DD23AB"/>
    <w:rPr>
      <w:rFonts w:ascii="Tahoma" w:eastAsia="Tahoma" w:hAnsi="Tahoma" w:cs="Tahoma"/>
      <w:b w:val="0"/>
      <w:bCs w:val="0"/>
      <w:i w:val="0"/>
      <w:iCs w:val="0"/>
      <w:smallCaps w:val="0"/>
      <w:strike w:val="0"/>
      <w:color w:val="000000"/>
      <w:spacing w:val="0"/>
      <w:w w:val="100"/>
      <w:position w:val="0"/>
      <w:sz w:val="24"/>
      <w:szCs w:val="24"/>
      <w:u w:val="none"/>
      <w:lang w:val="hy-AM" w:eastAsia="hy-AM" w:bidi="hy-AM"/>
    </w:rPr>
  </w:style>
  <w:style w:type="paragraph" w:customStyle="1" w:styleId="CharChar">
    <w:name w:val="Char Char"/>
    <w:basedOn w:val="Normal"/>
    <w:rsid w:val="00DD23AB"/>
    <w:pPr>
      <w:spacing w:after="160" w:line="240" w:lineRule="exact"/>
    </w:pPr>
    <w:rPr>
      <w:rFonts w:ascii="Arial" w:hAnsi="Arial" w:cs="Arial"/>
      <w:sz w:val="20"/>
      <w:szCs w:val="20"/>
    </w:rPr>
  </w:style>
  <w:style w:type="character" w:customStyle="1" w:styleId="32ptExact">
    <w:name w:val="Основной текст (3) + Интервал 2 pt Exact"/>
    <w:uiPriority w:val="99"/>
    <w:rsid w:val="00DD23AB"/>
    <w:rPr>
      <w:rFonts w:ascii="Sylfaen" w:hAnsi="Sylfaen" w:cs="Sylfaen"/>
      <w:spacing w:val="40"/>
      <w:sz w:val="20"/>
      <w:szCs w:val="20"/>
      <w:u w:val="none"/>
      <w:lang w:val="ru-RU" w:eastAsia="ru-RU"/>
    </w:rPr>
  </w:style>
  <w:style w:type="character" w:customStyle="1" w:styleId="PageNumber1">
    <w:name w:val="Page Number1"/>
    <w:uiPriority w:val="99"/>
    <w:rsid w:val="00DD23AB"/>
  </w:style>
  <w:style w:type="character" w:customStyle="1" w:styleId="25">
    <w:name w:val="Основной текст (2)_"/>
    <w:uiPriority w:val="99"/>
    <w:rsid w:val="00DD23AB"/>
    <w:rPr>
      <w:rFonts w:ascii="Sylfaen" w:hAnsi="Sylfaen" w:cs="Sylfaen"/>
      <w:i/>
      <w:iCs/>
      <w:shd w:val="clear" w:color="auto" w:fill="FFFFFF"/>
    </w:rPr>
  </w:style>
  <w:style w:type="character" w:customStyle="1" w:styleId="32">
    <w:name w:val="Основной текст (3)_"/>
    <w:uiPriority w:val="99"/>
    <w:rsid w:val="00DD23AB"/>
    <w:rPr>
      <w:rFonts w:ascii="Sylfaen" w:hAnsi="Sylfaen" w:cs="Sylfaen"/>
      <w:spacing w:val="20"/>
      <w:w w:val="80"/>
      <w:sz w:val="21"/>
      <w:szCs w:val="21"/>
      <w:shd w:val="clear" w:color="auto" w:fill="FFFFFF"/>
    </w:rPr>
  </w:style>
  <w:style w:type="character" w:customStyle="1" w:styleId="311pt">
    <w:name w:val="Основной текст (3) + 11 pt"/>
    <w:uiPriority w:val="99"/>
    <w:rsid w:val="00DD23AB"/>
    <w:rPr>
      <w:rFonts w:ascii="Sylfaen" w:hAnsi="Sylfaen" w:cs="Sylfaen"/>
      <w:i/>
      <w:iCs/>
      <w:spacing w:val="0"/>
      <w:w w:val="100"/>
      <w:sz w:val="22"/>
      <w:szCs w:val="22"/>
      <w:shd w:val="clear" w:color="auto" w:fill="FFFFFF"/>
    </w:rPr>
  </w:style>
  <w:style w:type="character" w:customStyle="1" w:styleId="311pt1">
    <w:name w:val="Основной текст (3) + 11 pt1"/>
    <w:uiPriority w:val="99"/>
    <w:rsid w:val="00DD23AB"/>
    <w:rPr>
      <w:rFonts w:ascii="Sylfaen" w:hAnsi="Sylfaen" w:cs="Sylfaen"/>
      <w:spacing w:val="0"/>
      <w:w w:val="100"/>
      <w:sz w:val="22"/>
      <w:szCs w:val="22"/>
      <w:shd w:val="clear" w:color="auto" w:fill="FFFFFF"/>
    </w:rPr>
  </w:style>
  <w:style w:type="character" w:customStyle="1" w:styleId="4">
    <w:name w:val="Основной текст (4)_"/>
    <w:uiPriority w:val="99"/>
    <w:rsid w:val="00DD23AB"/>
    <w:rPr>
      <w:rFonts w:ascii="Sylfaen" w:hAnsi="Sylfaen" w:cs="Sylfaen"/>
      <w:spacing w:val="20"/>
      <w:w w:val="80"/>
      <w:shd w:val="clear" w:color="auto" w:fill="FFFFFF"/>
    </w:rPr>
  </w:style>
  <w:style w:type="character" w:customStyle="1" w:styleId="4pt">
    <w:name w:val="Основной текст + 4 pt"/>
    <w:uiPriority w:val="99"/>
    <w:rsid w:val="00DD23AB"/>
    <w:rPr>
      <w:rFonts w:ascii="Sylfaen" w:hAnsi="Sylfaen" w:cs="Sylfaen"/>
      <w:i/>
      <w:iCs/>
      <w:spacing w:val="0"/>
      <w:w w:val="100"/>
      <w:sz w:val="8"/>
      <w:szCs w:val="8"/>
      <w:shd w:val="clear" w:color="auto" w:fill="FFFFFF"/>
    </w:rPr>
  </w:style>
  <w:style w:type="character" w:customStyle="1" w:styleId="15">
    <w:name w:val="Заголовок №1_"/>
    <w:uiPriority w:val="99"/>
    <w:rsid w:val="00DD23AB"/>
    <w:rPr>
      <w:rFonts w:ascii="Sylfaen" w:hAnsi="Sylfaen" w:cs="Sylfaen"/>
      <w:i/>
      <w:iCs/>
      <w:spacing w:val="-30"/>
      <w:sz w:val="31"/>
      <w:szCs w:val="31"/>
      <w:shd w:val="clear" w:color="auto" w:fill="FFFFFF"/>
    </w:rPr>
  </w:style>
  <w:style w:type="character" w:customStyle="1" w:styleId="111">
    <w:name w:val="Заголовок №1 + 11"/>
    <w:uiPriority w:val="99"/>
    <w:rsid w:val="00DD23AB"/>
    <w:rPr>
      <w:rFonts w:ascii="Sylfaen" w:hAnsi="Sylfaen" w:cs="Sylfaen"/>
      <w:i/>
      <w:iCs/>
      <w:spacing w:val="-20"/>
      <w:sz w:val="23"/>
      <w:szCs w:val="23"/>
      <w:shd w:val="clear" w:color="auto" w:fill="FFFFFF"/>
    </w:rPr>
  </w:style>
  <w:style w:type="character" w:customStyle="1" w:styleId="Sylfaen2">
    <w:name w:val="Основной текст + Sylfaen2"/>
    <w:uiPriority w:val="99"/>
    <w:rsid w:val="00DD23AB"/>
    <w:rPr>
      <w:rFonts w:ascii="Sylfaen" w:hAnsi="Sylfaen" w:cs="Sylfaen"/>
      <w:spacing w:val="20"/>
      <w:w w:val="80"/>
      <w:sz w:val="22"/>
      <w:szCs w:val="22"/>
      <w:u w:val="none"/>
      <w:shd w:val="clear" w:color="auto" w:fill="FFFFFF"/>
    </w:rPr>
  </w:style>
  <w:style w:type="character" w:customStyle="1" w:styleId="Sylfaen1">
    <w:name w:val="Основной текст + Sylfaen1"/>
    <w:uiPriority w:val="99"/>
    <w:rsid w:val="00DD23AB"/>
    <w:rPr>
      <w:rFonts w:ascii="Sylfaen" w:hAnsi="Sylfaen" w:cs="Sylfaen"/>
      <w:spacing w:val="20"/>
      <w:w w:val="80"/>
      <w:sz w:val="20"/>
      <w:szCs w:val="20"/>
      <w:u w:val="none"/>
      <w:shd w:val="clear" w:color="auto" w:fill="FFFFFF"/>
    </w:rPr>
  </w:style>
  <w:style w:type="character" w:customStyle="1" w:styleId="a5">
    <w:name w:val="Основной текст + Полужирный"/>
    <w:uiPriority w:val="99"/>
    <w:rsid w:val="00DD23AB"/>
    <w:rPr>
      <w:rFonts w:ascii="Sylfaen" w:hAnsi="Sylfaen" w:cs="Sylfaen"/>
      <w:b/>
      <w:bCs/>
      <w:spacing w:val="20"/>
      <w:w w:val="80"/>
      <w:sz w:val="21"/>
      <w:szCs w:val="21"/>
      <w:u w:val="none"/>
      <w:shd w:val="clear" w:color="auto" w:fill="FFFFFF"/>
    </w:rPr>
  </w:style>
  <w:style w:type="character" w:customStyle="1" w:styleId="shorttext">
    <w:name w:val="short_text"/>
    <w:uiPriority w:val="99"/>
    <w:rsid w:val="00DD23AB"/>
  </w:style>
  <w:style w:type="character" w:customStyle="1" w:styleId="textexposedshow">
    <w:name w:val="text_exposed_show"/>
    <w:uiPriority w:val="99"/>
    <w:rsid w:val="00DD23AB"/>
  </w:style>
  <w:style w:type="character" w:customStyle="1" w:styleId="ListLabel1">
    <w:name w:val="ListLabel 1"/>
    <w:uiPriority w:val="99"/>
    <w:rsid w:val="00DD23AB"/>
    <w:rPr>
      <w:rFonts w:eastAsia="Times New Roman"/>
      <w:color w:val="000000"/>
    </w:rPr>
  </w:style>
  <w:style w:type="character" w:customStyle="1" w:styleId="ListLabel2">
    <w:name w:val="ListLabel 2"/>
    <w:uiPriority w:val="99"/>
    <w:rsid w:val="00DD23AB"/>
  </w:style>
  <w:style w:type="character" w:customStyle="1" w:styleId="ListLabel3">
    <w:name w:val="ListLabel 3"/>
    <w:uiPriority w:val="99"/>
    <w:rsid w:val="00DD23AB"/>
  </w:style>
  <w:style w:type="character" w:customStyle="1" w:styleId="ListLabel4">
    <w:name w:val="ListLabel 4"/>
    <w:uiPriority w:val="99"/>
    <w:rsid w:val="00DD23AB"/>
  </w:style>
  <w:style w:type="character" w:customStyle="1" w:styleId="ListLabel5">
    <w:name w:val="ListLabel 5"/>
    <w:uiPriority w:val="99"/>
    <w:rsid w:val="00DD23AB"/>
    <w:rPr>
      <w:color w:val="auto"/>
    </w:rPr>
  </w:style>
  <w:style w:type="character" w:customStyle="1" w:styleId="ListLabel6">
    <w:name w:val="ListLabel 6"/>
    <w:uiPriority w:val="99"/>
    <w:rsid w:val="00DD23AB"/>
    <w:rPr>
      <w:b/>
      <w:bCs/>
      <w:i/>
      <w:iCs/>
    </w:rPr>
  </w:style>
  <w:style w:type="character" w:customStyle="1" w:styleId="ListLabel7">
    <w:name w:val="ListLabel 7"/>
    <w:uiPriority w:val="99"/>
    <w:rsid w:val="00DD23AB"/>
    <w:rPr>
      <w:sz w:val="24"/>
      <w:szCs w:val="24"/>
    </w:rPr>
  </w:style>
  <w:style w:type="character" w:customStyle="1" w:styleId="ListLabel8">
    <w:name w:val="ListLabel 8"/>
    <w:uiPriority w:val="99"/>
    <w:rsid w:val="00DD23AB"/>
    <w:rPr>
      <w:rFonts w:eastAsia="Times New Roman"/>
    </w:rPr>
  </w:style>
  <w:style w:type="paragraph" w:customStyle="1" w:styleId="Heading">
    <w:name w:val="Heading"/>
    <w:basedOn w:val="Normal"/>
    <w:next w:val="BodyText"/>
    <w:uiPriority w:val="99"/>
    <w:qFormat/>
    <w:rsid w:val="00DD23AB"/>
    <w:pPr>
      <w:keepNext/>
      <w:suppressAutoHyphens/>
      <w:spacing w:before="240" w:after="120" w:line="276" w:lineRule="auto"/>
    </w:pPr>
    <w:rPr>
      <w:rFonts w:ascii="Liberation Sans" w:hAnsi="Liberation Sans" w:cs="Liberation Sans"/>
      <w:kern w:val="1"/>
      <w:sz w:val="28"/>
      <w:szCs w:val="28"/>
    </w:rPr>
  </w:style>
  <w:style w:type="paragraph" w:styleId="List">
    <w:name w:val="List"/>
    <w:basedOn w:val="BodyText"/>
    <w:uiPriority w:val="99"/>
    <w:rsid w:val="00DD23AB"/>
    <w:pPr>
      <w:suppressAutoHyphens/>
      <w:overflowPunct/>
      <w:autoSpaceDE/>
      <w:autoSpaceDN/>
      <w:adjustRightInd/>
      <w:spacing w:after="120" w:line="288" w:lineRule="auto"/>
      <w:jc w:val="left"/>
      <w:textAlignment w:val="auto"/>
    </w:pPr>
    <w:rPr>
      <w:rFonts w:ascii="GHEA Grapalat" w:hAnsi="GHEA Grapalat" w:cs="GHEA Grapalat"/>
      <w:b w:val="0"/>
      <w:i w:val="0"/>
      <w:kern w:val="1"/>
      <w:sz w:val="22"/>
      <w:szCs w:val="22"/>
    </w:rPr>
  </w:style>
  <w:style w:type="paragraph" w:customStyle="1" w:styleId="Index">
    <w:name w:val="Index"/>
    <w:basedOn w:val="Normal"/>
    <w:uiPriority w:val="99"/>
    <w:qFormat/>
    <w:rsid w:val="00DD23AB"/>
    <w:pPr>
      <w:suppressLineNumbers/>
      <w:suppressAutoHyphens/>
      <w:spacing w:after="200" w:line="276" w:lineRule="auto"/>
    </w:pPr>
    <w:rPr>
      <w:rFonts w:ascii="Calibri" w:hAnsi="Calibri" w:cs="Calibri"/>
      <w:kern w:val="1"/>
      <w:sz w:val="22"/>
      <w:szCs w:val="22"/>
    </w:rPr>
  </w:style>
  <w:style w:type="paragraph" w:customStyle="1" w:styleId="Char4">
    <w:name w:val="Char4"/>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p2">
    <w:name w:val="p2"/>
    <w:basedOn w:val="Normal"/>
    <w:uiPriority w:val="99"/>
    <w:qFormat/>
    <w:rsid w:val="00DD23AB"/>
    <w:pPr>
      <w:suppressAutoHyphens/>
      <w:spacing w:before="280" w:after="280"/>
    </w:pPr>
    <w:rPr>
      <w:rFonts w:ascii="Times New Roman" w:hAnsi="Times New Roman"/>
      <w:kern w:val="1"/>
    </w:rPr>
  </w:style>
  <w:style w:type="paragraph" w:customStyle="1" w:styleId="CharCharCharCharChar2">
    <w:name w:val="Char Char Char Знак Знак Char Char Знак Знак"/>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CharCharCharCharCharCharCharCharCharCharCharChar">
    <w:name w:val="Char Char Char Char Char Char Char Char Char Char Char Char Char"/>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5">
    <w:name w:val="Char5"/>
    <w:basedOn w:val="Normal"/>
    <w:uiPriority w:val="99"/>
    <w:qFormat/>
    <w:rsid w:val="00DD23AB"/>
    <w:pPr>
      <w:suppressAutoHyphens/>
      <w:spacing w:after="160" w:line="240" w:lineRule="exact"/>
    </w:pPr>
    <w:rPr>
      <w:rFonts w:ascii="Arial" w:hAnsi="Arial" w:cs="Arial"/>
      <w:kern w:val="1"/>
      <w:sz w:val="20"/>
      <w:szCs w:val="20"/>
    </w:rPr>
  </w:style>
  <w:style w:type="character" w:customStyle="1" w:styleId="BodyText3Char1">
    <w:name w:val="Body Text 3 Char1"/>
    <w:uiPriority w:val="99"/>
    <w:locked/>
    <w:rsid w:val="00DD23AB"/>
    <w:rPr>
      <w:rFonts w:ascii="Calibri" w:eastAsia="Times New Roman" w:hAnsi="Calibri" w:cs="Calibri"/>
      <w:kern w:val="1"/>
      <w:sz w:val="16"/>
      <w:szCs w:val="16"/>
    </w:rPr>
  </w:style>
  <w:style w:type="paragraph" w:customStyle="1" w:styleId="a6">
    <w:name w:val="Стиль Знак"/>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16">
    <w:name w:val="Без интервала1"/>
    <w:uiPriority w:val="99"/>
    <w:qFormat/>
    <w:rsid w:val="00DD23AB"/>
    <w:pPr>
      <w:suppressAutoHyphens/>
    </w:pPr>
    <w:rPr>
      <w:rFonts w:ascii="GHEA Grapalat" w:hAnsi="GHEA Grapalat" w:cs="GHEA Grapalat"/>
      <w:kern w:val="1"/>
      <w:sz w:val="22"/>
      <w:szCs w:val="22"/>
    </w:rPr>
  </w:style>
  <w:style w:type="paragraph" w:customStyle="1" w:styleId="112">
    <w:name w:val="Без интервала11"/>
    <w:uiPriority w:val="99"/>
    <w:qFormat/>
    <w:rsid w:val="00DD23AB"/>
    <w:pPr>
      <w:suppressAutoHyphens/>
    </w:pPr>
    <w:rPr>
      <w:rFonts w:ascii="GHEA Grapalat" w:hAnsi="GHEA Grapalat" w:cs="GHEA Grapalat"/>
      <w:kern w:val="1"/>
      <w:sz w:val="22"/>
      <w:szCs w:val="22"/>
    </w:rPr>
  </w:style>
  <w:style w:type="paragraph" w:customStyle="1" w:styleId="Iacaaiea">
    <w:name w:val="Iacaaiea"/>
    <w:basedOn w:val="Normal"/>
    <w:uiPriority w:val="99"/>
    <w:qFormat/>
    <w:rsid w:val="00DD23AB"/>
    <w:pPr>
      <w:widowControl w:val="0"/>
      <w:suppressAutoHyphens/>
      <w:jc w:val="center"/>
    </w:pPr>
    <w:rPr>
      <w:rFonts w:ascii="Times LatArm" w:hAnsi="Times LatArm" w:cs="Times LatArm"/>
      <w:kern w:val="1"/>
    </w:rPr>
  </w:style>
  <w:style w:type="paragraph" w:customStyle="1" w:styleId="113">
    <w:name w:val="Основной текст11"/>
    <w:basedOn w:val="Normal"/>
    <w:uiPriority w:val="99"/>
    <w:qFormat/>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33">
    <w:name w:val="Основной текст (3)"/>
    <w:basedOn w:val="Normal"/>
    <w:uiPriority w:val="99"/>
    <w:qFormat/>
    <w:rsid w:val="00DD23AB"/>
    <w:pPr>
      <w:suppressAutoHyphens/>
      <w:spacing w:after="200" w:line="276" w:lineRule="auto"/>
    </w:pPr>
    <w:rPr>
      <w:rFonts w:ascii="Sylfaen" w:hAnsi="Sylfaen" w:cs="Sylfaen"/>
      <w:spacing w:val="20"/>
      <w:w w:val="80"/>
      <w:kern w:val="1"/>
      <w:sz w:val="21"/>
      <w:szCs w:val="21"/>
      <w:shd w:val="clear" w:color="auto" w:fill="FFFFFF"/>
      <w:lang w:val="ru-RU" w:eastAsia="ru-RU"/>
    </w:rPr>
  </w:style>
  <w:style w:type="paragraph" w:customStyle="1" w:styleId="40">
    <w:name w:val="Основной текст (4)"/>
    <w:basedOn w:val="Normal"/>
    <w:uiPriority w:val="99"/>
    <w:qFormat/>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character" w:customStyle="1" w:styleId="BodyTextIndent3Char1">
    <w:name w:val="Body Text Indent 3 Char1"/>
    <w:uiPriority w:val="99"/>
    <w:locked/>
    <w:rsid w:val="00DD23AB"/>
    <w:rPr>
      <w:rFonts w:ascii="Calibri" w:eastAsia="Times New Roman" w:hAnsi="Calibri" w:cs="Calibri"/>
      <w:kern w:val="1"/>
      <w:sz w:val="16"/>
      <w:szCs w:val="16"/>
    </w:rPr>
  </w:style>
  <w:style w:type="paragraph" w:customStyle="1" w:styleId="17">
    <w:name w:val="Заголовок №1"/>
    <w:basedOn w:val="Normal"/>
    <w:uiPriority w:val="99"/>
    <w:qFormat/>
    <w:rsid w:val="00DD23AB"/>
    <w:pPr>
      <w:suppressAutoHyphens/>
      <w:spacing w:after="200" w:line="276" w:lineRule="auto"/>
    </w:pPr>
    <w:rPr>
      <w:rFonts w:ascii="Sylfaen" w:hAnsi="Sylfaen" w:cs="Sylfaen"/>
      <w:i/>
      <w:iCs/>
      <w:spacing w:val="-30"/>
      <w:kern w:val="1"/>
      <w:sz w:val="31"/>
      <w:szCs w:val="31"/>
      <w:shd w:val="clear" w:color="auto" w:fill="FFFFFF"/>
      <w:lang w:val="ru-RU" w:eastAsia="ru-RU"/>
    </w:rPr>
  </w:style>
  <w:style w:type="paragraph" w:customStyle="1" w:styleId="CharCharChar2">
    <w:name w:val="Char Char Char"/>
    <w:basedOn w:val="Normal"/>
    <w:uiPriority w:val="99"/>
    <w:rsid w:val="00DD23AB"/>
    <w:pPr>
      <w:suppressAutoHyphens/>
      <w:spacing w:after="160" w:line="240" w:lineRule="exact"/>
    </w:pPr>
    <w:rPr>
      <w:rFonts w:ascii="Arial" w:hAnsi="Arial" w:cs="Arial"/>
      <w:kern w:val="1"/>
      <w:sz w:val="20"/>
      <w:szCs w:val="20"/>
    </w:rPr>
  </w:style>
  <w:style w:type="paragraph" w:customStyle="1" w:styleId="CharChar20">
    <w:name w:val="Char Char2"/>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Para">
    <w:name w:val="Para"/>
    <w:basedOn w:val="Normal"/>
    <w:autoRedefine/>
    <w:uiPriority w:val="99"/>
    <w:qFormat/>
    <w:rsid w:val="00DD23AB"/>
    <w:pPr>
      <w:suppressAutoHyphens/>
      <w:ind w:left="180" w:right="244"/>
      <w:jc w:val="both"/>
    </w:pPr>
    <w:rPr>
      <w:rFonts w:ascii="GHEA Grapalat" w:hAnsi="GHEA Grapalat" w:cs="GHEA Grapalat"/>
      <w:b/>
      <w:bCs/>
      <w:kern w:val="1"/>
      <w:lang w:val="hy-AM"/>
    </w:rPr>
  </w:style>
  <w:style w:type="paragraph" w:customStyle="1" w:styleId="CharCharCharCharChar11">
    <w:name w:val="Char Char Char Знак Знак Char Char Знак Знак1"/>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Char3">
    <w:name w:val="Char Char3"/>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FrameContents">
    <w:name w:val="Frame Contents"/>
    <w:basedOn w:val="Normal"/>
    <w:uiPriority w:val="99"/>
    <w:qFormat/>
    <w:rsid w:val="00DD23AB"/>
    <w:pPr>
      <w:suppressAutoHyphens/>
      <w:spacing w:after="200" w:line="276" w:lineRule="auto"/>
    </w:pPr>
    <w:rPr>
      <w:rFonts w:ascii="Calibri" w:hAnsi="Calibri" w:cs="Calibri"/>
      <w:kern w:val="1"/>
      <w:sz w:val="22"/>
      <w:szCs w:val="22"/>
    </w:rPr>
  </w:style>
  <w:style w:type="paragraph" w:customStyle="1" w:styleId="CharCharCharCharChar20">
    <w:name w:val="Char Char Char Знак Знак Char Char Знак Знак2"/>
    <w:basedOn w:val="Normal"/>
    <w:uiPriority w:val="99"/>
    <w:qFormat/>
    <w:rsid w:val="00DD23AB"/>
    <w:pPr>
      <w:spacing w:after="160" w:line="240" w:lineRule="exact"/>
    </w:pPr>
    <w:rPr>
      <w:rFonts w:ascii="Arial" w:hAnsi="Arial" w:cs="Arial"/>
      <w:sz w:val="20"/>
      <w:szCs w:val="20"/>
    </w:rPr>
  </w:style>
  <w:style w:type="paragraph" w:customStyle="1" w:styleId="CharCharChar11">
    <w:name w:val="Char Char Char1"/>
    <w:basedOn w:val="Normal"/>
    <w:uiPriority w:val="99"/>
    <w:qFormat/>
    <w:rsid w:val="00DD23AB"/>
    <w:pPr>
      <w:spacing w:after="160" w:line="240" w:lineRule="exact"/>
    </w:pPr>
    <w:rPr>
      <w:rFonts w:ascii="Arial" w:hAnsi="Arial" w:cs="Arial"/>
      <w:sz w:val="20"/>
      <w:szCs w:val="20"/>
    </w:rPr>
  </w:style>
  <w:style w:type="paragraph" w:customStyle="1" w:styleId="BodyTextTimesArmenian">
    <w:name w:val="Body Text + Times Armenian"/>
    <w:aliases w:val="Justified,Left:  0.5&quot;,First line:  0.42&quot;,Line ..."/>
    <w:basedOn w:val="BodyText"/>
    <w:uiPriority w:val="99"/>
    <w:qFormat/>
    <w:rsid w:val="00DD23AB"/>
    <w:pPr>
      <w:overflowPunct/>
      <w:autoSpaceDE/>
      <w:autoSpaceDN/>
      <w:adjustRightInd/>
      <w:spacing w:after="120"/>
      <w:ind w:left="720" w:firstLine="600"/>
      <w:jc w:val="both"/>
      <w:textAlignment w:val="auto"/>
    </w:pPr>
    <w:rPr>
      <w:rFonts w:cs="Times Armenian"/>
      <w:b w:val="0"/>
      <w:i w:val="0"/>
      <w:szCs w:val="24"/>
    </w:rPr>
  </w:style>
  <w:style w:type="paragraph" w:customStyle="1" w:styleId="CharCharCharCharCharCharCharCharCharCharCharCharChar1">
    <w:name w:val="Char Char Char Char Char Char Char Char Char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CharCharCharChar">
    <w:name w:val="Char Char Char Char Char Char Char"/>
    <w:basedOn w:val="Normal"/>
    <w:uiPriority w:val="99"/>
    <w:qFormat/>
    <w:rsid w:val="00DD23AB"/>
    <w:pPr>
      <w:spacing w:after="160" w:line="240" w:lineRule="exact"/>
    </w:pPr>
    <w:rPr>
      <w:rFonts w:ascii="Arial" w:hAnsi="Arial" w:cs="Arial"/>
      <w:sz w:val="20"/>
      <w:szCs w:val="20"/>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TegnTegnCharCharTegnTegnCharCharChar">
    <w:name w:val="Char Char Char Tegn Tegn Char Char Tegn Tegn Char Char Char"/>
    <w:basedOn w:val="Normal"/>
    <w:uiPriority w:val="99"/>
    <w:qFormat/>
    <w:rsid w:val="00DD23AB"/>
    <w:pPr>
      <w:tabs>
        <w:tab w:val="left" w:pos="709"/>
      </w:tabs>
    </w:pPr>
    <w:rPr>
      <w:rFonts w:ascii="Tahoma" w:hAnsi="Tahoma" w:cs="Tahoma"/>
      <w:lang w:val="pl-PL" w:eastAsia="pl-PL"/>
    </w:rPr>
  </w:style>
  <w:style w:type="paragraph" w:customStyle="1" w:styleId="CharCharCharCharCharCharChar1">
    <w:name w:val="Char Char Char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CharCharChar1Char">
    <w:name w:val="Char Char Char Char Char Char1 Char"/>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0">
    <w:name w:val="Char Char Char Char Char Char Char Char Char Char 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text0">
    <w:name w:val="text"/>
    <w:basedOn w:val="Normal"/>
    <w:link w:val="textChar"/>
    <w:uiPriority w:val="99"/>
    <w:qFormat/>
    <w:rsid w:val="00DD23AB"/>
    <w:pPr>
      <w:ind w:firstLine="454"/>
      <w:jc w:val="both"/>
    </w:pPr>
    <w:rPr>
      <w:rFonts w:ascii="GHEA Mariam" w:hAnsi="GHEA Mariam"/>
      <w:sz w:val="20"/>
      <w:szCs w:val="20"/>
      <w:lang w:val="en-GB" w:eastAsia="ru-RU"/>
    </w:rPr>
  </w:style>
  <w:style w:type="character" w:customStyle="1" w:styleId="textChar">
    <w:name w:val="text Char"/>
    <w:link w:val="text0"/>
    <w:uiPriority w:val="99"/>
    <w:locked/>
    <w:rsid w:val="00DD23AB"/>
    <w:rPr>
      <w:rFonts w:ascii="GHEA Mariam" w:hAnsi="GHEA Mariam"/>
      <w:lang w:val="en-GB" w:eastAsia="ru-RU"/>
    </w:rPr>
  </w:style>
  <w:style w:type="paragraph" w:customStyle="1" w:styleId="BULET">
    <w:name w:val="BULET"/>
    <w:basedOn w:val="text0"/>
    <w:uiPriority w:val="99"/>
    <w:qFormat/>
    <w:rsid w:val="00DD23AB"/>
    <w:pPr>
      <w:numPr>
        <w:numId w:val="5"/>
      </w:numPr>
      <w:tabs>
        <w:tab w:val="num" w:pos="540"/>
        <w:tab w:val="num" w:pos="643"/>
        <w:tab w:val="num" w:pos="720"/>
      </w:tabs>
      <w:ind w:left="568" w:hanging="284"/>
    </w:pPr>
    <w:rPr>
      <w:color w:val="000000"/>
      <w:lang w:val="af-ZA"/>
    </w:rPr>
  </w:style>
  <w:style w:type="paragraph" w:customStyle="1" w:styleId="Char6">
    <w:name w:val="Char6"/>
    <w:basedOn w:val="Normal"/>
    <w:uiPriority w:val="99"/>
    <w:qFormat/>
    <w:rsid w:val="00DD23AB"/>
    <w:pPr>
      <w:spacing w:after="160" w:line="240" w:lineRule="exact"/>
    </w:pPr>
    <w:rPr>
      <w:rFonts w:ascii="Arial" w:hAnsi="Arial" w:cs="Arial"/>
      <w:sz w:val="20"/>
      <w:szCs w:val="20"/>
    </w:rPr>
  </w:style>
  <w:style w:type="paragraph" w:customStyle="1" w:styleId="CharCharCharCharCharCharCharChar">
    <w:name w:val="Char Char Char 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0">
    <w:name w:val="Знак Знак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BSAPtext">
    <w:name w:val="BSAP text"/>
    <w:basedOn w:val="Normal"/>
    <w:uiPriority w:val="99"/>
    <w:qFormat/>
    <w:rsid w:val="00DD23AB"/>
    <w:pPr>
      <w:spacing w:line="312" w:lineRule="auto"/>
      <w:jc w:val="both"/>
    </w:pPr>
    <w:rPr>
      <w:rFonts w:ascii="Bookman Old Style" w:hAnsi="Bookman Old Style" w:cs="Bookman Old Style"/>
      <w:sz w:val="22"/>
      <w:szCs w:val="22"/>
    </w:rPr>
  </w:style>
  <w:style w:type="paragraph" w:customStyle="1" w:styleId="CharChar0">
    <w:name w:val="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Char">
    <w:name w:val="Char Char Char Char Char Char"/>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
    <w:name w:val="Char Char Char Char Char Char Char Char Char"/>
    <w:basedOn w:val="Normal"/>
    <w:uiPriority w:val="99"/>
    <w:qFormat/>
    <w:rsid w:val="00DD23AB"/>
    <w:pPr>
      <w:spacing w:after="160" w:line="240" w:lineRule="exact"/>
    </w:pPr>
    <w:rPr>
      <w:rFonts w:ascii="Arial" w:hAnsi="Arial" w:cs="Arial"/>
      <w:sz w:val="20"/>
      <w:szCs w:val="20"/>
    </w:rPr>
  </w:style>
  <w:style w:type="character" w:customStyle="1" w:styleId="usercontent">
    <w:name w:val="usercontent"/>
    <w:uiPriority w:val="99"/>
    <w:rsid w:val="00DD23AB"/>
  </w:style>
  <w:style w:type="paragraph" w:customStyle="1" w:styleId="CharCharCharCharCharCharChar0">
    <w:name w:val="Char Char Char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Char1">
    <w:name w:val="Char Char Char Char Char Char1"/>
    <w:basedOn w:val="Normal"/>
    <w:uiPriority w:val="99"/>
    <w:qFormat/>
    <w:rsid w:val="00DD23AB"/>
    <w:pPr>
      <w:spacing w:after="160" w:line="240" w:lineRule="exact"/>
    </w:pPr>
    <w:rPr>
      <w:rFonts w:ascii="Arial" w:hAnsi="Arial" w:cs="Arial"/>
      <w:sz w:val="20"/>
      <w:szCs w:val="20"/>
    </w:rPr>
  </w:style>
  <w:style w:type="paragraph" w:customStyle="1" w:styleId="NoSpacing2">
    <w:name w:val="No Spacing2"/>
    <w:uiPriority w:val="99"/>
    <w:qFormat/>
    <w:rsid w:val="00DD23AB"/>
    <w:rPr>
      <w:rFonts w:ascii="Arial Armenian" w:hAnsi="Arial Armenian" w:cs="Arial Armenian"/>
      <w:sz w:val="24"/>
      <w:szCs w:val="24"/>
      <w:lang w:val="ru-RU"/>
    </w:rPr>
  </w:style>
  <w:style w:type="paragraph" w:customStyle="1" w:styleId="Standard">
    <w:name w:val="Standard"/>
    <w:uiPriority w:val="99"/>
    <w:qFormat/>
    <w:rsid w:val="00DD23AB"/>
    <w:pPr>
      <w:widowControl w:val="0"/>
      <w:suppressAutoHyphens/>
      <w:autoSpaceDN w:val="0"/>
      <w:textAlignment w:val="baseline"/>
    </w:pPr>
    <w:rPr>
      <w:kern w:val="3"/>
      <w:sz w:val="24"/>
      <w:szCs w:val="24"/>
    </w:rPr>
  </w:style>
  <w:style w:type="character" w:customStyle="1" w:styleId="user-name">
    <w:name w:val="user-name"/>
    <w:uiPriority w:val="99"/>
    <w:rsid w:val="00DD23AB"/>
  </w:style>
  <w:style w:type="character" w:customStyle="1" w:styleId="SubtleEmphasis1">
    <w:name w:val="Subtle Emphasis1"/>
    <w:uiPriority w:val="99"/>
    <w:qFormat/>
    <w:rsid w:val="00DD23AB"/>
    <w:rPr>
      <w:i/>
      <w:iCs/>
      <w:color w:val="808080"/>
    </w:rPr>
  </w:style>
  <w:style w:type="paragraph" w:customStyle="1" w:styleId="IntenseQuote1">
    <w:name w:val="Intense Quote1"/>
    <w:basedOn w:val="Normal"/>
    <w:next w:val="Normal"/>
    <w:uiPriority w:val="99"/>
    <w:qFormat/>
    <w:rsid w:val="00DD23AB"/>
    <w:pPr>
      <w:pBdr>
        <w:bottom w:val="single" w:sz="4" w:space="4" w:color="4F81BD"/>
      </w:pBdr>
      <w:spacing w:before="200" w:after="280"/>
      <w:ind w:left="936" w:right="936"/>
    </w:pPr>
    <w:rPr>
      <w:rFonts w:cs="Arial Armenian"/>
      <w:b/>
      <w:bCs/>
      <w:i/>
      <w:iCs/>
      <w:noProof/>
      <w:color w:val="4F81BD"/>
      <w:lang w:eastAsia="ru-RU"/>
    </w:rPr>
  </w:style>
  <w:style w:type="paragraph" w:customStyle="1" w:styleId="CharCharCharCharCharCharCharCharCharCharCharCharCharCharCharCharChar">
    <w:name w:val="Char Char Char Char Char Char Char Char Char Char Char Char Char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26">
    <w:name w:val="Без интервала2"/>
    <w:uiPriority w:val="99"/>
    <w:qFormat/>
    <w:rsid w:val="00DD23AB"/>
    <w:pPr>
      <w:suppressAutoHyphens/>
    </w:pPr>
    <w:rPr>
      <w:rFonts w:ascii="GHEA Grapalat" w:hAnsi="GHEA Grapalat" w:cs="GHEA Grapalat"/>
      <w:kern w:val="1"/>
      <w:sz w:val="22"/>
      <w:szCs w:val="22"/>
    </w:rPr>
  </w:style>
  <w:style w:type="character" w:customStyle="1" w:styleId="5yl5">
    <w:name w:val="_5yl5"/>
    <w:uiPriority w:val="99"/>
    <w:rsid w:val="00DD23AB"/>
  </w:style>
  <w:style w:type="character" w:customStyle="1" w:styleId="18">
    <w:name w:val="Номер страницы1"/>
    <w:uiPriority w:val="99"/>
    <w:rsid w:val="00DD23AB"/>
  </w:style>
  <w:style w:type="character" w:customStyle="1" w:styleId="27">
    <w:name w:val="Основной текст2"/>
    <w:uiPriority w:val="99"/>
    <w:rsid w:val="00DD23AB"/>
    <w:rPr>
      <w:rFonts w:ascii="Sylfaen" w:eastAsia="Tahoma" w:hAnsi="Sylfaen" w:cs="Sylfaen"/>
      <w:spacing w:val="20"/>
      <w:w w:val="80"/>
      <w:sz w:val="19"/>
      <w:szCs w:val="19"/>
      <w:shd w:val="clear" w:color="auto" w:fill="FFFFFF"/>
      <w:lang w:bidi="ar-SA"/>
    </w:rPr>
  </w:style>
  <w:style w:type="paragraph" w:customStyle="1" w:styleId="Revision1">
    <w:name w:val="Revision1"/>
    <w:hidden/>
    <w:uiPriority w:val="99"/>
    <w:semiHidden/>
    <w:qFormat/>
    <w:rsid w:val="00DD23AB"/>
    <w:rPr>
      <w:sz w:val="24"/>
      <w:szCs w:val="24"/>
      <w:lang w:val="ru-RU" w:eastAsia="ru-RU"/>
    </w:rPr>
  </w:style>
  <w:style w:type="table" w:styleId="TableWeb1">
    <w:name w:val="Table Web 1"/>
    <w:basedOn w:val="TableNormal"/>
    <w:uiPriority w:val="99"/>
    <w:rsid w:val="00DD23A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DD23A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styleId="LineNumber">
    <w:name w:val="line number"/>
    <w:uiPriority w:val="99"/>
    <w:unhideWhenUsed/>
    <w:rsid w:val="00DD23AB"/>
  </w:style>
  <w:style w:type="paragraph" w:customStyle="1" w:styleId="ModelNrmlSingle">
    <w:name w:val="ModelNrmlSingle"/>
    <w:basedOn w:val="Normal"/>
    <w:uiPriority w:val="99"/>
    <w:qFormat/>
    <w:rsid w:val="00DD23AB"/>
    <w:pPr>
      <w:spacing w:after="240"/>
      <w:ind w:firstLine="720"/>
      <w:jc w:val="both"/>
    </w:pPr>
    <w:rPr>
      <w:rFonts w:ascii="Times New Roman" w:hAnsi="Times New Roman"/>
      <w:sz w:val="22"/>
      <w:szCs w:val="20"/>
    </w:rPr>
  </w:style>
  <w:style w:type="paragraph" w:customStyle="1" w:styleId="rmcbsepg">
    <w:name w:val="rmcbsepg"/>
    <w:basedOn w:val="Normal"/>
    <w:uiPriority w:val="99"/>
    <w:qFormat/>
    <w:rsid w:val="00DD23AB"/>
    <w:pPr>
      <w:spacing w:before="100" w:beforeAutospacing="1" w:after="100" w:afterAutospacing="1"/>
    </w:pPr>
    <w:rPr>
      <w:rFonts w:ascii="Times New Roman" w:hAnsi="Times New Roman"/>
    </w:rPr>
  </w:style>
  <w:style w:type="paragraph" w:customStyle="1" w:styleId="CharCharCharCharCharCharCharCharCharCharCharCharCharCharChar2">
    <w:name w:val="Char Char Char Char Знак Char Знак Char Char Char Char Char Char Char Char Char Char2"/>
    <w:basedOn w:val="Normal"/>
    <w:uiPriority w:val="99"/>
    <w:qFormat/>
    <w:rsid w:val="00DD23AB"/>
    <w:pPr>
      <w:tabs>
        <w:tab w:val="left" w:pos="709"/>
      </w:tabs>
    </w:pPr>
    <w:rPr>
      <w:rFonts w:ascii="Tahoma" w:hAnsi="Tahoma"/>
      <w:lang w:val="pl-PL" w:eastAsia="pl-PL"/>
    </w:rPr>
  </w:style>
  <w:style w:type="paragraph" w:customStyle="1" w:styleId="CharCharCharCharCharCharCharCharCharChar2">
    <w:name w:val="Char Char Char Char Char Char Char Char Char Char2"/>
    <w:basedOn w:val="Normal"/>
    <w:uiPriority w:val="99"/>
    <w:qFormat/>
    <w:rsid w:val="00DD23AB"/>
    <w:pPr>
      <w:spacing w:after="160" w:line="240" w:lineRule="exact"/>
    </w:pPr>
    <w:rPr>
      <w:rFonts w:ascii="Arial" w:hAnsi="Arial" w:cs="Arial"/>
      <w:sz w:val="20"/>
      <w:szCs w:val="20"/>
    </w:rPr>
  </w:style>
  <w:style w:type="paragraph" w:customStyle="1" w:styleId="41">
    <w:name w:val="Знак Знак4"/>
    <w:basedOn w:val="Normal"/>
    <w:autoRedefine/>
    <w:uiPriority w:val="99"/>
    <w:qFormat/>
    <w:rsid w:val="00DD23AB"/>
    <w:rPr>
      <w:rFonts w:ascii="Times New Roman" w:eastAsia="SimSun" w:hAnsi="Times New Roman"/>
      <w:sz w:val="20"/>
      <w:szCs w:val="20"/>
      <w:lang w:eastAsia="ru-RU"/>
    </w:rPr>
  </w:style>
  <w:style w:type="paragraph" w:customStyle="1" w:styleId="Znak2">
    <w:name w:val="Znak2"/>
    <w:basedOn w:val="Normal"/>
    <w:uiPriority w:val="99"/>
    <w:qFormat/>
    <w:rsid w:val="00DD23AB"/>
    <w:pPr>
      <w:tabs>
        <w:tab w:val="left" w:pos="709"/>
      </w:tabs>
    </w:pPr>
    <w:rPr>
      <w:rFonts w:ascii="Tahoma" w:hAnsi="Tahoma"/>
      <w:lang w:val="pl-PL" w:eastAsia="pl-PL"/>
    </w:rPr>
  </w:style>
  <w:style w:type="paragraph" w:customStyle="1" w:styleId="CharCharCharCharChar21">
    <w:name w:val="Char Char Char Char Char2"/>
    <w:basedOn w:val="Normal"/>
    <w:uiPriority w:val="99"/>
    <w:qFormat/>
    <w:rsid w:val="00DD23AB"/>
    <w:pPr>
      <w:spacing w:after="160" w:line="240" w:lineRule="exact"/>
    </w:pPr>
    <w:rPr>
      <w:rFonts w:ascii="Arial" w:hAnsi="Arial" w:cs="Arial"/>
      <w:sz w:val="20"/>
      <w:szCs w:val="20"/>
    </w:rPr>
  </w:style>
  <w:style w:type="paragraph" w:customStyle="1" w:styleId="ZchnZchn12">
    <w:name w:val="Zchn Zchn12"/>
    <w:basedOn w:val="Normal"/>
    <w:uiPriority w:val="99"/>
    <w:qFormat/>
    <w:rsid w:val="00DD23AB"/>
    <w:pPr>
      <w:spacing w:after="160" w:line="240" w:lineRule="exact"/>
    </w:pPr>
    <w:rPr>
      <w:rFonts w:ascii="Verdana" w:hAnsi="Verdana"/>
      <w:sz w:val="20"/>
      <w:szCs w:val="20"/>
      <w:lang w:val="en-GB"/>
    </w:rPr>
  </w:style>
  <w:style w:type="paragraph" w:customStyle="1" w:styleId="Char12">
    <w:name w:val="Char12"/>
    <w:basedOn w:val="Normal"/>
    <w:next w:val="Normal"/>
    <w:uiPriority w:val="99"/>
    <w:qFormat/>
    <w:rsid w:val="00DD23AB"/>
    <w:pPr>
      <w:spacing w:after="160" w:line="240" w:lineRule="exact"/>
    </w:pPr>
    <w:rPr>
      <w:rFonts w:ascii="Tahoma" w:hAnsi="Tahoma"/>
      <w:szCs w:val="20"/>
    </w:rPr>
  </w:style>
  <w:style w:type="paragraph" w:customStyle="1" w:styleId="Char3CharCharChar2">
    <w:name w:val="Char3 Char Char Char2"/>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2">
    <w:name w:val="Char Char1 Char Char Char1 Char2"/>
    <w:basedOn w:val="Normal"/>
    <w:autoRedefine/>
    <w:uiPriority w:val="99"/>
    <w:qFormat/>
    <w:rsid w:val="00DD23AB"/>
    <w:rPr>
      <w:rFonts w:ascii="Times New Roman" w:eastAsia="SimSun" w:hAnsi="Times New Roman"/>
      <w:sz w:val="20"/>
      <w:szCs w:val="20"/>
      <w:lang w:eastAsia="ru-RU"/>
    </w:rPr>
  </w:style>
  <w:style w:type="paragraph" w:customStyle="1" w:styleId="CharCharChar20">
    <w:name w:val="Char Char Char Знак2"/>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2">
    <w:name w:val="Char Char Char1 Char Char Char Char Char Char Char Char Char1 Char2"/>
    <w:basedOn w:val="Normal"/>
    <w:uiPriority w:val="99"/>
    <w:qFormat/>
    <w:rsid w:val="00DD23AB"/>
    <w:pPr>
      <w:spacing w:after="160" w:line="240" w:lineRule="exact"/>
    </w:pPr>
    <w:rPr>
      <w:rFonts w:ascii="Arial" w:hAnsi="Arial" w:cs="Arial"/>
      <w:sz w:val="20"/>
      <w:szCs w:val="20"/>
    </w:rPr>
  </w:style>
  <w:style w:type="paragraph" w:customStyle="1" w:styleId="120">
    <w:name w:val="Знак Знак12"/>
    <w:basedOn w:val="Normal"/>
    <w:uiPriority w:val="99"/>
    <w:qFormat/>
    <w:rsid w:val="00DD23AB"/>
    <w:pPr>
      <w:spacing w:after="160" w:line="240" w:lineRule="exact"/>
    </w:pPr>
    <w:rPr>
      <w:rFonts w:ascii="Arial" w:hAnsi="Arial" w:cs="Arial"/>
      <w:sz w:val="20"/>
      <w:szCs w:val="20"/>
    </w:rPr>
  </w:style>
  <w:style w:type="paragraph" w:customStyle="1" w:styleId="BodyText12">
    <w:name w:val="Body Text12"/>
    <w:basedOn w:val="Default"/>
    <w:next w:val="Default"/>
    <w:uiPriority w:val="99"/>
    <w:qFormat/>
    <w:rsid w:val="00DD23AB"/>
    <w:rPr>
      <w:rFonts w:ascii="Sylfaen" w:hAnsi="Sylfaen"/>
      <w:color w:val="auto"/>
    </w:rPr>
  </w:style>
  <w:style w:type="paragraph" w:customStyle="1" w:styleId="220">
    <w:name w:val="Знак Знак22"/>
    <w:basedOn w:val="Normal"/>
    <w:uiPriority w:val="99"/>
    <w:qFormat/>
    <w:rsid w:val="00DD23AB"/>
    <w:pPr>
      <w:spacing w:after="160" w:line="240" w:lineRule="exact"/>
    </w:pPr>
    <w:rPr>
      <w:rFonts w:ascii="Arial" w:hAnsi="Arial" w:cs="Arial"/>
      <w:sz w:val="20"/>
      <w:szCs w:val="20"/>
    </w:rPr>
  </w:style>
  <w:style w:type="paragraph" w:customStyle="1" w:styleId="CharCharChar21">
    <w:name w:val="Char Char Char Знак Знак2"/>
    <w:basedOn w:val="Normal"/>
    <w:uiPriority w:val="99"/>
    <w:qFormat/>
    <w:rsid w:val="00DD23AB"/>
    <w:pPr>
      <w:spacing w:after="160" w:line="240" w:lineRule="exact"/>
    </w:pPr>
    <w:rPr>
      <w:rFonts w:ascii="Arial" w:hAnsi="Arial" w:cs="Arial"/>
      <w:sz w:val="20"/>
      <w:szCs w:val="20"/>
    </w:rPr>
  </w:style>
  <w:style w:type="paragraph" w:customStyle="1" w:styleId="CharCharCharCharChar22">
    <w:name w:val="Char Char Char Char Char Знак Знак2"/>
    <w:basedOn w:val="Normal"/>
    <w:uiPriority w:val="99"/>
    <w:qFormat/>
    <w:rsid w:val="00DD23AB"/>
    <w:pPr>
      <w:spacing w:after="160" w:line="240" w:lineRule="exact"/>
    </w:pPr>
    <w:rPr>
      <w:rFonts w:ascii="Arial" w:hAnsi="Arial" w:cs="Arial"/>
      <w:sz w:val="20"/>
      <w:szCs w:val="20"/>
    </w:rPr>
  </w:style>
  <w:style w:type="character" w:customStyle="1" w:styleId="CharChar62">
    <w:name w:val="Char Char62"/>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2">
    <w:name w:val="Char Char52"/>
    <w:uiPriority w:val="99"/>
    <w:rsid w:val="00DD23AB"/>
    <w:rPr>
      <w:rFonts w:ascii="Times Armenian" w:hAnsi="Times Armenian" w:hint="default"/>
      <w:noProof/>
      <w:sz w:val="24"/>
      <w:szCs w:val="24"/>
      <w:lang w:val="hy-AM" w:eastAsia="en-US" w:bidi="ar-SA"/>
    </w:rPr>
  </w:style>
  <w:style w:type="character" w:customStyle="1" w:styleId="CharChar42">
    <w:name w:val="Char Char42"/>
    <w:uiPriority w:val="99"/>
    <w:rsid w:val="00DD23AB"/>
    <w:rPr>
      <w:noProof/>
      <w:lang w:val="hy-AM" w:eastAsia="en-US" w:bidi="ar-SA"/>
    </w:rPr>
  </w:style>
  <w:style w:type="paragraph" w:customStyle="1" w:styleId="CharCharCharChar2">
    <w:name w:val="Char Char Char Char2"/>
    <w:basedOn w:val="Normal"/>
    <w:uiPriority w:val="99"/>
    <w:qFormat/>
    <w:rsid w:val="00DD23AB"/>
    <w:pPr>
      <w:spacing w:after="160" w:line="240" w:lineRule="exact"/>
    </w:pPr>
    <w:rPr>
      <w:rFonts w:ascii="Arial" w:hAnsi="Arial" w:cs="Arial"/>
      <w:sz w:val="20"/>
      <w:szCs w:val="20"/>
    </w:rPr>
  </w:style>
  <w:style w:type="character" w:customStyle="1" w:styleId="CharChar181">
    <w:name w:val="Char Char181"/>
    <w:uiPriority w:val="99"/>
    <w:rsid w:val="00DD23AB"/>
    <w:rPr>
      <w:rFonts w:ascii="Times Armenian" w:eastAsia="Times New Roman" w:hAnsi="Times Armenian" w:cs="Times New Roman"/>
      <w:b/>
      <w:i/>
      <w:noProof/>
      <w:sz w:val="28"/>
      <w:szCs w:val="20"/>
      <w:lang w:val="hy-AM"/>
    </w:rPr>
  </w:style>
  <w:style w:type="character" w:customStyle="1" w:styleId="CharChar131">
    <w:name w:val="Char Char131"/>
    <w:uiPriority w:val="99"/>
    <w:semiHidden/>
    <w:rsid w:val="00DD23AB"/>
    <w:rPr>
      <w:rFonts w:ascii="Times New Roman" w:eastAsia="Times New Roman" w:hAnsi="Times New Roman" w:cs="Times New Roman"/>
      <w:noProof/>
      <w:sz w:val="20"/>
      <w:szCs w:val="20"/>
      <w:lang w:val="hy-AM"/>
    </w:rPr>
  </w:style>
  <w:style w:type="character" w:customStyle="1" w:styleId="CharChar121">
    <w:name w:val="Char Char121"/>
    <w:uiPriority w:val="99"/>
    <w:semiHidden/>
    <w:locked/>
    <w:rsid w:val="00DD23AB"/>
    <w:rPr>
      <w:rFonts w:ascii="Times New Roman" w:eastAsia="Times New Roman" w:hAnsi="Times New Roman" w:cs="Times New Roman"/>
      <w:noProof/>
      <w:sz w:val="24"/>
      <w:szCs w:val="24"/>
      <w:lang w:val="hy-AM"/>
    </w:rPr>
  </w:style>
  <w:style w:type="character" w:customStyle="1" w:styleId="CharChar231">
    <w:name w:val="Char Char231"/>
    <w:uiPriority w:val="99"/>
    <w:rsid w:val="00DD23AB"/>
    <w:rPr>
      <w:rFonts w:ascii="Times Armenian" w:eastAsia="Times New Roman" w:hAnsi="Times Armenian" w:cs="Times New Roman"/>
      <w:noProof/>
      <w:sz w:val="24"/>
      <w:szCs w:val="24"/>
      <w:u w:val="single"/>
      <w:lang w:val="hy-AM"/>
    </w:rPr>
  </w:style>
  <w:style w:type="character" w:customStyle="1" w:styleId="CharChar241">
    <w:name w:val="Char Char241"/>
    <w:uiPriority w:val="99"/>
    <w:locked/>
    <w:rsid w:val="00DD23AB"/>
    <w:rPr>
      <w:rFonts w:ascii="Times Armenian" w:eastAsia="Times New Roman" w:hAnsi="Times Armenian" w:cs="Times New Roman"/>
      <w:b/>
      <w:i/>
      <w:noProof/>
      <w:sz w:val="28"/>
      <w:szCs w:val="20"/>
      <w:lang w:val="hy-AM"/>
    </w:rPr>
  </w:style>
  <w:style w:type="paragraph" w:customStyle="1" w:styleId="Bullet2">
    <w:name w:val="Bullet 2"/>
    <w:basedOn w:val="Normal"/>
    <w:autoRedefine/>
    <w:uiPriority w:val="99"/>
    <w:qFormat/>
    <w:rsid w:val="00DD23AB"/>
    <w:pPr>
      <w:widowControl w:val="0"/>
      <w:tabs>
        <w:tab w:val="left" w:pos="851"/>
        <w:tab w:val="left" w:pos="993"/>
      </w:tabs>
      <w:suppressAutoHyphens/>
      <w:ind w:left="720"/>
      <w:contextualSpacing/>
      <w:jc w:val="both"/>
    </w:pPr>
    <w:rPr>
      <w:rFonts w:ascii="GHEA Grapalat" w:hAnsi="GHEA Grapalat" w:cs="Sylfaen"/>
      <w:kern w:val="1"/>
      <w:lang w:val="hy-AM" w:eastAsia="ru-RU"/>
    </w:rPr>
  </w:style>
  <w:style w:type="paragraph" w:styleId="NormalIndent">
    <w:name w:val="Normal Indent"/>
    <w:aliases w:val="Normal Indent Char"/>
    <w:basedOn w:val="Normal"/>
    <w:uiPriority w:val="99"/>
    <w:unhideWhenUsed/>
    <w:qFormat/>
    <w:rsid w:val="00DD23AB"/>
    <w:pPr>
      <w:spacing w:after="180"/>
      <w:ind w:left="709"/>
      <w:jc w:val="both"/>
    </w:pPr>
    <w:rPr>
      <w:rFonts w:ascii="Times New Roman" w:hAnsi="Times New Roman"/>
      <w:lang w:val="en-GB"/>
    </w:rPr>
  </w:style>
  <w:style w:type="character" w:customStyle="1" w:styleId="longtext">
    <w:name w:val="long_text"/>
    <w:uiPriority w:val="99"/>
    <w:rsid w:val="00DD23AB"/>
  </w:style>
  <w:style w:type="paragraph" w:customStyle="1" w:styleId="hodvats">
    <w:name w:val="hodvats"/>
    <w:basedOn w:val="Normal"/>
    <w:uiPriority w:val="99"/>
    <w:qFormat/>
    <w:rsid w:val="00DD23AB"/>
    <w:pPr>
      <w:tabs>
        <w:tab w:val="left" w:pos="993"/>
        <w:tab w:val="left" w:pos="1985"/>
      </w:tabs>
      <w:spacing w:before="113" w:after="57" w:line="220" w:lineRule="exact"/>
      <w:ind w:firstLine="397"/>
      <w:jc w:val="both"/>
    </w:pPr>
    <w:rPr>
      <w:rFonts w:ascii="Dallak Helv" w:hAnsi="Dallak Helv"/>
      <w:b/>
      <w:noProof/>
      <w:sz w:val="18"/>
      <w:szCs w:val="20"/>
    </w:rPr>
  </w:style>
  <w:style w:type="paragraph" w:customStyle="1" w:styleId="p14">
    <w:name w:val="p14"/>
    <w:basedOn w:val="Normal"/>
    <w:uiPriority w:val="99"/>
    <w:qFormat/>
    <w:rsid w:val="00DD23AB"/>
    <w:pPr>
      <w:spacing w:before="100" w:beforeAutospacing="1" w:after="100" w:afterAutospacing="1"/>
    </w:pPr>
    <w:rPr>
      <w:rFonts w:ascii="Times New Roman" w:hAnsi="Times New Roman"/>
    </w:rPr>
  </w:style>
  <w:style w:type="paragraph" w:customStyle="1" w:styleId="paragraph">
    <w:name w:val="paragraph"/>
    <w:basedOn w:val="Normal"/>
    <w:uiPriority w:val="99"/>
    <w:qFormat/>
    <w:rsid w:val="00DD23AB"/>
    <w:pPr>
      <w:spacing w:before="100" w:beforeAutospacing="1" w:after="100" w:afterAutospacing="1"/>
    </w:pPr>
    <w:rPr>
      <w:rFonts w:ascii="Times New Roman" w:hAnsi="Times New Roman"/>
    </w:rPr>
  </w:style>
  <w:style w:type="character" w:customStyle="1" w:styleId="normaltextrun">
    <w:name w:val="normaltextrun"/>
    <w:uiPriority w:val="99"/>
    <w:rsid w:val="00DD23AB"/>
  </w:style>
  <w:style w:type="character" w:customStyle="1" w:styleId="eop">
    <w:name w:val="eop"/>
    <w:uiPriority w:val="99"/>
    <w:rsid w:val="00DD23AB"/>
  </w:style>
  <w:style w:type="character" w:customStyle="1" w:styleId="FontStyle29">
    <w:name w:val="Font Style29"/>
    <w:uiPriority w:val="99"/>
    <w:rsid w:val="00DD23AB"/>
    <w:rPr>
      <w:rFonts w:ascii="Tahoma" w:hAnsi="Tahoma" w:cs="Tahoma"/>
      <w:color w:val="000000"/>
      <w:sz w:val="16"/>
      <w:szCs w:val="16"/>
    </w:rPr>
  </w:style>
  <w:style w:type="character" w:customStyle="1" w:styleId="accent">
    <w:name w:val="accent"/>
    <w:uiPriority w:val="99"/>
    <w:rsid w:val="00DD23AB"/>
  </w:style>
  <w:style w:type="character" w:customStyle="1" w:styleId="null">
    <w:name w:val="null"/>
    <w:uiPriority w:val="99"/>
    <w:rsid w:val="00DD23AB"/>
    <w:rPr>
      <w:rFonts w:cs="Times New Roman"/>
    </w:rPr>
  </w:style>
  <w:style w:type="character" w:customStyle="1" w:styleId="a7">
    <w:name w:val="_"/>
    <w:uiPriority w:val="99"/>
    <w:rsid w:val="00DD23AB"/>
  </w:style>
  <w:style w:type="character" w:customStyle="1" w:styleId="FontStyle19">
    <w:name w:val="Font Style19"/>
    <w:uiPriority w:val="99"/>
    <w:rsid w:val="00DD23AB"/>
    <w:rPr>
      <w:rFonts w:ascii="Tahoma" w:hAnsi="Tahoma" w:cs="Tahoma"/>
      <w:sz w:val="20"/>
      <w:szCs w:val="20"/>
    </w:rPr>
  </w:style>
  <w:style w:type="character" w:customStyle="1" w:styleId="FontStyle22">
    <w:name w:val="Font Style22"/>
    <w:uiPriority w:val="99"/>
    <w:rsid w:val="00DD23AB"/>
    <w:rPr>
      <w:rFonts w:ascii="Tahoma" w:hAnsi="Tahoma" w:cs="Tahoma"/>
      <w:sz w:val="20"/>
      <w:szCs w:val="20"/>
    </w:rPr>
  </w:style>
  <w:style w:type="paragraph" w:customStyle="1" w:styleId="100">
    <w:name w:val="Основной текст10"/>
    <w:basedOn w:val="Normal"/>
    <w:uiPriority w:val="99"/>
    <w:qFormat/>
    <w:rsid w:val="00DD23AB"/>
    <w:pPr>
      <w:shd w:val="clear" w:color="auto" w:fill="FFFFFF"/>
      <w:spacing w:before="420" w:line="470" w:lineRule="exact"/>
      <w:jc w:val="both"/>
    </w:pPr>
    <w:rPr>
      <w:rFonts w:ascii="Sylfaen" w:eastAsia="Sylfaen" w:hAnsi="Sylfaen" w:cs="Sylfaen"/>
      <w:sz w:val="22"/>
      <w:szCs w:val="22"/>
    </w:rPr>
  </w:style>
  <w:style w:type="character" w:customStyle="1" w:styleId="34">
    <w:name w:val="Основной текст3"/>
    <w:uiPriority w:val="99"/>
    <w:rsid w:val="00DD23AB"/>
    <w:rPr>
      <w:rFonts w:ascii="Sylfaen" w:eastAsia="Sylfaen" w:hAnsi="Sylfaen" w:cs="Sylfaen"/>
      <w:sz w:val="19"/>
      <w:szCs w:val="19"/>
      <w:shd w:val="clear" w:color="auto" w:fill="FFFFFF"/>
      <w:lang w:bidi="ar-SA"/>
    </w:rPr>
  </w:style>
  <w:style w:type="character" w:customStyle="1" w:styleId="1pt">
    <w:name w:val="Основной текст + Интервал 1 pt"/>
    <w:uiPriority w:val="99"/>
    <w:rsid w:val="00DD23AB"/>
    <w:rPr>
      <w:rFonts w:ascii="Sylfaen" w:eastAsia="Sylfaen" w:hAnsi="Sylfaen" w:cs="Sylfaen"/>
      <w:spacing w:val="30"/>
      <w:sz w:val="19"/>
      <w:szCs w:val="19"/>
      <w:shd w:val="clear" w:color="auto" w:fill="FFFFFF"/>
      <w:lang w:bidi="ar-SA"/>
    </w:rPr>
  </w:style>
  <w:style w:type="character" w:customStyle="1" w:styleId="42">
    <w:name w:val="Основной текст4"/>
    <w:uiPriority w:val="99"/>
    <w:rsid w:val="00DD23AB"/>
    <w:rPr>
      <w:rFonts w:ascii="Sylfaen" w:eastAsia="Sylfaen" w:hAnsi="Sylfaen" w:cs="Sylfaen"/>
      <w:sz w:val="19"/>
      <w:szCs w:val="19"/>
      <w:shd w:val="clear" w:color="auto" w:fill="FFFFFF"/>
      <w:lang w:bidi="ar-SA"/>
    </w:rPr>
  </w:style>
  <w:style w:type="character" w:customStyle="1" w:styleId="m-5230213193050876883s1">
    <w:name w:val="m_-5230213193050876883s1"/>
    <w:uiPriority w:val="99"/>
    <w:rsid w:val="00DD23AB"/>
  </w:style>
  <w:style w:type="paragraph" w:customStyle="1" w:styleId="m-5230213193050876883p1">
    <w:name w:val="m_-5230213193050876883p1"/>
    <w:basedOn w:val="Normal"/>
    <w:uiPriority w:val="99"/>
    <w:qFormat/>
    <w:rsid w:val="00DD23AB"/>
    <w:pPr>
      <w:spacing w:before="100" w:beforeAutospacing="1" w:after="100" w:afterAutospacing="1"/>
    </w:pPr>
    <w:rPr>
      <w:rFonts w:ascii="Times New Roman" w:hAnsi="Times New Roman"/>
      <w:lang w:val="ru-RU" w:eastAsia="ru-RU"/>
    </w:rPr>
  </w:style>
  <w:style w:type="character" w:customStyle="1" w:styleId="BodyText30">
    <w:name w:val="Body Text3"/>
    <w:uiPriority w:val="99"/>
    <w:rsid w:val="00DD23AB"/>
    <w:rPr>
      <w:rFonts w:ascii="Tahoma" w:eastAsia="Times New Roman" w:hAnsi="Tahoma" w:cs="Tahoma"/>
      <w:color w:val="000000"/>
      <w:spacing w:val="0"/>
      <w:w w:val="100"/>
      <w:position w:val="0"/>
      <w:sz w:val="17"/>
      <w:szCs w:val="17"/>
      <w:shd w:val="clear" w:color="auto" w:fill="FFFFFF"/>
      <w:lang w:val="hy-AM"/>
    </w:rPr>
  </w:style>
  <w:style w:type="character" w:customStyle="1" w:styleId="Bodytext7">
    <w:name w:val="Body text (7)"/>
    <w:uiPriority w:val="99"/>
    <w:rsid w:val="00DD23AB"/>
    <w:rPr>
      <w:rFonts w:ascii="Tahoma" w:eastAsia="Times New Roman" w:hAnsi="Tahoma" w:cs="Tahoma"/>
      <w:b/>
      <w:bCs/>
      <w:color w:val="000000"/>
      <w:spacing w:val="0"/>
      <w:w w:val="100"/>
      <w:position w:val="0"/>
      <w:sz w:val="18"/>
      <w:szCs w:val="18"/>
      <w:u w:val="none"/>
      <w:effect w:val="none"/>
      <w:lang w:val="hy-AM"/>
    </w:rPr>
  </w:style>
  <w:style w:type="character" w:customStyle="1" w:styleId="Bodytext213pt">
    <w:name w:val="Body text (2) + 13 pt"/>
    <w:uiPriority w:val="99"/>
    <w:rsid w:val="00DD23AB"/>
    <w:rPr>
      <w:rFonts w:ascii="Sylfaen" w:eastAsia="Sylfaen" w:hAnsi="Sylfaen" w:cs="Sylfaen"/>
      <w:spacing w:val="20"/>
      <w:sz w:val="26"/>
      <w:szCs w:val="26"/>
      <w:u w:val="none"/>
      <w:shd w:val="clear" w:color="auto" w:fill="FFFFFF"/>
    </w:rPr>
  </w:style>
  <w:style w:type="paragraph" w:customStyle="1" w:styleId="WW-Default">
    <w:name w:val="WW-Default"/>
    <w:uiPriority w:val="99"/>
    <w:qFormat/>
    <w:rsid w:val="00DD23AB"/>
    <w:pPr>
      <w:suppressAutoHyphens/>
      <w:autoSpaceDE w:val="0"/>
    </w:pPr>
    <w:rPr>
      <w:rFonts w:ascii="Times Armenian" w:hAnsi="Times Armenian" w:cs="Times Armenian"/>
      <w:color w:val="000000"/>
      <w:sz w:val="24"/>
      <w:szCs w:val="24"/>
      <w:lang w:eastAsia="zh-CN"/>
    </w:rPr>
  </w:style>
  <w:style w:type="character" w:customStyle="1" w:styleId="stmainservices">
    <w:name w:val="stmainservices"/>
    <w:uiPriority w:val="99"/>
    <w:rsid w:val="00DD23AB"/>
  </w:style>
  <w:style w:type="character" w:customStyle="1" w:styleId="stbubblehcount">
    <w:name w:val="stbubble_hcount"/>
    <w:uiPriority w:val="99"/>
    <w:rsid w:val="00DD23AB"/>
  </w:style>
  <w:style w:type="character" w:customStyle="1" w:styleId="chicklets">
    <w:name w:val="chicklets"/>
    <w:uiPriority w:val="99"/>
    <w:rsid w:val="00DD23AB"/>
  </w:style>
  <w:style w:type="paragraph" w:customStyle="1" w:styleId="p1">
    <w:name w:val="p1"/>
    <w:basedOn w:val="Normal"/>
    <w:uiPriority w:val="99"/>
    <w:qFormat/>
    <w:rsid w:val="00DD23AB"/>
    <w:pPr>
      <w:spacing w:before="100" w:beforeAutospacing="1" w:after="100" w:afterAutospacing="1"/>
    </w:pPr>
    <w:rPr>
      <w:rFonts w:ascii="Times New Roman" w:hAnsi="Times New Roman"/>
    </w:rPr>
  </w:style>
  <w:style w:type="character" w:customStyle="1" w:styleId="s1">
    <w:name w:val="s1"/>
    <w:uiPriority w:val="99"/>
    <w:rsid w:val="00DD23AB"/>
  </w:style>
  <w:style w:type="paragraph" w:customStyle="1" w:styleId="pers-title">
    <w:name w:val="pers-title"/>
    <w:basedOn w:val="Normal"/>
    <w:uiPriority w:val="99"/>
    <w:qFormat/>
    <w:rsid w:val="00DD23AB"/>
    <w:pPr>
      <w:spacing w:before="100" w:beforeAutospacing="1" w:after="100" w:afterAutospacing="1"/>
    </w:pPr>
    <w:rPr>
      <w:rFonts w:ascii="Times New Roman" w:hAnsi="Times New Roman"/>
    </w:rPr>
  </w:style>
  <w:style w:type="paragraph" w:customStyle="1" w:styleId="intro">
    <w:name w:val="intro"/>
    <w:basedOn w:val="Normal"/>
    <w:uiPriority w:val="99"/>
    <w:qFormat/>
    <w:rsid w:val="00DD23AB"/>
    <w:pPr>
      <w:spacing w:before="100" w:beforeAutospacing="1" w:after="100" w:afterAutospacing="1"/>
    </w:pPr>
    <w:rPr>
      <w:rFonts w:ascii="Times New Roman" w:hAnsi="Times New Roman"/>
    </w:rPr>
  </w:style>
  <w:style w:type="paragraph" w:customStyle="1" w:styleId="newstimeplace">
    <w:name w:val="news_time_place"/>
    <w:basedOn w:val="Normal"/>
    <w:uiPriority w:val="99"/>
    <w:qFormat/>
    <w:rsid w:val="00DD23AB"/>
    <w:pPr>
      <w:spacing w:before="100" w:beforeAutospacing="1" w:after="100" w:afterAutospacing="1"/>
    </w:pPr>
    <w:rPr>
      <w:rFonts w:ascii="Times New Roman" w:hAnsi="Times New Roman"/>
    </w:rPr>
  </w:style>
  <w:style w:type="character" w:customStyle="1" w:styleId="Bodytext216pt1">
    <w:name w:val="Body text (2) + 16 pt1"/>
    <w:aliases w:val="Italic1,Spacing -1 pt1,Body text (4) + 6.5 pt"/>
    <w:uiPriority w:val="99"/>
    <w:rsid w:val="00DD23AB"/>
    <w:rPr>
      <w:rFonts w:ascii="Arial Unicode MS" w:eastAsia="Arial Unicode MS" w:hAnsi="Sylfaen" w:cs="Arial Unicode MS"/>
      <w:i/>
      <w:iCs/>
      <w:spacing w:val="-20"/>
      <w:sz w:val="32"/>
      <w:szCs w:val="32"/>
      <w:u w:val="none"/>
      <w:shd w:val="clear" w:color="auto" w:fill="FFFFFF"/>
    </w:rPr>
  </w:style>
  <w:style w:type="character" w:customStyle="1" w:styleId="Bodytext216pt">
    <w:name w:val="Body text (2) + 16 pt"/>
    <w:aliases w:val="Italic,Spacing -1 pt,Body text (3) + Not Bold,Body text (2) + 11.5 pt"/>
    <w:uiPriority w:val="99"/>
    <w:rsid w:val="00DD23AB"/>
    <w:rPr>
      <w:rFonts w:ascii="Arial Unicode MS" w:eastAsia="Arial Unicode MS" w:hAnsi="Sylfaen" w:cs="Arial Unicode MS"/>
      <w:i/>
      <w:iCs/>
      <w:color w:val="2949AD"/>
      <w:spacing w:val="-20"/>
      <w:sz w:val="32"/>
      <w:szCs w:val="32"/>
      <w:u w:val="none"/>
      <w:shd w:val="clear" w:color="auto" w:fill="FFFFFF"/>
    </w:rPr>
  </w:style>
  <w:style w:type="character" w:customStyle="1" w:styleId="Bodytext31">
    <w:name w:val="Body text (3)_"/>
    <w:link w:val="Bodytext32"/>
    <w:uiPriority w:val="99"/>
    <w:rsid w:val="00DD23AB"/>
    <w:rPr>
      <w:rFonts w:ascii="Arial Unicode MS" w:eastAsia="Arial Unicode MS" w:cs="Arial Unicode MS"/>
      <w:b/>
      <w:bCs/>
      <w:sz w:val="32"/>
      <w:szCs w:val="32"/>
      <w:shd w:val="clear" w:color="auto" w:fill="FFFFFF"/>
    </w:rPr>
  </w:style>
  <w:style w:type="paragraph" w:customStyle="1" w:styleId="Bodytext32">
    <w:name w:val="Body text (3)"/>
    <w:basedOn w:val="Normal"/>
    <w:link w:val="Bodytext31"/>
    <w:uiPriority w:val="99"/>
    <w:qFormat/>
    <w:rsid w:val="00DD23AB"/>
    <w:pPr>
      <w:widowControl w:val="0"/>
      <w:shd w:val="clear" w:color="auto" w:fill="FFFFFF"/>
      <w:spacing w:after="720" w:line="367" w:lineRule="exact"/>
      <w:jc w:val="center"/>
    </w:pPr>
    <w:rPr>
      <w:rFonts w:ascii="Arial Unicode MS" w:eastAsia="Arial Unicode MS" w:hAnsi="Times New Roman"/>
      <w:b/>
      <w:bCs/>
      <w:sz w:val="32"/>
      <w:szCs w:val="32"/>
    </w:rPr>
  </w:style>
  <w:style w:type="character" w:customStyle="1" w:styleId="Bodytext2105pt">
    <w:name w:val="Body text (2) + 10.5 pt"/>
    <w:aliases w:val="Small Caps,Spacing 0 pt2,Scaling 150%,Body text (2) + 10 pt,Body text (2) + 11 pt1"/>
    <w:uiPriority w:val="99"/>
    <w:rsid w:val="00DD23AB"/>
    <w:rPr>
      <w:rFonts w:ascii="Arial Unicode MS" w:eastAsia="Arial Unicode MS" w:hAnsi="Sylfaen" w:cs="Arial Unicode MS"/>
      <w:smallCaps/>
      <w:spacing w:val="-10"/>
      <w:w w:val="150"/>
      <w:sz w:val="21"/>
      <w:szCs w:val="21"/>
      <w:u w:val="none"/>
      <w:shd w:val="clear" w:color="auto" w:fill="FFFFFF"/>
    </w:rPr>
  </w:style>
  <w:style w:type="character" w:customStyle="1" w:styleId="Bodytext2105pt1">
    <w:name w:val="Body text (2) + 10.5 pt1"/>
    <w:aliases w:val="Spacing 0 pt1,Scaling 150%1"/>
    <w:uiPriority w:val="99"/>
    <w:rsid w:val="00DD23AB"/>
    <w:rPr>
      <w:rFonts w:ascii="Arial Unicode MS" w:eastAsia="Arial Unicode MS" w:hAnsi="Sylfaen" w:cs="Arial Unicode MS"/>
      <w:spacing w:val="-10"/>
      <w:w w:val="150"/>
      <w:sz w:val="21"/>
      <w:szCs w:val="21"/>
      <w:u w:val="none"/>
      <w:shd w:val="clear" w:color="auto" w:fill="FFFFFF"/>
    </w:rPr>
  </w:style>
  <w:style w:type="character" w:customStyle="1" w:styleId="Bodytext4">
    <w:name w:val="Body text (4)_"/>
    <w:link w:val="Bodytext40"/>
    <w:uiPriority w:val="99"/>
    <w:rsid w:val="00DD23AB"/>
    <w:rPr>
      <w:rFonts w:ascii="Arial Unicode MS" w:eastAsia="Arial Unicode MS" w:cs="Arial Unicode MS"/>
      <w:i/>
      <w:iCs/>
      <w:spacing w:val="-20"/>
      <w:sz w:val="28"/>
      <w:szCs w:val="28"/>
      <w:shd w:val="clear" w:color="auto" w:fill="FFFFFF"/>
    </w:rPr>
  </w:style>
  <w:style w:type="paragraph" w:customStyle="1" w:styleId="Bodytext40">
    <w:name w:val="Body text (4)"/>
    <w:basedOn w:val="Normal"/>
    <w:link w:val="Bodytext4"/>
    <w:uiPriority w:val="99"/>
    <w:qFormat/>
    <w:rsid w:val="00DD23AB"/>
    <w:pPr>
      <w:widowControl w:val="0"/>
      <w:shd w:val="clear" w:color="auto" w:fill="FFFFFF"/>
      <w:spacing w:before="480" w:after="360" w:line="370" w:lineRule="exact"/>
      <w:ind w:firstLine="84"/>
    </w:pPr>
    <w:rPr>
      <w:rFonts w:ascii="Arial Unicode MS" w:eastAsia="Arial Unicode MS" w:hAnsi="Times New Roman"/>
      <w:i/>
      <w:iCs/>
      <w:spacing w:val="-20"/>
      <w:sz w:val="28"/>
      <w:szCs w:val="28"/>
    </w:rPr>
  </w:style>
  <w:style w:type="character" w:customStyle="1" w:styleId="Bodytext4Bold">
    <w:name w:val="Body text (4) + Bold"/>
    <w:aliases w:val="Spacing 0 pt"/>
    <w:uiPriority w:val="99"/>
    <w:rsid w:val="00DD23AB"/>
    <w:rPr>
      <w:rFonts w:ascii="Arial Unicode MS" w:eastAsia="Arial Unicode MS" w:cs="Arial Unicode MS"/>
      <w:b/>
      <w:bCs/>
      <w:i/>
      <w:iCs/>
      <w:spacing w:val="-10"/>
      <w:sz w:val="28"/>
      <w:szCs w:val="28"/>
      <w:shd w:val="clear" w:color="auto" w:fill="FFFFFF"/>
    </w:rPr>
  </w:style>
  <w:style w:type="character" w:customStyle="1" w:styleId="Bodytext311pt">
    <w:name w:val="Body text (3) + 11 pt"/>
    <w:aliases w:val="Not Bold,Body text (3) + 4 pt,Scaling 120%"/>
    <w:uiPriority w:val="99"/>
    <w:rsid w:val="00DD23AB"/>
    <w:rPr>
      <w:rFonts w:ascii="Arial Unicode MS" w:eastAsia="Arial Unicode MS" w:cs="Arial Unicode MS"/>
      <w:b/>
      <w:bCs/>
      <w:sz w:val="22"/>
      <w:szCs w:val="22"/>
      <w:u w:val="none"/>
      <w:shd w:val="clear" w:color="auto" w:fill="FFFFFF"/>
    </w:rPr>
  </w:style>
  <w:style w:type="character" w:customStyle="1" w:styleId="Headerorfooter">
    <w:name w:val="Header or footer_"/>
    <w:link w:val="Headerorfooter1"/>
    <w:uiPriority w:val="99"/>
    <w:rsid w:val="00DD23AB"/>
    <w:rPr>
      <w:rFonts w:ascii="Arial Unicode MS" w:eastAsia="Arial Unicode MS" w:cs="Arial Unicode MS"/>
      <w:sz w:val="24"/>
      <w:szCs w:val="24"/>
      <w:shd w:val="clear" w:color="auto" w:fill="FFFFFF"/>
    </w:rPr>
  </w:style>
  <w:style w:type="paragraph" w:customStyle="1" w:styleId="Headerorfooter1">
    <w:name w:val="Header or footer1"/>
    <w:basedOn w:val="Normal"/>
    <w:link w:val="Headerorfooter"/>
    <w:uiPriority w:val="99"/>
    <w:qFormat/>
    <w:rsid w:val="00DD23AB"/>
    <w:pPr>
      <w:widowControl w:val="0"/>
      <w:shd w:val="clear" w:color="auto" w:fill="FFFFFF"/>
      <w:spacing w:line="240" w:lineRule="atLeast"/>
      <w:ind w:firstLine="77"/>
    </w:pPr>
    <w:rPr>
      <w:rFonts w:ascii="Arial Unicode MS" w:eastAsia="Arial Unicode MS" w:hAnsi="Times New Roman"/>
    </w:rPr>
  </w:style>
  <w:style w:type="character" w:customStyle="1" w:styleId="HeaderorfooterSylfaen">
    <w:name w:val="Header or footer + Sylfaen"/>
    <w:aliases w:val="13 pt,Scaling 66%"/>
    <w:uiPriority w:val="99"/>
    <w:rsid w:val="00DD23AB"/>
    <w:rPr>
      <w:rFonts w:ascii="Sylfaen" w:eastAsia="Arial Unicode MS" w:hAnsi="Sylfaen" w:cs="Sylfaen"/>
      <w:w w:val="66"/>
      <w:sz w:val="26"/>
      <w:szCs w:val="26"/>
      <w:shd w:val="clear" w:color="auto" w:fill="FFFFFF"/>
    </w:rPr>
  </w:style>
  <w:style w:type="character" w:customStyle="1" w:styleId="Headerorfooter0">
    <w:name w:val="Header or footer"/>
    <w:uiPriority w:val="99"/>
    <w:rsid w:val="00DD23AB"/>
  </w:style>
  <w:style w:type="character" w:customStyle="1" w:styleId="Bodytext2Spacing-1pt">
    <w:name w:val="Body text (2) + Spacing -1 pt"/>
    <w:uiPriority w:val="99"/>
    <w:rsid w:val="00DD23AB"/>
    <w:rPr>
      <w:rFonts w:ascii="Arial Unicode MS" w:eastAsia="Arial Unicode MS" w:hAnsi="Sylfaen" w:cs="Arial Unicode MS"/>
      <w:spacing w:val="-30"/>
      <w:sz w:val="30"/>
      <w:szCs w:val="30"/>
      <w:u w:val="none"/>
      <w:shd w:val="clear" w:color="auto" w:fill="FFFFFF"/>
    </w:rPr>
  </w:style>
  <w:style w:type="character" w:customStyle="1" w:styleId="Bodytext211pt">
    <w:name w:val="Body text (2) + 11 pt"/>
    <w:uiPriority w:val="99"/>
    <w:rsid w:val="00DD23AB"/>
    <w:rPr>
      <w:rFonts w:ascii="Arial Unicode MS" w:eastAsia="Arial Unicode MS" w:hAnsi="Sylfaen" w:cs="Arial Unicode MS"/>
      <w:spacing w:val="20"/>
      <w:sz w:val="22"/>
      <w:szCs w:val="22"/>
      <w:u w:val="none"/>
      <w:shd w:val="clear" w:color="auto" w:fill="FFFFFF"/>
    </w:rPr>
  </w:style>
  <w:style w:type="character" w:customStyle="1" w:styleId="Footnote2">
    <w:name w:val="Footnote (2)_"/>
    <w:link w:val="Footnote21"/>
    <w:uiPriority w:val="99"/>
    <w:rsid w:val="00DD23AB"/>
    <w:rPr>
      <w:rFonts w:ascii="Arial Unicode MS" w:eastAsia="Arial Unicode MS" w:cs="Arial Unicode MS"/>
      <w:shd w:val="clear" w:color="auto" w:fill="FFFFFF"/>
    </w:rPr>
  </w:style>
  <w:style w:type="paragraph" w:customStyle="1" w:styleId="Footnote21">
    <w:name w:val="Footnote (2)1"/>
    <w:basedOn w:val="Normal"/>
    <w:link w:val="Footnote2"/>
    <w:uiPriority w:val="99"/>
    <w:qFormat/>
    <w:rsid w:val="00DD23AB"/>
    <w:pPr>
      <w:widowControl w:val="0"/>
      <w:shd w:val="clear" w:color="auto" w:fill="FFFFFF"/>
      <w:spacing w:line="240" w:lineRule="atLeast"/>
      <w:ind w:firstLine="36"/>
      <w:jc w:val="both"/>
    </w:pPr>
    <w:rPr>
      <w:rFonts w:ascii="Arial Unicode MS" w:eastAsia="Arial Unicode MS" w:hAnsi="Times New Roman"/>
      <w:sz w:val="20"/>
      <w:szCs w:val="20"/>
    </w:rPr>
  </w:style>
  <w:style w:type="character" w:customStyle="1" w:styleId="Footnote20">
    <w:name w:val="Footnote (2)"/>
    <w:uiPriority w:val="99"/>
    <w:rsid w:val="00DD23AB"/>
    <w:rPr>
      <w:rFonts w:ascii="Arial Unicode MS" w:eastAsia="Arial Unicode MS" w:cs="Arial Unicode MS"/>
      <w:color w:val="78AAC6"/>
      <w:u w:val="single"/>
      <w:shd w:val="clear" w:color="auto" w:fill="FFFFFF"/>
    </w:rPr>
  </w:style>
  <w:style w:type="character" w:customStyle="1" w:styleId="Footnote22">
    <w:name w:val="Footnote (2)2"/>
    <w:uiPriority w:val="99"/>
    <w:rsid w:val="00DD23AB"/>
    <w:rPr>
      <w:rFonts w:ascii="Arial Unicode MS" w:eastAsia="Arial Unicode MS" w:cs="Arial Unicode MS"/>
      <w:color w:val="78AAC6"/>
      <w:shd w:val="clear" w:color="auto" w:fill="FFFFFF"/>
    </w:rPr>
  </w:style>
  <w:style w:type="character" w:customStyle="1" w:styleId="Bodytext34pt1">
    <w:name w:val="Body text (3) + 4 pt1"/>
    <w:aliases w:val="Not Bold1"/>
    <w:uiPriority w:val="99"/>
    <w:rsid w:val="00DD23AB"/>
    <w:rPr>
      <w:rFonts w:ascii="Sylfaen" w:eastAsia="Arial Unicode MS" w:hAnsi="Sylfaen" w:cs="Sylfaen"/>
      <w:b/>
      <w:bCs/>
      <w:sz w:val="8"/>
      <w:szCs w:val="8"/>
      <w:u w:val="none"/>
      <w:shd w:val="clear" w:color="auto" w:fill="FFFFFF"/>
    </w:rPr>
  </w:style>
  <w:style w:type="paragraph" w:customStyle="1" w:styleId="Bodytext210">
    <w:name w:val="Body text (2)1"/>
    <w:basedOn w:val="Normal"/>
    <w:uiPriority w:val="99"/>
    <w:qFormat/>
    <w:rsid w:val="00DD23AB"/>
    <w:pPr>
      <w:widowControl w:val="0"/>
      <w:shd w:val="clear" w:color="auto" w:fill="FFFFFF"/>
      <w:spacing w:line="446" w:lineRule="exact"/>
      <w:ind w:hanging="361"/>
    </w:pPr>
    <w:rPr>
      <w:rFonts w:ascii="Arial Unicode MS" w:eastAsia="Arial Unicode MS" w:hAnsi="Times New Roman" w:cs="Arial Unicode MS"/>
      <w:sz w:val="30"/>
      <w:szCs w:val="30"/>
      <w:lang w:val="hy-AM"/>
    </w:rPr>
  </w:style>
  <w:style w:type="character" w:customStyle="1" w:styleId="Bodytext23">
    <w:name w:val="Body text (2)3"/>
    <w:uiPriority w:val="99"/>
    <w:rsid w:val="00DD23AB"/>
    <w:rPr>
      <w:rFonts w:ascii="Arial Unicode MS" w:eastAsia="Arial Unicode MS" w:hAnsi="Sylfaen" w:cs="Arial Unicode MS"/>
      <w:color w:val="6B6B6B"/>
      <w:spacing w:val="20"/>
      <w:sz w:val="30"/>
      <w:szCs w:val="30"/>
      <w:u w:val="none"/>
      <w:shd w:val="clear" w:color="auto" w:fill="FFFFFF"/>
    </w:rPr>
  </w:style>
  <w:style w:type="character" w:customStyle="1" w:styleId="Bodytext220">
    <w:name w:val="Body text (2)2"/>
    <w:uiPriority w:val="99"/>
    <w:rsid w:val="00DD23AB"/>
    <w:rPr>
      <w:rFonts w:ascii="Arial Unicode MS" w:eastAsia="Arial Unicode MS" w:hAnsi="Sylfaen" w:cs="Arial Unicode MS"/>
      <w:color w:val="464646"/>
      <w:spacing w:val="20"/>
      <w:sz w:val="30"/>
      <w:szCs w:val="30"/>
      <w:u w:val="none"/>
      <w:shd w:val="clear" w:color="auto" w:fill="FFFFFF"/>
    </w:rPr>
  </w:style>
  <w:style w:type="character" w:customStyle="1" w:styleId="HTMLPreformattedChar1">
    <w:name w:val="HTML Preformatted Char1"/>
    <w:uiPriority w:val="99"/>
    <w:semiHidden/>
    <w:rsid w:val="00DD23AB"/>
    <w:rPr>
      <w:rFonts w:ascii="Consolas" w:hAnsi="Consolas" w:cs="Consolas"/>
      <w:sz w:val="20"/>
      <w:szCs w:val="20"/>
    </w:rPr>
  </w:style>
  <w:style w:type="character" w:customStyle="1" w:styleId="FontStyle32">
    <w:name w:val="Font Style32"/>
    <w:uiPriority w:val="99"/>
    <w:rsid w:val="00DD23AB"/>
    <w:rPr>
      <w:rFonts w:ascii="Tahoma" w:hAnsi="Tahoma" w:cs="Tahoma"/>
      <w:sz w:val="20"/>
      <w:szCs w:val="20"/>
    </w:rPr>
  </w:style>
  <w:style w:type="character" w:customStyle="1" w:styleId="Bodytext42">
    <w:name w:val="Body text (4)2"/>
    <w:uiPriority w:val="99"/>
    <w:rsid w:val="00DD23AB"/>
    <w:rPr>
      <w:rFonts w:ascii="Sylfaen" w:eastAsia="Arial Unicode MS" w:hAnsi="Sylfaen" w:cs="Sylfaen"/>
      <w:i/>
      <w:iCs/>
      <w:color w:val="43476D"/>
      <w:spacing w:val="20"/>
      <w:w w:val="80"/>
      <w:sz w:val="24"/>
      <w:szCs w:val="24"/>
      <w:u w:val="none"/>
      <w:shd w:val="clear" w:color="auto" w:fill="FFFFFF"/>
    </w:rPr>
  </w:style>
  <w:style w:type="paragraph" w:customStyle="1" w:styleId="Bodytext41">
    <w:name w:val="Body text (4)1"/>
    <w:basedOn w:val="Normal"/>
    <w:uiPriority w:val="99"/>
    <w:qFormat/>
    <w:rsid w:val="00DD23AB"/>
    <w:pPr>
      <w:widowControl w:val="0"/>
      <w:shd w:val="clear" w:color="auto" w:fill="FFFFFF"/>
      <w:spacing w:line="641" w:lineRule="exact"/>
      <w:ind w:firstLine="37"/>
    </w:pPr>
    <w:rPr>
      <w:rFonts w:ascii="Sylfaen" w:hAnsi="Sylfaen" w:cs="Sylfaen"/>
      <w:spacing w:val="20"/>
      <w:w w:val="80"/>
      <w:lang w:val="hy-AM"/>
    </w:rPr>
  </w:style>
  <w:style w:type="paragraph" w:customStyle="1" w:styleId="Body">
    <w:name w:val="Body"/>
    <w:uiPriority w:val="99"/>
    <w:qFormat/>
    <w:rsid w:val="00DD23AB"/>
    <w:pPr>
      <w:pBdr>
        <w:top w:val="nil"/>
        <w:left w:val="nil"/>
        <w:bottom w:val="nil"/>
        <w:right w:val="nil"/>
        <w:between w:val="nil"/>
        <w:bar w:val="nil"/>
      </w:pBdr>
    </w:pPr>
    <w:rPr>
      <w:rFonts w:ascii="Cambria" w:eastAsia="Cambria" w:hAnsi="Cambria" w:cs="Cambria"/>
      <w:color w:val="000000"/>
      <w:sz w:val="24"/>
      <w:szCs w:val="24"/>
      <w:u w:color="000000"/>
      <w:bdr w:val="nil"/>
    </w:rPr>
  </w:style>
  <w:style w:type="paragraph" w:styleId="Quote">
    <w:name w:val="Quote"/>
    <w:basedOn w:val="Normal"/>
    <w:next w:val="Normal"/>
    <w:link w:val="QuoteChar"/>
    <w:uiPriority w:val="99"/>
    <w:qFormat/>
    <w:rsid w:val="00DD23AB"/>
    <w:pPr>
      <w:spacing w:before="200" w:line="276" w:lineRule="auto"/>
      <w:ind w:left="360" w:right="360"/>
    </w:pPr>
    <w:rPr>
      <w:rFonts w:ascii="Calibri" w:eastAsia="Calibri" w:hAnsi="Calibri"/>
      <w:i/>
      <w:iCs/>
      <w:sz w:val="22"/>
      <w:szCs w:val="22"/>
      <w:lang w:val="hy-AM"/>
    </w:rPr>
  </w:style>
  <w:style w:type="character" w:customStyle="1" w:styleId="QuoteChar">
    <w:name w:val="Quote Char"/>
    <w:link w:val="Quote"/>
    <w:uiPriority w:val="99"/>
    <w:rsid w:val="00DD23AB"/>
    <w:rPr>
      <w:rFonts w:ascii="Calibri" w:eastAsia="Calibri" w:hAnsi="Calibri"/>
      <w:i/>
      <w:iCs/>
      <w:sz w:val="22"/>
      <w:szCs w:val="22"/>
      <w:lang w:val="hy-AM"/>
    </w:rPr>
  </w:style>
  <w:style w:type="character" w:styleId="SubtleEmphasis">
    <w:name w:val="Subtle Emphasis"/>
    <w:uiPriority w:val="99"/>
    <w:qFormat/>
    <w:rsid w:val="00DD23AB"/>
    <w:rPr>
      <w:i/>
      <w:iCs/>
    </w:rPr>
  </w:style>
  <w:style w:type="character" w:styleId="IntenseEmphasis">
    <w:name w:val="Intense Emphasis"/>
    <w:uiPriority w:val="99"/>
    <w:qFormat/>
    <w:rsid w:val="00DD23AB"/>
    <w:rPr>
      <w:b/>
      <w:bCs/>
    </w:rPr>
  </w:style>
  <w:style w:type="character" w:styleId="SubtleReference">
    <w:name w:val="Subtle Reference"/>
    <w:uiPriority w:val="99"/>
    <w:qFormat/>
    <w:rsid w:val="00DD23AB"/>
    <w:rPr>
      <w:smallCaps/>
    </w:rPr>
  </w:style>
  <w:style w:type="character" w:styleId="IntenseReference">
    <w:name w:val="Intense Reference"/>
    <w:uiPriority w:val="99"/>
    <w:qFormat/>
    <w:rsid w:val="00DD23AB"/>
    <w:rPr>
      <w:smallCaps/>
      <w:spacing w:val="5"/>
      <w:u w:val="single"/>
    </w:rPr>
  </w:style>
  <w:style w:type="character" w:styleId="BookTitle">
    <w:name w:val="Book Title"/>
    <w:uiPriority w:val="99"/>
    <w:qFormat/>
    <w:rsid w:val="00DD23AB"/>
    <w:rPr>
      <w:i/>
      <w:iCs/>
      <w:smallCaps/>
      <w:spacing w:val="5"/>
    </w:rPr>
  </w:style>
  <w:style w:type="character" w:customStyle="1" w:styleId="Normal1">
    <w:name w:val="Normal1"/>
    <w:uiPriority w:val="99"/>
    <w:rsid w:val="00DD23AB"/>
    <w:rPr>
      <w:rFonts w:ascii="Arial" w:hAnsi="Arial" w:cs="Arial" w:hint="default"/>
      <w:sz w:val="24"/>
    </w:rPr>
  </w:style>
  <w:style w:type="numbering" w:customStyle="1" w:styleId="NoList1">
    <w:name w:val="No List1"/>
    <w:next w:val="NoList"/>
    <w:semiHidden/>
    <w:rsid w:val="00DD23AB"/>
  </w:style>
  <w:style w:type="table" w:styleId="MediumShading1-Accent5">
    <w:name w:val="Medium Shading 1 Accent 5"/>
    <w:basedOn w:val="TableNormal"/>
    <w:uiPriority w:val="99"/>
    <w:rsid w:val="00DD23AB"/>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35">
    <w:name w:val="Без интервала3"/>
    <w:uiPriority w:val="99"/>
    <w:qFormat/>
    <w:rsid w:val="00DD23AB"/>
    <w:rPr>
      <w:rFonts w:ascii="Calibri" w:hAnsi="Calibri" w:cs="Calibri"/>
      <w:sz w:val="22"/>
      <w:szCs w:val="22"/>
    </w:rPr>
  </w:style>
  <w:style w:type="character" w:customStyle="1" w:styleId="spellingerror">
    <w:name w:val="spellingerror"/>
    <w:uiPriority w:val="99"/>
    <w:rsid w:val="00DD23AB"/>
  </w:style>
  <w:style w:type="character" w:customStyle="1" w:styleId="s2">
    <w:name w:val="s2"/>
    <w:uiPriority w:val="99"/>
    <w:rsid w:val="00DD23AB"/>
    <w:rPr>
      <w:rFonts w:cs="Times New Roman"/>
    </w:rPr>
  </w:style>
  <w:style w:type="character" w:customStyle="1" w:styleId="s4">
    <w:name w:val="s4"/>
    <w:uiPriority w:val="99"/>
    <w:rsid w:val="00DD23AB"/>
  </w:style>
  <w:style w:type="paragraph" w:customStyle="1" w:styleId="p12">
    <w:name w:val="p12"/>
    <w:basedOn w:val="Normal"/>
    <w:uiPriority w:val="99"/>
    <w:qFormat/>
    <w:rsid w:val="00DD23AB"/>
    <w:pPr>
      <w:spacing w:before="100" w:beforeAutospacing="1" w:after="100" w:afterAutospacing="1"/>
    </w:pPr>
    <w:rPr>
      <w:rFonts w:ascii="Times New Roman" w:hAnsi="Times New Roman"/>
    </w:rPr>
  </w:style>
  <w:style w:type="paragraph" w:customStyle="1" w:styleId="5">
    <w:name w:val="Основной текст5"/>
    <w:basedOn w:val="Normal"/>
    <w:uiPriority w:val="99"/>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character" w:customStyle="1" w:styleId="0pt">
    <w:name w:val="Основной текст + Интервал 0 pt"/>
    <w:uiPriority w:val="99"/>
    <w:rsid w:val="00DD23AB"/>
    <w:rPr>
      <w:rFonts w:ascii="Arial Unicode MS" w:eastAsia="Arial Unicode MS" w:hAnsi="Arial Unicode MS" w:cs="Arial Unicode MS"/>
      <w:b w:val="0"/>
      <w:bCs w:val="0"/>
      <w:i w:val="0"/>
      <w:iCs w:val="0"/>
      <w:smallCaps w:val="0"/>
      <w:strike w:val="0"/>
      <w:color w:val="000000"/>
      <w:spacing w:val="3"/>
      <w:w w:val="100"/>
      <w:position w:val="0"/>
      <w:sz w:val="26"/>
      <w:szCs w:val="26"/>
      <w:u w:val="none"/>
      <w:shd w:val="clear" w:color="auto" w:fill="FFFFFF"/>
      <w:lang w:val="hy-AM"/>
    </w:rPr>
  </w:style>
  <w:style w:type="character" w:customStyle="1" w:styleId="Impact115pt0pt">
    <w:name w:val="Основной текст + Impact.11.5 pt.Курсив.Интервал 0 pt"/>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
    <w:name w:val="Основной текст + 15 pt.Полужирный.Интервал 0 pt"/>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
    <w:name w:val="Основной текст + 11 pt.Полужирный.Интервал 0 pt"/>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table" w:styleId="LightShading-Accent5">
    <w:name w:val="Light Shading Accent 5"/>
    <w:basedOn w:val="TableNormal"/>
    <w:uiPriority w:val="99"/>
    <w:rsid w:val="00DD23AB"/>
    <w:rPr>
      <w:rFonts w:ascii="Calibri" w:eastAsia="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DD23AB"/>
    <w:rPr>
      <w:rFonts w:ascii="Calibri" w:eastAsia="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1">
    <w:name w:val="Colorful Shading Accent 1"/>
    <w:basedOn w:val="TableNormal"/>
    <w:uiPriority w:val="99"/>
    <w:rsid w:val="00DD23AB"/>
    <w:rPr>
      <w:rFonts w:ascii="Calibri" w:eastAsia="Calibri" w:hAnsi="Calibri"/>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LightShading-Accent11">
    <w:name w:val="Light Shading - Accent 11"/>
    <w:basedOn w:val="TableNormal"/>
    <w:uiPriority w:val="99"/>
    <w:rsid w:val="00DD23AB"/>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8">
    <w:name w:val="Заголовок №2_"/>
    <w:link w:val="29"/>
    <w:uiPriority w:val="99"/>
    <w:rsid w:val="00DD23AB"/>
    <w:rPr>
      <w:rFonts w:ascii="Arial Unicode MS" w:eastAsia="Arial Unicode MS" w:hAnsi="Arial Unicode MS" w:cs="Arial Unicode MS"/>
      <w:spacing w:val="3"/>
      <w:sz w:val="33"/>
      <w:szCs w:val="33"/>
      <w:shd w:val="clear" w:color="auto" w:fill="FFFFFF"/>
    </w:rPr>
  </w:style>
  <w:style w:type="paragraph" w:customStyle="1" w:styleId="29">
    <w:name w:val="Заголовок №2"/>
    <w:basedOn w:val="Normal"/>
    <w:link w:val="28"/>
    <w:uiPriority w:val="99"/>
    <w:qFormat/>
    <w:rsid w:val="00DD23AB"/>
    <w:pPr>
      <w:widowControl w:val="0"/>
      <w:shd w:val="clear" w:color="auto" w:fill="FFFFFF"/>
      <w:spacing w:before="300" w:after="120" w:line="566" w:lineRule="exact"/>
      <w:jc w:val="both"/>
      <w:outlineLvl w:val="1"/>
    </w:pPr>
    <w:rPr>
      <w:rFonts w:ascii="Arial Unicode MS" w:eastAsia="Arial Unicode MS" w:hAnsi="Arial Unicode MS"/>
      <w:spacing w:val="3"/>
      <w:sz w:val="33"/>
      <w:szCs w:val="33"/>
    </w:rPr>
  </w:style>
  <w:style w:type="paragraph" w:customStyle="1" w:styleId="CharCharCharCharCharCharCharCharCharChar3">
    <w:name w:val="Char Char Char Char Char Char Char Char Char Char3"/>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3">
    <w:name w:val="Char Char Char Char Знак Char Знак Char Char Char Char Char Char Char Char Char Char3"/>
    <w:basedOn w:val="Normal"/>
    <w:uiPriority w:val="99"/>
    <w:qFormat/>
    <w:rsid w:val="00DD23AB"/>
    <w:pPr>
      <w:tabs>
        <w:tab w:val="left" w:pos="709"/>
      </w:tabs>
    </w:pPr>
    <w:rPr>
      <w:rFonts w:ascii="Tahoma" w:hAnsi="Tahoma"/>
      <w:lang w:val="pl-PL" w:eastAsia="pl-PL"/>
    </w:rPr>
  </w:style>
  <w:style w:type="paragraph" w:customStyle="1" w:styleId="CharCharCharCharChar3">
    <w:name w:val="Char Char Char Char Char3"/>
    <w:basedOn w:val="Normal"/>
    <w:uiPriority w:val="99"/>
    <w:qFormat/>
    <w:rsid w:val="00DD23AB"/>
    <w:pPr>
      <w:spacing w:after="160" w:line="240" w:lineRule="exact"/>
    </w:pPr>
    <w:rPr>
      <w:rFonts w:ascii="Arial" w:hAnsi="Arial" w:cs="Arial"/>
      <w:sz w:val="20"/>
      <w:szCs w:val="20"/>
    </w:rPr>
  </w:style>
  <w:style w:type="paragraph" w:customStyle="1" w:styleId="ZchnZchn13">
    <w:name w:val="Zchn Zchn13"/>
    <w:basedOn w:val="Normal"/>
    <w:uiPriority w:val="99"/>
    <w:qFormat/>
    <w:rsid w:val="00DD23AB"/>
    <w:pPr>
      <w:spacing w:after="160" w:line="240" w:lineRule="exact"/>
    </w:pPr>
    <w:rPr>
      <w:rFonts w:ascii="Verdana" w:hAnsi="Verdana"/>
      <w:sz w:val="20"/>
      <w:szCs w:val="20"/>
      <w:lang w:val="en-GB"/>
    </w:rPr>
  </w:style>
  <w:style w:type="paragraph" w:customStyle="1" w:styleId="Znak3">
    <w:name w:val="Znak3"/>
    <w:basedOn w:val="Normal"/>
    <w:uiPriority w:val="99"/>
    <w:qFormat/>
    <w:rsid w:val="00DD23AB"/>
    <w:pPr>
      <w:tabs>
        <w:tab w:val="left" w:pos="709"/>
      </w:tabs>
    </w:pPr>
    <w:rPr>
      <w:rFonts w:ascii="Tahoma" w:hAnsi="Tahoma"/>
      <w:lang w:val="pl-PL" w:eastAsia="pl-PL"/>
    </w:rPr>
  </w:style>
  <w:style w:type="paragraph" w:customStyle="1" w:styleId="50">
    <w:name w:val="Знак Знак5"/>
    <w:basedOn w:val="Normal"/>
    <w:uiPriority w:val="99"/>
    <w:qFormat/>
    <w:rsid w:val="00DD23AB"/>
    <w:pPr>
      <w:spacing w:after="160" w:line="240" w:lineRule="exact"/>
    </w:pPr>
    <w:rPr>
      <w:rFonts w:ascii="Arial" w:hAnsi="Arial" w:cs="Arial"/>
      <w:sz w:val="20"/>
      <w:szCs w:val="20"/>
      <w:lang w:val="en-GB"/>
    </w:rPr>
  </w:style>
  <w:style w:type="paragraph" w:customStyle="1" w:styleId="Char13">
    <w:name w:val="Char13"/>
    <w:basedOn w:val="Normal"/>
    <w:next w:val="Normal"/>
    <w:uiPriority w:val="99"/>
    <w:qFormat/>
    <w:rsid w:val="00DD23AB"/>
    <w:pPr>
      <w:spacing w:after="160" w:line="240" w:lineRule="exact"/>
    </w:pPr>
    <w:rPr>
      <w:rFonts w:ascii="Tahoma" w:hAnsi="Tahoma"/>
      <w:szCs w:val="20"/>
    </w:rPr>
  </w:style>
  <w:style w:type="paragraph" w:customStyle="1" w:styleId="Char3CharCharChar3">
    <w:name w:val="Char3 Char Char Char3"/>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3">
    <w:name w:val="Char Char1 Char Char Char1 Char3"/>
    <w:basedOn w:val="Normal"/>
    <w:autoRedefine/>
    <w:uiPriority w:val="99"/>
    <w:qFormat/>
    <w:rsid w:val="00DD23AB"/>
    <w:rPr>
      <w:rFonts w:ascii="Times New Roman" w:eastAsia="SimSun" w:hAnsi="Times New Roman"/>
      <w:sz w:val="20"/>
      <w:szCs w:val="20"/>
      <w:lang w:eastAsia="ru-RU"/>
    </w:rPr>
  </w:style>
  <w:style w:type="character" w:customStyle="1" w:styleId="Char7">
    <w:name w:val="Char7"/>
    <w:uiPriority w:val="99"/>
    <w:rsid w:val="00DD23AB"/>
    <w:rPr>
      <w:rFonts w:ascii="Times Armenian" w:hAnsi="Times Armenian"/>
      <w:sz w:val="22"/>
      <w:lang w:val="en-GB" w:eastAsia="en-US" w:bidi="ar-SA"/>
    </w:rPr>
  </w:style>
  <w:style w:type="paragraph" w:customStyle="1" w:styleId="CharCharChar3">
    <w:name w:val="Char Char Char Знак3"/>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3">
    <w:name w:val="Char Char Char1 Char Char Char Char Char Char Char Char Char1 Char3"/>
    <w:basedOn w:val="Normal"/>
    <w:uiPriority w:val="99"/>
    <w:qFormat/>
    <w:rsid w:val="00DD23AB"/>
    <w:pPr>
      <w:spacing w:after="160" w:line="240" w:lineRule="exact"/>
    </w:pPr>
    <w:rPr>
      <w:rFonts w:ascii="Arial" w:hAnsi="Arial" w:cs="Arial"/>
      <w:sz w:val="20"/>
      <w:szCs w:val="20"/>
    </w:rPr>
  </w:style>
  <w:style w:type="paragraph" w:customStyle="1" w:styleId="130">
    <w:name w:val="Знак Знак13"/>
    <w:basedOn w:val="Normal"/>
    <w:uiPriority w:val="99"/>
    <w:qFormat/>
    <w:rsid w:val="00DD23AB"/>
    <w:pPr>
      <w:spacing w:after="160" w:line="240" w:lineRule="exact"/>
    </w:pPr>
    <w:rPr>
      <w:rFonts w:ascii="Arial" w:hAnsi="Arial" w:cs="Arial"/>
      <w:sz w:val="20"/>
      <w:szCs w:val="20"/>
    </w:rPr>
  </w:style>
  <w:style w:type="paragraph" w:customStyle="1" w:styleId="BodyText24">
    <w:name w:val="Body Text2"/>
    <w:basedOn w:val="Default"/>
    <w:next w:val="Default"/>
    <w:uiPriority w:val="99"/>
    <w:qFormat/>
    <w:rsid w:val="00DD23AB"/>
    <w:rPr>
      <w:rFonts w:ascii="Sylfaen" w:hAnsi="Sylfaen"/>
      <w:color w:val="auto"/>
    </w:rPr>
  </w:style>
  <w:style w:type="paragraph" w:customStyle="1" w:styleId="230">
    <w:name w:val="Знак Знак23"/>
    <w:basedOn w:val="Normal"/>
    <w:uiPriority w:val="99"/>
    <w:qFormat/>
    <w:rsid w:val="00DD23AB"/>
    <w:pPr>
      <w:spacing w:after="160" w:line="240" w:lineRule="exact"/>
    </w:pPr>
    <w:rPr>
      <w:rFonts w:ascii="Arial" w:hAnsi="Arial" w:cs="Arial"/>
      <w:sz w:val="20"/>
      <w:szCs w:val="20"/>
    </w:rPr>
  </w:style>
  <w:style w:type="paragraph" w:customStyle="1" w:styleId="CharCharChar30">
    <w:name w:val="Char Char Char Знак Знак3"/>
    <w:basedOn w:val="Normal"/>
    <w:uiPriority w:val="99"/>
    <w:qFormat/>
    <w:rsid w:val="00DD23AB"/>
    <w:pPr>
      <w:spacing w:after="160" w:line="240" w:lineRule="exact"/>
    </w:pPr>
    <w:rPr>
      <w:rFonts w:ascii="Arial" w:hAnsi="Arial" w:cs="Arial"/>
      <w:sz w:val="20"/>
      <w:szCs w:val="20"/>
    </w:rPr>
  </w:style>
  <w:style w:type="paragraph" w:customStyle="1" w:styleId="CharCharCharCharChar30">
    <w:name w:val="Char Char Char Char Char Знак Знак3"/>
    <w:basedOn w:val="Normal"/>
    <w:uiPriority w:val="99"/>
    <w:qFormat/>
    <w:rsid w:val="00DD23AB"/>
    <w:pPr>
      <w:spacing w:after="160" w:line="240" w:lineRule="exact"/>
    </w:pPr>
    <w:rPr>
      <w:rFonts w:ascii="Arial" w:hAnsi="Arial" w:cs="Arial"/>
      <w:sz w:val="20"/>
      <w:szCs w:val="20"/>
    </w:rPr>
  </w:style>
  <w:style w:type="character" w:customStyle="1" w:styleId="CharChar63">
    <w:name w:val="Char Char63"/>
    <w:uiPriority w:val="99"/>
    <w:rsid w:val="00DD23AB"/>
    <w:rPr>
      <w:rFonts w:ascii="Times Armenian" w:hAnsi="Times Armenian" w:cs="Arial"/>
      <w:b/>
      <w:bCs/>
      <w:i/>
      <w:noProof/>
      <w:sz w:val="26"/>
      <w:szCs w:val="26"/>
      <w:u w:val="single"/>
      <w:lang w:val="hy-AM" w:eastAsia="en-US" w:bidi="ar-SA"/>
    </w:rPr>
  </w:style>
  <w:style w:type="character" w:customStyle="1" w:styleId="CharChar53">
    <w:name w:val="Char Char53"/>
    <w:uiPriority w:val="99"/>
    <w:rsid w:val="00DD23AB"/>
    <w:rPr>
      <w:rFonts w:ascii="Times Armenian" w:hAnsi="Times Armenian"/>
      <w:noProof/>
      <w:sz w:val="24"/>
      <w:szCs w:val="24"/>
      <w:lang w:val="hy-AM" w:eastAsia="en-US" w:bidi="ar-SA"/>
    </w:rPr>
  </w:style>
  <w:style w:type="character" w:customStyle="1" w:styleId="CharChar43">
    <w:name w:val="Char Char43"/>
    <w:uiPriority w:val="99"/>
    <w:rsid w:val="00DD23AB"/>
    <w:rPr>
      <w:noProof/>
      <w:lang w:val="hy-AM" w:eastAsia="en-US" w:bidi="ar-SA"/>
    </w:rPr>
  </w:style>
  <w:style w:type="character" w:customStyle="1" w:styleId="CharChar182">
    <w:name w:val="Char Char182"/>
    <w:uiPriority w:val="99"/>
    <w:rsid w:val="00DD23AB"/>
    <w:rPr>
      <w:rFonts w:ascii="Times Armenian" w:eastAsia="Times New Roman" w:hAnsi="Times Armenian" w:cs="Times New Roman"/>
      <w:b/>
      <w:i/>
      <w:noProof/>
      <w:sz w:val="28"/>
      <w:szCs w:val="20"/>
      <w:lang w:val="hy-AM"/>
    </w:rPr>
  </w:style>
  <w:style w:type="character" w:customStyle="1" w:styleId="CharChar132">
    <w:name w:val="Char Char132"/>
    <w:uiPriority w:val="99"/>
    <w:semiHidden/>
    <w:rsid w:val="00DD23AB"/>
    <w:rPr>
      <w:rFonts w:ascii="Times New Roman" w:eastAsia="Times New Roman" w:hAnsi="Times New Roman" w:cs="Times New Roman"/>
      <w:noProof/>
      <w:sz w:val="20"/>
      <w:szCs w:val="20"/>
      <w:lang w:val="hy-AM"/>
    </w:rPr>
  </w:style>
  <w:style w:type="character" w:customStyle="1" w:styleId="CharChar122">
    <w:name w:val="Char Char122"/>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3">
    <w:name w:val="Char Char Char Char3"/>
    <w:basedOn w:val="Normal"/>
    <w:uiPriority w:val="99"/>
    <w:qFormat/>
    <w:rsid w:val="00DD23AB"/>
    <w:pPr>
      <w:spacing w:after="160" w:line="240" w:lineRule="exact"/>
    </w:pPr>
    <w:rPr>
      <w:rFonts w:ascii="Arial" w:hAnsi="Arial" w:cs="Arial"/>
      <w:sz w:val="20"/>
      <w:szCs w:val="20"/>
    </w:rPr>
  </w:style>
  <w:style w:type="character" w:customStyle="1" w:styleId="CharChar232">
    <w:name w:val="Char Char232"/>
    <w:uiPriority w:val="99"/>
    <w:rsid w:val="00DD23AB"/>
    <w:rPr>
      <w:rFonts w:ascii="Times Armenian" w:eastAsia="Times New Roman" w:hAnsi="Times Armenian" w:cs="Times New Roman"/>
      <w:noProof/>
      <w:sz w:val="24"/>
      <w:szCs w:val="24"/>
      <w:u w:val="single"/>
      <w:lang w:val="hy-AM"/>
    </w:rPr>
  </w:style>
  <w:style w:type="character" w:customStyle="1" w:styleId="CharChar242">
    <w:name w:val="Char Char242"/>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7">
    <w:name w:val="Char Char Char Char Char Char Char Char Char Char7"/>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7">
    <w:name w:val="Char Char Char Char Знак Char Знак Char Char Char Char Char Char Char Char Char Char7"/>
    <w:basedOn w:val="Normal"/>
    <w:uiPriority w:val="99"/>
    <w:qFormat/>
    <w:rsid w:val="00DD23AB"/>
    <w:pPr>
      <w:tabs>
        <w:tab w:val="left" w:pos="709"/>
      </w:tabs>
    </w:pPr>
    <w:rPr>
      <w:rFonts w:ascii="Tahoma" w:hAnsi="Tahoma"/>
      <w:lang w:val="pl-PL" w:eastAsia="pl-PL"/>
    </w:rPr>
  </w:style>
  <w:style w:type="paragraph" w:customStyle="1" w:styleId="CharCharCharCharChar7">
    <w:name w:val="Char Char Char Char Char7"/>
    <w:basedOn w:val="Normal"/>
    <w:uiPriority w:val="99"/>
    <w:qFormat/>
    <w:rsid w:val="00DD23AB"/>
    <w:pPr>
      <w:spacing w:after="160" w:line="240" w:lineRule="exact"/>
    </w:pPr>
    <w:rPr>
      <w:rFonts w:ascii="Arial" w:hAnsi="Arial" w:cs="Arial"/>
      <w:sz w:val="20"/>
      <w:szCs w:val="20"/>
    </w:rPr>
  </w:style>
  <w:style w:type="paragraph" w:customStyle="1" w:styleId="ZchnZchn17">
    <w:name w:val="Zchn Zchn17"/>
    <w:basedOn w:val="Normal"/>
    <w:uiPriority w:val="99"/>
    <w:qFormat/>
    <w:rsid w:val="00DD23AB"/>
    <w:pPr>
      <w:spacing w:after="160" w:line="240" w:lineRule="exact"/>
    </w:pPr>
    <w:rPr>
      <w:rFonts w:ascii="Verdana" w:hAnsi="Verdana"/>
      <w:sz w:val="20"/>
      <w:szCs w:val="20"/>
      <w:lang w:val="en-GB"/>
    </w:rPr>
  </w:style>
  <w:style w:type="paragraph" w:customStyle="1" w:styleId="Znak7">
    <w:name w:val="Znak7"/>
    <w:basedOn w:val="Normal"/>
    <w:uiPriority w:val="99"/>
    <w:qFormat/>
    <w:rsid w:val="00DD23AB"/>
    <w:pPr>
      <w:tabs>
        <w:tab w:val="left" w:pos="709"/>
      </w:tabs>
    </w:pPr>
    <w:rPr>
      <w:rFonts w:ascii="Tahoma" w:hAnsi="Tahoma"/>
      <w:lang w:val="pl-PL" w:eastAsia="pl-PL"/>
    </w:rPr>
  </w:style>
  <w:style w:type="paragraph" w:customStyle="1" w:styleId="9">
    <w:name w:val="Знак Знак9"/>
    <w:basedOn w:val="Normal"/>
    <w:uiPriority w:val="99"/>
    <w:qFormat/>
    <w:rsid w:val="00DD23AB"/>
    <w:pPr>
      <w:spacing w:after="160" w:line="240" w:lineRule="exact"/>
    </w:pPr>
    <w:rPr>
      <w:rFonts w:ascii="Arial" w:hAnsi="Arial" w:cs="Arial"/>
      <w:sz w:val="20"/>
      <w:szCs w:val="20"/>
      <w:lang w:val="en-GB"/>
    </w:rPr>
  </w:style>
  <w:style w:type="paragraph" w:customStyle="1" w:styleId="Char18">
    <w:name w:val="Char18"/>
    <w:basedOn w:val="Normal"/>
    <w:next w:val="Normal"/>
    <w:uiPriority w:val="99"/>
    <w:qFormat/>
    <w:rsid w:val="00DD23AB"/>
    <w:pPr>
      <w:spacing w:after="160" w:line="240" w:lineRule="exact"/>
    </w:pPr>
    <w:rPr>
      <w:rFonts w:ascii="Tahoma" w:hAnsi="Tahoma"/>
      <w:szCs w:val="20"/>
    </w:rPr>
  </w:style>
  <w:style w:type="paragraph" w:customStyle="1" w:styleId="Char3CharCharChar7">
    <w:name w:val="Char3 Char Char Char7"/>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7">
    <w:name w:val="Char Char1 Char Char Char1 Char7"/>
    <w:basedOn w:val="Normal"/>
    <w:autoRedefine/>
    <w:uiPriority w:val="99"/>
    <w:qFormat/>
    <w:rsid w:val="00DD23AB"/>
    <w:rPr>
      <w:rFonts w:ascii="Times New Roman" w:eastAsia="SimSun" w:hAnsi="Times New Roman"/>
      <w:sz w:val="20"/>
      <w:szCs w:val="20"/>
      <w:lang w:eastAsia="ru-RU"/>
    </w:rPr>
  </w:style>
  <w:style w:type="character" w:customStyle="1" w:styleId="Char17">
    <w:name w:val="Char17"/>
    <w:uiPriority w:val="99"/>
    <w:rsid w:val="00DD23AB"/>
    <w:rPr>
      <w:rFonts w:ascii="Times Armenian" w:hAnsi="Times Armenian"/>
      <w:sz w:val="22"/>
      <w:lang w:val="en-GB" w:eastAsia="en-US" w:bidi="ar-SA"/>
    </w:rPr>
  </w:style>
  <w:style w:type="paragraph" w:customStyle="1" w:styleId="CharCharChar7">
    <w:name w:val="Char Char Char Знак7"/>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7">
    <w:name w:val="Char Char Char1 Char Char Char Char Char Char Char Char Char1 Char7"/>
    <w:basedOn w:val="Normal"/>
    <w:uiPriority w:val="99"/>
    <w:qFormat/>
    <w:rsid w:val="00DD23AB"/>
    <w:pPr>
      <w:spacing w:after="160" w:line="240" w:lineRule="exact"/>
    </w:pPr>
    <w:rPr>
      <w:rFonts w:ascii="Arial" w:hAnsi="Arial" w:cs="Arial"/>
      <w:sz w:val="20"/>
      <w:szCs w:val="20"/>
    </w:rPr>
  </w:style>
  <w:style w:type="paragraph" w:customStyle="1" w:styleId="170">
    <w:name w:val="Знак Знак17"/>
    <w:basedOn w:val="Normal"/>
    <w:uiPriority w:val="99"/>
    <w:qFormat/>
    <w:rsid w:val="00DD23AB"/>
    <w:pPr>
      <w:spacing w:after="160" w:line="240" w:lineRule="exact"/>
    </w:pPr>
    <w:rPr>
      <w:rFonts w:ascii="Arial" w:hAnsi="Arial" w:cs="Arial"/>
      <w:sz w:val="20"/>
      <w:szCs w:val="20"/>
    </w:rPr>
  </w:style>
  <w:style w:type="paragraph" w:customStyle="1" w:styleId="BodyText43">
    <w:name w:val="Body Text4"/>
    <w:basedOn w:val="Default"/>
    <w:next w:val="Default"/>
    <w:uiPriority w:val="99"/>
    <w:qFormat/>
    <w:rsid w:val="00DD23AB"/>
    <w:rPr>
      <w:rFonts w:ascii="Sylfaen" w:hAnsi="Sylfaen"/>
      <w:color w:val="auto"/>
    </w:rPr>
  </w:style>
  <w:style w:type="paragraph" w:customStyle="1" w:styleId="270">
    <w:name w:val="Знак Знак27"/>
    <w:basedOn w:val="Normal"/>
    <w:uiPriority w:val="99"/>
    <w:qFormat/>
    <w:rsid w:val="00DD23AB"/>
    <w:pPr>
      <w:spacing w:after="160" w:line="240" w:lineRule="exact"/>
    </w:pPr>
    <w:rPr>
      <w:rFonts w:ascii="Arial" w:hAnsi="Arial" w:cs="Arial"/>
      <w:sz w:val="20"/>
      <w:szCs w:val="20"/>
    </w:rPr>
  </w:style>
  <w:style w:type="paragraph" w:customStyle="1" w:styleId="CharCharChar70">
    <w:name w:val="Char Char Char Знак Знак7"/>
    <w:basedOn w:val="Normal"/>
    <w:uiPriority w:val="99"/>
    <w:qFormat/>
    <w:rsid w:val="00DD23AB"/>
    <w:pPr>
      <w:spacing w:after="160" w:line="240" w:lineRule="exact"/>
    </w:pPr>
    <w:rPr>
      <w:rFonts w:ascii="Arial" w:hAnsi="Arial" w:cs="Arial"/>
      <w:sz w:val="20"/>
      <w:szCs w:val="20"/>
    </w:rPr>
  </w:style>
  <w:style w:type="paragraph" w:customStyle="1" w:styleId="CharCharCharCharChar70">
    <w:name w:val="Char Char Char Char Char Знак Знак7"/>
    <w:basedOn w:val="Normal"/>
    <w:uiPriority w:val="99"/>
    <w:qFormat/>
    <w:rsid w:val="00DD23AB"/>
    <w:pPr>
      <w:spacing w:after="160" w:line="240" w:lineRule="exact"/>
    </w:pPr>
    <w:rPr>
      <w:rFonts w:ascii="Arial" w:hAnsi="Arial" w:cs="Arial"/>
      <w:sz w:val="20"/>
      <w:szCs w:val="20"/>
    </w:rPr>
  </w:style>
  <w:style w:type="character" w:customStyle="1" w:styleId="CharChar67">
    <w:name w:val="Char Char67"/>
    <w:uiPriority w:val="99"/>
    <w:rsid w:val="00DD23AB"/>
    <w:rPr>
      <w:rFonts w:ascii="Times Armenian" w:hAnsi="Times Armenian" w:cs="Arial"/>
      <w:b/>
      <w:bCs/>
      <w:i/>
      <w:noProof/>
      <w:sz w:val="26"/>
      <w:szCs w:val="26"/>
      <w:u w:val="single"/>
      <w:lang w:val="hy-AM" w:eastAsia="en-US" w:bidi="ar-SA"/>
    </w:rPr>
  </w:style>
  <w:style w:type="character" w:customStyle="1" w:styleId="CharChar57">
    <w:name w:val="Char Char57"/>
    <w:uiPriority w:val="99"/>
    <w:rsid w:val="00DD23AB"/>
    <w:rPr>
      <w:rFonts w:ascii="Times Armenian" w:hAnsi="Times Armenian"/>
      <w:noProof/>
      <w:sz w:val="24"/>
      <w:szCs w:val="24"/>
      <w:lang w:val="hy-AM" w:eastAsia="en-US" w:bidi="ar-SA"/>
    </w:rPr>
  </w:style>
  <w:style w:type="character" w:customStyle="1" w:styleId="CharChar47">
    <w:name w:val="Char Char47"/>
    <w:uiPriority w:val="99"/>
    <w:rsid w:val="00DD23AB"/>
    <w:rPr>
      <w:noProof/>
      <w:lang w:val="hy-AM" w:eastAsia="en-US" w:bidi="ar-SA"/>
    </w:rPr>
  </w:style>
  <w:style w:type="character" w:customStyle="1" w:styleId="CharChar186">
    <w:name w:val="Char Char186"/>
    <w:uiPriority w:val="99"/>
    <w:rsid w:val="00DD23AB"/>
    <w:rPr>
      <w:rFonts w:ascii="Times Armenian" w:eastAsia="Times New Roman" w:hAnsi="Times Armenian" w:cs="Times New Roman"/>
      <w:b/>
      <w:i/>
      <w:noProof/>
      <w:sz w:val="28"/>
      <w:szCs w:val="20"/>
      <w:lang w:val="hy-AM"/>
    </w:rPr>
  </w:style>
  <w:style w:type="character" w:customStyle="1" w:styleId="CharChar136">
    <w:name w:val="Char Char136"/>
    <w:uiPriority w:val="99"/>
    <w:semiHidden/>
    <w:rsid w:val="00DD23AB"/>
    <w:rPr>
      <w:rFonts w:ascii="Times New Roman" w:eastAsia="Times New Roman" w:hAnsi="Times New Roman" w:cs="Times New Roman"/>
      <w:noProof/>
      <w:sz w:val="20"/>
      <w:szCs w:val="20"/>
      <w:lang w:val="hy-AM"/>
    </w:rPr>
  </w:style>
  <w:style w:type="character" w:customStyle="1" w:styleId="CharChar126">
    <w:name w:val="Char Char126"/>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7">
    <w:name w:val="Char Char Char Char7"/>
    <w:basedOn w:val="Normal"/>
    <w:uiPriority w:val="99"/>
    <w:qFormat/>
    <w:rsid w:val="00DD23AB"/>
    <w:pPr>
      <w:spacing w:after="160" w:line="240" w:lineRule="exact"/>
    </w:pPr>
    <w:rPr>
      <w:rFonts w:ascii="Arial" w:hAnsi="Arial" w:cs="Arial"/>
      <w:sz w:val="20"/>
      <w:szCs w:val="20"/>
    </w:rPr>
  </w:style>
  <w:style w:type="character" w:customStyle="1" w:styleId="CharChar236">
    <w:name w:val="Char Char236"/>
    <w:uiPriority w:val="99"/>
    <w:rsid w:val="00DD23AB"/>
    <w:rPr>
      <w:rFonts w:ascii="Times Armenian" w:eastAsia="Times New Roman" w:hAnsi="Times Armenian" w:cs="Times New Roman"/>
      <w:noProof/>
      <w:sz w:val="24"/>
      <w:szCs w:val="24"/>
      <w:u w:val="single"/>
      <w:lang w:val="hy-AM"/>
    </w:rPr>
  </w:style>
  <w:style w:type="character" w:customStyle="1" w:styleId="CharChar246">
    <w:name w:val="Char Char246"/>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6">
    <w:name w:val="Char Char Char Char Char Char Char Char Char Char6"/>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6">
    <w:name w:val="Char Char Char Char Знак Char Знак Char Char Char Char Char Char Char Char Char Char6"/>
    <w:basedOn w:val="Normal"/>
    <w:uiPriority w:val="99"/>
    <w:qFormat/>
    <w:rsid w:val="00DD23AB"/>
    <w:pPr>
      <w:tabs>
        <w:tab w:val="left" w:pos="709"/>
      </w:tabs>
    </w:pPr>
    <w:rPr>
      <w:rFonts w:ascii="Tahoma" w:hAnsi="Tahoma"/>
      <w:lang w:val="pl-PL" w:eastAsia="pl-PL"/>
    </w:rPr>
  </w:style>
  <w:style w:type="paragraph" w:customStyle="1" w:styleId="CharCharCharCharChar6">
    <w:name w:val="Char Char Char Char Char6"/>
    <w:basedOn w:val="Normal"/>
    <w:uiPriority w:val="99"/>
    <w:qFormat/>
    <w:rsid w:val="00DD23AB"/>
    <w:pPr>
      <w:spacing w:after="160" w:line="240" w:lineRule="exact"/>
    </w:pPr>
    <w:rPr>
      <w:rFonts w:ascii="Arial" w:hAnsi="Arial" w:cs="Arial"/>
      <w:sz w:val="20"/>
      <w:szCs w:val="20"/>
    </w:rPr>
  </w:style>
  <w:style w:type="paragraph" w:customStyle="1" w:styleId="ZchnZchn16">
    <w:name w:val="Zchn Zchn16"/>
    <w:basedOn w:val="Normal"/>
    <w:uiPriority w:val="99"/>
    <w:qFormat/>
    <w:rsid w:val="00DD23AB"/>
    <w:pPr>
      <w:spacing w:after="160" w:line="240" w:lineRule="exact"/>
    </w:pPr>
    <w:rPr>
      <w:rFonts w:ascii="Verdana" w:hAnsi="Verdana"/>
      <w:sz w:val="20"/>
      <w:szCs w:val="20"/>
      <w:lang w:val="en-GB"/>
    </w:rPr>
  </w:style>
  <w:style w:type="paragraph" w:customStyle="1" w:styleId="Znak6">
    <w:name w:val="Znak6"/>
    <w:basedOn w:val="Normal"/>
    <w:uiPriority w:val="99"/>
    <w:qFormat/>
    <w:rsid w:val="00DD23AB"/>
    <w:pPr>
      <w:tabs>
        <w:tab w:val="left" w:pos="709"/>
      </w:tabs>
    </w:pPr>
    <w:rPr>
      <w:rFonts w:ascii="Tahoma" w:hAnsi="Tahoma"/>
      <w:lang w:val="pl-PL" w:eastAsia="pl-PL"/>
    </w:rPr>
  </w:style>
  <w:style w:type="paragraph" w:customStyle="1" w:styleId="8">
    <w:name w:val="Знак Знак8"/>
    <w:basedOn w:val="Normal"/>
    <w:uiPriority w:val="99"/>
    <w:qFormat/>
    <w:rsid w:val="00DD23AB"/>
    <w:pPr>
      <w:spacing w:after="160" w:line="240" w:lineRule="exact"/>
    </w:pPr>
    <w:rPr>
      <w:rFonts w:ascii="Arial" w:hAnsi="Arial" w:cs="Arial"/>
      <w:sz w:val="20"/>
      <w:szCs w:val="20"/>
      <w:lang w:val="en-GB"/>
    </w:rPr>
  </w:style>
  <w:style w:type="paragraph" w:customStyle="1" w:styleId="Char16">
    <w:name w:val="Char16"/>
    <w:basedOn w:val="Normal"/>
    <w:next w:val="Normal"/>
    <w:uiPriority w:val="99"/>
    <w:qFormat/>
    <w:rsid w:val="00DD23AB"/>
    <w:pPr>
      <w:spacing w:after="160" w:line="240" w:lineRule="exact"/>
    </w:pPr>
    <w:rPr>
      <w:rFonts w:ascii="Tahoma" w:hAnsi="Tahoma"/>
      <w:szCs w:val="20"/>
    </w:rPr>
  </w:style>
  <w:style w:type="paragraph" w:customStyle="1" w:styleId="Char3CharCharChar6">
    <w:name w:val="Char3 Char Char Char6"/>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6">
    <w:name w:val="Char Char1 Char Char Char1 Char6"/>
    <w:basedOn w:val="Normal"/>
    <w:autoRedefine/>
    <w:uiPriority w:val="99"/>
    <w:qFormat/>
    <w:rsid w:val="00DD23AB"/>
    <w:rPr>
      <w:rFonts w:ascii="Times New Roman" w:eastAsia="SimSun" w:hAnsi="Times New Roman"/>
      <w:sz w:val="20"/>
      <w:szCs w:val="20"/>
      <w:lang w:eastAsia="ru-RU"/>
    </w:rPr>
  </w:style>
  <w:style w:type="character" w:customStyle="1" w:styleId="Char10">
    <w:name w:val="Char10"/>
    <w:uiPriority w:val="99"/>
    <w:rsid w:val="00DD23AB"/>
    <w:rPr>
      <w:rFonts w:ascii="Times Armenian" w:hAnsi="Times Armenian"/>
      <w:sz w:val="22"/>
      <w:lang w:val="en-GB" w:eastAsia="en-US" w:bidi="ar-SA"/>
    </w:rPr>
  </w:style>
  <w:style w:type="paragraph" w:customStyle="1" w:styleId="CharCharChar6">
    <w:name w:val="Char Char Char Знак6"/>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6">
    <w:name w:val="Char Char Char1 Char Char Char Char Char Char Char Char Char1 Char6"/>
    <w:basedOn w:val="Normal"/>
    <w:uiPriority w:val="99"/>
    <w:qFormat/>
    <w:rsid w:val="00DD23AB"/>
    <w:pPr>
      <w:spacing w:after="160" w:line="240" w:lineRule="exact"/>
    </w:pPr>
    <w:rPr>
      <w:rFonts w:ascii="Arial" w:hAnsi="Arial" w:cs="Arial"/>
      <w:sz w:val="20"/>
      <w:szCs w:val="20"/>
    </w:rPr>
  </w:style>
  <w:style w:type="paragraph" w:customStyle="1" w:styleId="160">
    <w:name w:val="Знак Знак16"/>
    <w:basedOn w:val="Normal"/>
    <w:uiPriority w:val="99"/>
    <w:qFormat/>
    <w:rsid w:val="00DD23AB"/>
    <w:pPr>
      <w:spacing w:after="160" w:line="240" w:lineRule="exact"/>
    </w:pPr>
    <w:rPr>
      <w:rFonts w:ascii="Arial" w:hAnsi="Arial" w:cs="Arial"/>
      <w:sz w:val="20"/>
      <w:szCs w:val="20"/>
    </w:rPr>
  </w:style>
  <w:style w:type="paragraph" w:customStyle="1" w:styleId="260">
    <w:name w:val="Знак Знак26"/>
    <w:basedOn w:val="Normal"/>
    <w:uiPriority w:val="99"/>
    <w:qFormat/>
    <w:rsid w:val="00DD23AB"/>
    <w:pPr>
      <w:spacing w:after="160" w:line="240" w:lineRule="exact"/>
    </w:pPr>
    <w:rPr>
      <w:rFonts w:ascii="Arial" w:hAnsi="Arial" w:cs="Arial"/>
      <w:sz w:val="20"/>
      <w:szCs w:val="20"/>
    </w:rPr>
  </w:style>
  <w:style w:type="paragraph" w:customStyle="1" w:styleId="CharCharChar60">
    <w:name w:val="Char Char Char Знак Знак6"/>
    <w:basedOn w:val="Normal"/>
    <w:uiPriority w:val="99"/>
    <w:qFormat/>
    <w:rsid w:val="00DD23AB"/>
    <w:pPr>
      <w:spacing w:after="160" w:line="240" w:lineRule="exact"/>
    </w:pPr>
    <w:rPr>
      <w:rFonts w:ascii="Arial" w:hAnsi="Arial" w:cs="Arial"/>
      <w:sz w:val="20"/>
      <w:szCs w:val="20"/>
    </w:rPr>
  </w:style>
  <w:style w:type="paragraph" w:customStyle="1" w:styleId="CharCharCharCharChar60">
    <w:name w:val="Char Char Char Char Char Знак Знак6"/>
    <w:basedOn w:val="Normal"/>
    <w:uiPriority w:val="99"/>
    <w:qFormat/>
    <w:rsid w:val="00DD23AB"/>
    <w:pPr>
      <w:spacing w:after="160" w:line="240" w:lineRule="exact"/>
    </w:pPr>
    <w:rPr>
      <w:rFonts w:ascii="Arial" w:hAnsi="Arial" w:cs="Arial"/>
      <w:sz w:val="20"/>
      <w:szCs w:val="20"/>
    </w:rPr>
  </w:style>
  <w:style w:type="character" w:customStyle="1" w:styleId="CharChar66">
    <w:name w:val="Char Char66"/>
    <w:uiPriority w:val="99"/>
    <w:rsid w:val="00DD23AB"/>
    <w:rPr>
      <w:rFonts w:ascii="Times Armenian" w:hAnsi="Times Armenian" w:cs="Arial"/>
      <w:b/>
      <w:bCs/>
      <w:i/>
      <w:noProof/>
      <w:sz w:val="26"/>
      <w:szCs w:val="26"/>
      <w:u w:val="single"/>
      <w:lang w:val="hy-AM" w:eastAsia="en-US" w:bidi="ar-SA"/>
    </w:rPr>
  </w:style>
  <w:style w:type="character" w:customStyle="1" w:styleId="CharChar56">
    <w:name w:val="Char Char56"/>
    <w:uiPriority w:val="99"/>
    <w:rsid w:val="00DD23AB"/>
    <w:rPr>
      <w:rFonts w:ascii="Times Armenian" w:hAnsi="Times Armenian"/>
      <w:noProof/>
      <w:sz w:val="24"/>
      <w:szCs w:val="24"/>
      <w:lang w:val="hy-AM" w:eastAsia="en-US" w:bidi="ar-SA"/>
    </w:rPr>
  </w:style>
  <w:style w:type="character" w:customStyle="1" w:styleId="CharChar46">
    <w:name w:val="Char Char46"/>
    <w:uiPriority w:val="99"/>
    <w:rsid w:val="00DD23AB"/>
    <w:rPr>
      <w:noProof/>
      <w:lang w:val="hy-AM" w:eastAsia="en-US" w:bidi="ar-SA"/>
    </w:rPr>
  </w:style>
  <w:style w:type="character" w:customStyle="1" w:styleId="CharChar185">
    <w:name w:val="Char Char185"/>
    <w:uiPriority w:val="99"/>
    <w:rsid w:val="00DD23AB"/>
    <w:rPr>
      <w:rFonts w:ascii="Times Armenian" w:eastAsia="Times New Roman" w:hAnsi="Times Armenian" w:cs="Times New Roman"/>
      <w:b/>
      <w:i/>
      <w:noProof/>
      <w:sz w:val="28"/>
      <w:szCs w:val="20"/>
      <w:lang w:val="hy-AM"/>
    </w:rPr>
  </w:style>
  <w:style w:type="character" w:customStyle="1" w:styleId="CharChar135">
    <w:name w:val="Char Char135"/>
    <w:uiPriority w:val="99"/>
    <w:semiHidden/>
    <w:rsid w:val="00DD23AB"/>
    <w:rPr>
      <w:rFonts w:ascii="Times New Roman" w:eastAsia="Times New Roman" w:hAnsi="Times New Roman" w:cs="Times New Roman"/>
      <w:noProof/>
      <w:sz w:val="20"/>
      <w:szCs w:val="20"/>
      <w:lang w:val="hy-AM"/>
    </w:rPr>
  </w:style>
  <w:style w:type="character" w:customStyle="1" w:styleId="CharChar125">
    <w:name w:val="Char Char125"/>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6">
    <w:name w:val="Char Char Char Char6"/>
    <w:basedOn w:val="Normal"/>
    <w:uiPriority w:val="99"/>
    <w:qFormat/>
    <w:rsid w:val="00DD23AB"/>
    <w:pPr>
      <w:spacing w:after="160" w:line="240" w:lineRule="exact"/>
    </w:pPr>
    <w:rPr>
      <w:rFonts w:ascii="Arial" w:hAnsi="Arial" w:cs="Arial"/>
      <w:sz w:val="20"/>
      <w:szCs w:val="20"/>
    </w:rPr>
  </w:style>
  <w:style w:type="character" w:customStyle="1" w:styleId="CharChar235">
    <w:name w:val="Char Char235"/>
    <w:uiPriority w:val="99"/>
    <w:rsid w:val="00DD23AB"/>
    <w:rPr>
      <w:rFonts w:ascii="Times Armenian" w:eastAsia="Times New Roman" w:hAnsi="Times Armenian" w:cs="Times New Roman"/>
      <w:noProof/>
      <w:sz w:val="24"/>
      <w:szCs w:val="24"/>
      <w:u w:val="single"/>
      <w:lang w:val="hy-AM"/>
    </w:rPr>
  </w:style>
  <w:style w:type="character" w:customStyle="1" w:styleId="CharChar245">
    <w:name w:val="Char Char245"/>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9">
    <w:name w:val="Char Char Char Char Char Char Char Char Char Char9"/>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9">
    <w:name w:val="Char Char Char Char Знак Char Знак Char Char Char Char Char Char Char Char Char Char9"/>
    <w:basedOn w:val="Normal"/>
    <w:uiPriority w:val="99"/>
    <w:qFormat/>
    <w:rsid w:val="00DD23AB"/>
    <w:pPr>
      <w:tabs>
        <w:tab w:val="left" w:pos="709"/>
      </w:tabs>
    </w:pPr>
    <w:rPr>
      <w:rFonts w:ascii="Tahoma" w:hAnsi="Tahoma"/>
      <w:lang w:val="pl-PL" w:eastAsia="pl-PL"/>
    </w:rPr>
  </w:style>
  <w:style w:type="paragraph" w:customStyle="1" w:styleId="CharCharCharCharChar9">
    <w:name w:val="Char Char Char Char Char9"/>
    <w:basedOn w:val="Normal"/>
    <w:uiPriority w:val="99"/>
    <w:qFormat/>
    <w:rsid w:val="00DD23AB"/>
    <w:pPr>
      <w:spacing w:after="160" w:line="240" w:lineRule="exact"/>
    </w:pPr>
    <w:rPr>
      <w:rFonts w:ascii="Arial" w:hAnsi="Arial" w:cs="Arial"/>
      <w:sz w:val="20"/>
      <w:szCs w:val="20"/>
    </w:rPr>
  </w:style>
  <w:style w:type="paragraph" w:customStyle="1" w:styleId="ZchnZchn19">
    <w:name w:val="Zchn Zchn19"/>
    <w:basedOn w:val="Normal"/>
    <w:uiPriority w:val="99"/>
    <w:qFormat/>
    <w:rsid w:val="00DD23AB"/>
    <w:pPr>
      <w:spacing w:after="160" w:line="240" w:lineRule="exact"/>
    </w:pPr>
    <w:rPr>
      <w:rFonts w:ascii="Verdana" w:hAnsi="Verdana"/>
      <w:sz w:val="20"/>
      <w:szCs w:val="20"/>
      <w:lang w:val="en-GB"/>
    </w:rPr>
  </w:style>
  <w:style w:type="paragraph" w:customStyle="1" w:styleId="Znak9">
    <w:name w:val="Znak9"/>
    <w:basedOn w:val="Normal"/>
    <w:uiPriority w:val="99"/>
    <w:qFormat/>
    <w:rsid w:val="00DD23AB"/>
    <w:pPr>
      <w:tabs>
        <w:tab w:val="left" w:pos="709"/>
      </w:tabs>
    </w:pPr>
    <w:rPr>
      <w:rFonts w:ascii="Tahoma" w:hAnsi="Tahoma"/>
      <w:lang w:val="pl-PL" w:eastAsia="pl-PL"/>
    </w:rPr>
  </w:style>
  <w:style w:type="paragraph" w:customStyle="1" w:styleId="200">
    <w:name w:val="Знак Знак20"/>
    <w:basedOn w:val="Normal"/>
    <w:uiPriority w:val="99"/>
    <w:qFormat/>
    <w:rsid w:val="00DD23AB"/>
    <w:pPr>
      <w:spacing w:after="160" w:line="240" w:lineRule="exact"/>
    </w:pPr>
    <w:rPr>
      <w:rFonts w:ascii="Arial" w:hAnsi="Arial" w:cs="Arial"/>
      <w:sz w:val="20"/>
      <w:szCs w:val="20"/>
      <w:lang w:val="en-GB"/>
    </w:rPr>
  </w:style>
  <w:style w:type="paragraph" w:customStyle="1" w:styleId="Char111">
    <w:name w:val="Char111"/>
    <w:basedOn w:val="Normal"/>
    <w:next w:val="Normal"/>
    <w:uiPriority w:val="99"/>
    <w:qFormat/>
    <w:rsid w:val="00DD23AB"/>
    <w:pPr>
      <w:spacing w:after="160" w:line="240" w:lineRule="exact"/>
    </w:pPr>
    <w:rPr>
      <w:rFonts w:ascii="Tahoma" w:hAnsi="Tahoma"/>
      <w:szCs w:val="20"/>
    </w:rPr>
  </w:style>
  <w:style w:type="paragraph" w:customStyle="1" w:styleId="Char3CharCharChar9">
    <w:name w:val="Char3 Char Char Char9"/>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9">
    <w:name w:val="Char Char1 Char Char Char1 Char9"/>
    <w:basedOn w:val="Normal"/>
    <w:autoRedefine/>
    <w:uiPriority w:val="99"/>
    <w:qFormat/>
    <w:rsid w:val="00DD23AB"/>
    <w:rPr>
      <w:rFonts w:ascii="Times New Roman" w:eastAsia="SimSun" w:hAnsi="Times New Roman"/>
      <w:sz w:val="20"/>
      <w:szCs w:val="20"/>
      <w:lang w:eastAsia="ru-RU"/>
    </w:rPr>
  </w:style>
  <w:style w:type="character" w:customStyle="1" w:styleId="Char21">
    <w:name w:val="Char21"/>
    <w:uiPriority w:val="99"/>
    <w:rsid w:val="00DD23AB"/>
    <w:rPr>
      <w:rFonts w:ascii="Times Armenian" w:hAnsi="Times Armenian"/>
      <w:sz w:val="22"/>
      <w:lang w:val="en-GB" w:eastAsia="en-US" w:bidi="ar-SA"/>
    </w:rPr>
  </w:style>
  <w:style w:type="paragraph" w:customStyle="1" w:styleId="CharCharChar100">
    <w:name w:val="Char Char Char Знак10"/>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10">
    <w:name w:val="Char Char Char1 Char Char Char Char Char Char Char Char Char1 Char10"/>
    <w:basedOn w:val="Normal"/>
    <w:uiPriority w:val="99"/>
    <w:qFormat/>
    <w:rsid w:val="00DD23AB"/>
    <w:pPr>
      <w:spacing w:after="160" w:line="240" w:lineRule="exact"/>
    </w:pPr>
    <w:rPr>
      <w:rFonts w:ascii="Arial" w:hAnsi="Arial" w:cs="Arial"/>
      <w:sz w:val="20"/>
      <w:szCs w:val="20"/>
    </w:rPr>
  </w:style>
  <w:style w:type="paragraph" w:customStyle="1" w:styleId="1100">
    <w:name w:val="Знак Знак110"/>
    <w:basedOn w:val="Normal"/>
    <w:uiPriority w:val="99"/>
    <w:qFormat/>
    <w:rsid w:val="00DD23AB"/>
    <w:pPr>
      <w:spacing w:after="160" w:line="240" w:lineRule="exact"/>
    </w:pPr>
    <w:rPr>
      <w:rFonts w:ascii="Arial" w:hAnsi="Arial" w:cs="Arial"/>
      <w:sz w:val="20"/>
      <w:szCs w:val="20"/>
    </w:rPr>
  </w:style>
  <w:style w:type="paragraph" w:customStyle="1" w:styleId="BodyText5">
    <w:name w:val="Body Text5"/>
    <w:basedOn w:val="Default"/>
    <w:next w:val="Default"/>
    <w:uiPriority w:val="99"/>
    <w:qFormat/>
    <w:rsid w:val="00DD23AB"/>
    <w:rPr>
      <w:rFonts w:ascii="Sylfaen" w:hAnsi="Sylfaen"/>
      <w:color w:val="auto"/>
    </w:rPr>
  </w:style>
  <w:style w:type="paragraph" w:customStyle="1" w:styleId="290">
    <w:name w:val="Знак Знак29"/>
    <w:basedOn w:val="Normal"/>
    <w:uiPriority w:val="99"/>
    <w:qFormat/>
    <w:rsid w:val="00DD23AB"/>
    <w:pPr>
      <w:spacing w:after="160" w:line="240" w:lineRule="exact"/>
    </w:pPr>
    <w:rPr>
      <w:rFonts w:ascii="Arial" w:hAnsi="Arial" w:cs="Arial"/>
      <w:sz w:val="20"/>
      <w:szCs w:val="20"/>
    </w:rPr>
  </w:style>
  <w:style w:type="paragraph" w:customStyle="1" w:styleId="CharCharChar9">
    <w:name w:val="Char Char Char Знак Знак9"/>
    <w:basedOn w:val="Normal"/>
    <w:uiPriority w:val="99"/>
    <w:qFormat/>
    <w:rsid w:val="00DD23AB"/>
    <w:pPr>
      <w:spacing w:after="160" w:line="240" w:lineRule="exact"/>
    </w:pPr>
    <w:rPr>
      <w:rFonts w:ascii="Arial" w:hAnsi="Arial" w:cs="Arial"/>
      <w:sz w:val="20"/>
      <w:szCs w:val="20"/>
    </w:rPr>
  </w:style>
  <w:style w:type="paragraph" w:customStyle="1" w:styleId="CharCharCharCharChar90">
    <w:name w:val="Char Char Char Char Char Знак Знак9"/>
    <w:basedOn w:val="Normal"/>
    <w:uiPriority w:val="99"/>
    <w:qFormat/>
    <w:rsid w:val="00DD23AB"/>
    <w:pPr>
      <w:spacing w:after="160" w:line="240" w:lineRule="exact"/>
    </w:pPr>
    <w:rPr>
      <w:rFonts w:ascii="Arial" w:hAnsi="Arial" w:cs="Arial"/>
      <w:sz w:val="20"/>
      <w:szCs w:val="20"/>
    </w:rPr>
  </w:style>
  <w:style w:type="character" w:customStyle="1" w:styleId="CharChar69">
    <w:name w:val="Char Char69"/>
    <w:uiPriority w:val="99"/>
    <w:rsid w:val="00DD23AB"/>
    <w:rPr>
      <w:rFonts w:ascii="Times Armenian" w:hAnsi="Times Armenian" w:cs="Arial"/>
      <w:b/>
      <w:bCs/>
      <w:i/>
      <w:noProof/>
      <w:sz w:val="26"/>
      <w:szCs w:val="26"/>
      <w:u w:val="single"/>
      <w:lang w:val="hy-AM" w:eastAsia="en-US" w:bidi="ar-SA"/>
    </w:rPr>
  </w:style>
  <w:style w:type="character" w:customStyle="1" w:styleId="CharChar59">
    <w:name w:val="Char Char59"/>
    <w:uiPriority w:val="99"/>
    <w:rsid w:val="00DD23AB"/>
    <w:rPr>
      <w:rFonts w:ascii="Times Armenian" w:hAnsi="Times Armenian"/>
      <w:noProof/>
      <w:sz w:val="24"/>
      <w:szCs w:val="24"/>
      <w:lang w:val="hy-AM" w:eastAsia="en-US" w:bidi="ar-SA"/>
    </w:rPr>
  </w:style>
  <w:style w:type="character" w:customStyle="1" w:styleId="CharChar49">
    <w:name w:val="Char Char49"/>
    <w:uiPriority w:val="99"/>
    <w:rsid w:val="00DD23AB"/>
    <w:rPr>
      <w:noProof/>
      <w:lang w:val="hy-AM" w:eastAsia="en-US" w:bidi="ar-SA"/>
    </w:rPr>
  </w:style>
  <w:style w:type="character" w:customStyle="1" w:styleId="CharChar188">
    <w:name w:val="Char Char188"/>
    <w:uiPriority w:val="99"/>
    <w:rsid w:val="00DD23AB"/>
    <w:rPr>
      <w:rFonts w:ascii="Times Armenian" w:eastAsia="Times New Roman" w:hAnsi="Times Armenian" w:cs="Times New Roman"/>
      <w:b/>
      <w:i/>
      <w:noProof/>
      <w:sz w:val="28"/>
      <w:szCs w:val="20"/>
      <w:lang w:val="hy-AM"/>
    </w:rPr>
  </w:style>
  <w:style w:type="character" w:customStyle="1" w:styleId="CharChar138">
    <w:name w:val="Char Char138"/>
    <w:uiPriority w:val="99"/>
    <w:semiHidden/>
    <w:rsid w:val="00DD23AB"/>
    <w:rPr>
      <w:rFonts w:ascii="Times New Roman" w:eastAsia="Times New Roman" w:hAnsi="Times New Roman" w:cs="Times New Roman"/>
      <w:noProof/>
      <w:sz w:val="20"/>
      <w:szCs w:val="20"/>
      <w:lang w:val="hy-AM"/>
    </w:rPr>
  </w:style>
  <w:style w:type="character" w:customStyle="1" w:styleId="CharChar128">
    <w:name w:val="Char Char128"/>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9">
    <w:name w:val="Char Char Char Char9"/>
    <w:basedOn w:val="Normal"/>
    <w:uiPriority w:val="99"/>
    <w:qFormat/>
    <w:rsid w:val="00DD23AB"/>
    <w:pPr>
      <w:spacing w:after="160" w:line="240" w:lineRule="exact"/>
    </w:pPr>
    <w:rPr>
      <w:rFonts w:ascii="Arial" w:hAnsi="Arial" w:cs="Arial"/>
      <w:sz w:val="20"/>
      <w:szCs w:val="20"/>
    </w:rPr>
  </w:style>
  <w:style w:type="character" w:customStyle="1" w:styleId="CharChar238">
    <w:name w:val="Char Char238"/>
    <w:uiPriority w:val="99"/>
    <w:rsid w:val="00DD23AB"/>
    <w:rPr>
      <w:rFonts w:ascii="Times Armenian" w:eastAsia="Times New Roman" w:hAnsi="Times Armenian" w:cs="Times New Roman"/>
      <w:noProof/>
      <w:sz w:val="24"/>
      <w:szCs w:val="24"/>
      <w:u w:val="single"/>
      <w:lang w:val="hy-AM"/>
    </w:rPr>
  </w:style>
  <w:style w:type="character" w:customStyle="1" w:styleId="CharChar248">
    <w:name w:val="Char Char248"/>
    <w:uiPriority w:val="99"/>
    <w:locked/>
    <w:rsid w:val="00DD23AB"/>
    <w:rPr>
      <w:rFonts w:ascii="Times Armenian" w:eastAsia="Times New Roman" w:hAnsi="Times Armenian" w:cs="Times New Roman"/>
      <w:b/>
      <w:i/>
      <w:noProof/>
      <w:sz w:val="28"/>
      <w:szCs w:val="20"/>
      <w:lang w:val="hy-AM"/>
    </w:rPr>
  </w:style>
  <w:style w:type="paragraph" w:customStyle="1" w:styleId="BodyText51">
    <w:name w:val="Body Text51"/>
    <w:basedOn w:val="Default"/>
    <w:next w:val="Default"/>
    <w:uiPriority w:val="99"/>
    <w:qFormat/>
    <w:rsid w:val="00DD23AB"/>
    <w:rPr>
      <w:rFonts w:ascii="Sylfaen" w:hAnsi="Sylfaen"/>
      <w:color w:val="auto"/>
    </w:rPr>
  </w:style>
  <w:style w:type="character" w:customStyle="1" w:styleId="Impact115pt0pt1">
    <w:name w:val="Основной текст + Impact.11.5 pt.Курсив.Интервал 0 pt1"/>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1">
    <w:name w:val="Основной текст + 15 pt.Полужирный.Интервал 0 pt1"/>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1">
    <w:name w:val="Основной текст + 11 pt.Полужирный.Интервал 0 pt1"/>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CharCharCharCharCharCharCharCharCharChar5">
    <w:name w:val="Char Char Char Char Char Char Char Char Char Char5"/>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5">
    <w:name w:val="Char Char Char Char Знак Char Знак Char Char Char Char Char Char Char Char Char Char5"/>
    <w:basedOn w:val="Normal"/>
    <w:uiPriority w:val="99"/>
    <w:qFormat/>
    <w:rsid w:val="00DD23AB"/>
    <w:pPr>
      <w:tabs>
        <w:tab w:val="left" w:pos="709"/>
      </w:tabs>
    </w:pPr>
    <w:rPr>
      <w:rFonts w:ascii="Tahoma" w:hAnsi="Tahoma"/>
      <w:lang w:val="pl-PL" w:eastAsia="pl-PL"/>
    </w:rPr>
  </w:style>
  <w:style w:type="paragraph" w:customStyle="1" w:styleId="CharCharCharCharChar5">
    <w:name w:val="Char Char Char Char Char5"/>
    <w:basedOn w:val="Normal"/>
    <w:uiPriority w:val="99"/>
    <w:qFormat/>
    <w:rsid w:val="00DD23AB"/>
    <w:pPr>
      <w:spacing w:after="160" w:line="240" w:lineRule="exact"/>
    </w:pPr>
    <w:rPr>
      <w:rFonts w:ascii="Arial" w:hAnsi="Arial" w:cs="Arial"/>
      <w:sz w:val="20"/>
      <w:szCs w:val="20"/>
    </w:rPr>
  </w:style>
  <w:style w:type="paragraph" w:customStyle="1" w:styleId="ZchnZchn15">
    <w:name w:val="Zchn Zchn15"/>
    <w:basedOn w:val="Normal"/>
    <w:uiPriority w:val="99"/>
    <w:qFormat/>
    <w:rsid w:val="00DD23AB"/>
    <w:pPr>
      <w:spacing w:after="160" w:line="240" w:lineRule="exact"/>
    </w:pPr>
    <w:rPr>
      <w:rFonts w:ascii="Verdana" w:hAnsi="Verdana"/>
      <w:sz w:val="20"/>
      <w:szCs w:val="20"/>
      <w:lang w:val="en-GB"/>
    </w:rPr>
  </w:style>
  <w:style w:type="paragraph" w:customStyle="1" w:styleId="Znak5">
    <w:name w:val="Znak5"/>
    <w:basedOn w:val="Normal"/>
    <w:uiPriority w:val="99"/>
    <w:qFormat/>
    <w:rsid w:val="00DD23AB"/>
    <w:pPr>
      <w:tabs>
        <w:tab w:val="left" w:pos="709"/>
      </w:tabs>
    </w:pPr>
    <w:rPr>
      <w:rFonts w:ascii="Tahoma" w:hAnsi="Tahoma"/>
      <w:lang w:val="pl-PL" w:eastAsia="pl-PL"/>
    </w:rPr>
  </w:style>
  <w:style w:type="paragraph" w:customStyle="1" w:styleId="7">
    <w:name w:val="Знак Знак7"/>
    <w:basedOn w:val="Normal"/>
    <w:uiPriority w:val="99"/>
    <w:qFormat/>
    <w:rsid w:val="00DD23AB"/>
    <w:pPr>
      <w:spacing w:after="160" w:line="240" w:lineRule="exact"/>
    </w:pPr>
    <w:rPr>
      <w:rFonts w:ascii="Arial" w:hAnsi="Arial" w:cs="Arial"/>
      <w:sz w:val="20"/>
      <w:szCs w:val="20"/>
      <w:lang w:val="en-GB"/>
    </w:rPr>
  </w:style>
  <w:style w:type="paragraph" w:customStyle="1" w:styleId="Char15">
    <w:name w:val="Char15"/>
    <w:basedOn w:val="Normal"/>
    <w:next w:val="Normal"/>
    <w:uiPriority w:val="99"/>
    <w:qFormat/>
    <w:rsid w:val="00DD23AB"/>
    <w:pPr>
      <w:spacing w:after="160" w:line="240" w:lineRule="exact"/>
    </w:pPr>
    <w:rPr>
      <w:rFonts w:ascii="Tahoma" w:hAnsi="Tahoma"/>
      <w:szCs w:val="20"/>
    </w:rPr>
  </w:style>
  <w:style w:type="paragraph" w:customStyle="1" w:styleId="Char3CharCharChar5">
    <w:name w:val="Char3 Char Char Char5"/>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5">
    <w:name w:val="Char Char1 Char Char Char1 Char5"/>
    <w:basedOn w:val="Normal"/>
    <w:autoRedefine/>
    <w:uiPriority w:val="99"/>
    <w:qFormat/>
    <w:rsid w:val="00DD23AB"/>
    <w:rPr>
      <w:rFonts w:ascii="Times New Roman" w:eastAsia="SimSun" w:hAnsi="Times New Roman"/>
      <w:sz w:val="20"/>
      <w:szCs w:val="20"/>
      <w:lang w:eastAsia="ru-RU"/>
    </w:rPr>
  </w:style>
  <w:style w:type="character" w:customStyle="1" w:styleId="Char9">
    <w:name w:val="Char9"/>
    <w:uiPriority w:val="99"/>
    <w:rsid w:val="00DD23AB"/>
    <w:rPr>
      <w:rFonts w:ascii="Times Armenian" w:hAnsi="Times Armenian"/>
      <w:sz w:val="22"/>
      <w:lang w:val="en-GB" w:eastAsia="en-US"/>
    </w:rPr>
  </w:style>
  <w:style w:type="paragraph" w:customStyle="1" w:styleId="CharCharChar5">
    <w:name w:val="Char Char Char Знак5"/>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5">
    <w:name w:val="Char Char Char1 Char Char Char Char Char Char Char Char Char1 Char5"/>
    <w:basedOn w:val="Normal"/>
    <w:uiPriority w:val="99"/>
    <w:qFormat/>
    <w:rsid w:val="00DD23AB"/>
    <w:pPr>
      <w:spacing w:after="160" w:line="240" w:lineRule="exact"/>
    </w:pPr>
    <w:rPr>
      <w:rFonts w:ascii="Arial" w:hAnsi="Arial" w:cs="Arial"/>
      <w:sz w:val="20"/>
      <w:szCs w:val="20"/>
    </w:rPr>
  </w:style>
  <w:style w:type="paragraph" w:customStyle="1" w:styleId="150">
    <w:name w:val="Знак Знак15"/>
    <w:basedOn w:val="Normal"/>
    <w:uiPriority w:val="99"/>
    <w:qFormat/>
    <w:rsid w:val="00DD23AB"/>
    <w:pPr>
      <w:spacing w:after="160" w:line="240" w:lineRule="exact"/>
    </w:pPr>
    <w:rPr>
      <w:rFonts w:ascii="Arial" w:hAnsi="Arial" w:cs="Arial"/>
      <w:sz w:val="20"/>
      <w:szCs w:val="20"/>
    </w:rPr>
  </w:style>
  <w:style w:type="paragraph" w:customStyle="1" w:styleId="250">
    <w:name w:val="Знак Знак25"/>
    <w:basedOn w:val="Normal"/>
    <w:uiPriority w:val="99"/>
    <w:qFormat/>
    <w:rsid w:val="00DD23AB"/>
    <w:pPr>
      <w:spacing w:after="160" w:line="240" w:lineRule="exact"/>
    </w:pPr>
    <w:rPr>
      <w:rFonts w:ascii="Arial" w:hAnsi="Arial" w:cs="Arial"/>
      <w:sz w:val="20"/>
      <w:szCs w:val="20"/>
    </w:rPr>
  </w:style>
  <w:style w:type="paragraph" w:customStyle="1" w:styleId="CharCharChar50">
    <w:name w:val="Char Char Char Знак Знак5"/>
    <w:basedOn w:val="Normal"/>
    <w:uiPriority w:val="99"/>
    <w:qFormat/>
    <w:rsid w:val="00DD23AB"/>
    <w:pPr>
      <w:spacing w:after="160" w:line="240" w:lineRule="exact"/>
    </w:pPr>
    <w:rPr>
      <w:rFonts w:ascii="Arial" w:hAnsi="Arial" w:cs="Arial"/>
      <w:sz w:val="20"/>
      <w:szCs w:val="20"/>
    </w:rPr>
  </w:style>
  <w:style w:type="paragraph" w:customStyle="1" w:styleId="CharCharCharCharChar50">
    <w:name w:val="Char Char Char Char Char Знак Знак5"/>
    <w:basedOn w:val="Normal"/>
    <w:uiPriority w:val="99"/>
    <w:qFormat/>
    <w:rsid w:val="00DD23AB"/>
    <w:pPr>
      <w:spacing w:after="160" w:line="240" w:lineRule="exact"/>
    </w:pPr>
    <w:rPr>
      <w:rFonts w:ascii="Arial" w:hAnsi="Arial" w:cs="Arial"/>
      <w:sz w:val="20"/>
      <w:szCs w:val="20"/>
    </w:rPr>
  </w:style>
  <w:style w:type="character" w:customStyle="1" w:styleId="CharChar65">
    <w:name w:val="Char Char65"/>
    <w:uiPriority w:val="99"/>
    <w:rsid w:val="00DD23AB"/>
    <w:rPr>
      <w:rFonts w:ascii="Times Armenian" w:hAnsi="Times Armenian"/>
      <w:b/>
      <w:i/>
      <w:noProof/>
      <w:sz w:val="26"/>
      <w:u w:val="single"/>
      <w:lang w:val="hy-AM" w:eastAsia="en-US"/>
    </w:rPr>
  </w:style>
  <w:style w:type="character" w:customStyle="1" w:styleId="CharChar55">
    <w:name w:val="Char Char55"/>
    <w:uiPriority w:val="99"/>
    <w:rsid w:val="00DD23AB"/>
    <w:rPr>
      <w:rFonts w:ascii="Times Armenian" w:hAnsi="Times Armenian"/>
      <w:noProof/>
      <w:sz w:val="24"/>
      <w:lang w:val="hy-AM" w:eastAsia="en-US"/>
    </w:rPr>
  </w:style>
  <w:style w:type="character" w:customStyle="1" w:styleId="CharChar45">
    <w:name w:val="Char Char45"/>
    <w:uiPriority w:val="99"/>
    <w:rsid w:val="00DD23AB"/>
    <w:rPr>
      <w:noProof/>
      <w:lang w:val="hy-AM" w:eastAsia="en-US"/>
    </w:rPr>
  </w:style>
  <w:style w:type="character" w:customStyle="1" w:styleId="CharChar184">
    <w:name w:val="Char Char184"/>
    <w:uiPriority w:val="99"/>
    <w:rsid w:val="00DD23AB"/>
    <w:rPr>
      <w:rFonts w:ascii="Times Armenian" w:hAnsi="Times Armenian"/>
      <w:b/>
      <w:i/>
      <w:noProof/>
      <w:sz w:val="20"/>
      <w:lang w:val="hy-AM"/>
    </w:rPr>
  </w:style>
  <w:style w:type="character" w:customStyle="1" w:styleId="CharChar134">
    <w:name w:val="Char Char134"/>
    <w:uiPriority w:val="99"/>
    <w:semiHidden/>
    <w:rsid w:val="00DD23AB"/>
    <w:rPr>
      <w:rFonts w:ascii="Times New Roman" w:hAnsi="Times New Roman"/>
      <w:noProof/>
      <w:sz w:val="20"/>
      <w:lang w:val="hy-AM"/>
    </w:rPr>
  </w:style>
  <w:style w:type="character" w:customStyle="1" w:styleId="CharChar124">
    <w:name w:val="Char Char124"/>
    <w:uiPriority w:val="99"/>
    <w:semiHidden/>
    <w:locked/>
    <w:rsid w:val="00DD23AB"/>
    <w:rPr>
      <w:rFonts w:ascii="Times New Roman" w:hAnsi="Times New Roman"/>
      <w:noProof/>
      <w:sz w:val="24"/>
      <w:lang w:val="hy-AM"/>
    </w:rPr>
  </w:style>
  <w:style w:type="paragraph" w:customStyle="1" w:styleId="CharCharCharChar5">
    <w:name w:val="Char Char Char Char5"/>
    <w:basedOn w:val="Normal"/>
    <w:uiPriority w:val="99"/>
    <w:qFormat/>
    <w:rsid w:val="00DD23AB"/>
    <w:pPr>
      <w:spacing w:after="160" w:line="240" w:lineRule="exact"/>
    </w:pPr>
    <w:rPr>
      <w:rFonts w:ascii="Arial" w:hAnsi="Arial" w:cs="Arial"/>
      <w:sz w:val="20"/>
      <w:szCs w:val="20"/>
    </w:rPr>
  </w:style>
  <w:style w:type="character" w:customStyle="1" w:styleId="CharChar234">
    <w:name w:val="Char Char234"/>
    <w:uiPriority w:val="99"/>
    <w:rsid w:val="00DD23AB"/>
    <w:rPr>
      <w:rFonts w:ascii="Times Armenian" w:hAnsi="Times Armenian"/>
      <w:noProof/>
      <w:sz w:val="24"/>
      <w:u w:val="single"/>
      <w:lang w:val="hy-AM"/>
    </w:rPr>
  </w:style>
  <w:style w:type="character" w:customStyle="1" w:styleId="CharChar244">
    <w:name w:val="Char Char244"/>
    <w:uiPriority w:val="99"/>
    <w:locked/>
    <w:rsid w:val="00DD23AB"/>
    <w:rPr>
      <w:rFonts w:ascii="Times Armenian" w:hAnsi="Times Armenian"/>
      <w:b/>
      <w:i/>
      <w:noProof/>
      <w:sz w:val="20"/>
      <w:lang w:val="hy-AM"/>
    </w:rPr>
  </w:style>
  <w:style w:type="paragraph" w:customStyle="1" w:styleId="CharCharCharChar8">
    <w:name w:val="Знак Знак Знак Char Char Char Char Знак Знак Знак"/>
    <w:basedOn w:val="Normal"/>
    <w:uiPriority w:val="99"/>
    <w:qFormat/>
    <w:rsid w:val="00DD23AB"/>
    <w:pPr>
      <w:widowControl w:val="0"/>
      <w:bidi/>
      <w:adjustRightInd w:val="0"/>
      <w:spacing w:after="160" w:line="240" w:lineRule="exact"/>
    </w:pPr>
    <w:rPr>
      <w:rFonts w:ascii="Times New Roman" w:hAnsi="Times New Roman"/>
      <w:sz w:val="20"/>
      <w:szCs w:val="20"/>
      <w:lang w:val="en-GB" w:eastAsia="ru-RU" w:bidi="he-IL"/>
    </w:rPr>
  </w:style>
  <w:style w:type="paragraph" w:customStyle="1" w:styleId="Textodsaz">
    <w:name w:val="Text odsaz."/>
    <w:basedOn w:val="Normal"/>
    <w:uiPriority w:val="99"/>
    <w:qFormat/>
    <w:rsid w:val="00DD23AB"/>
    <w:pPr>
      <w:numPr>
        <w:numId w:val="6"/>
      </w:numPr>
      <w:spacing w:after="20"/>
      <w:jc w:val="both"/>
    </w:pPr>
    <w:rPr>
      <w:rFonts w:ascii="Times New Roman" w:hAnsi="Times New Roman"/>
      <w:sz w:val="22"/>
      <w:szCs w:val="20"/>
      <w:lang w:val="en-GB" w:eastAsia="cs-CZ"/>
    </w:rPr>
  </w:style>
  <w:style w:type="paragraph" w:customStyle="1" w:styleId="Bullet1">
    <w:name w:val="Bullet 1"/>
    <w:basedOn w:val="Normal"/>
    <w:autoRedefine/>
    <w:uiPriority w:val="99"/>
    <w:qFormat/>
    <w:rsid w:val="00DD23AB"/>
    <w:pPr>
      <w:tabs>
        <w:tab w:val="left" w:pos="851"/>
      </w:tabs>
      <w:overflowPunct w:val="0"/>
      <w:autoSpaceDE w:val="0"/>
      <w:autoSpaceDN w:val="0"/>
      <w:adjustRightInd w:val="0"/>
      <w:spacing w:line="360" w:lineRule="auto"/>
      <w:ind w:firstLine="630"/>
      <w:contextualSpacing/>
      <w:jc w:val="both"/>
      <w:textAlignment w:val="baseline"/>
    </w:pPr>
    <w:rPr>
      <w:rFonts w:ascii="GHEA Grapalat" w:hAnsi="GHEA Grapalat"/>
      <w:sz w:val="22"/>
      <w:szCs w:val="20"/>
      <w:lang w:val="en-GB"/>
    </w:rPr>
  </w:style>
  <w:style w:type="paragraph" w:customStyle="1" w:styleId="m-8494826695015207150gmail-mechtex">
    <w:name w:val="m_-8494826695015207150gmail-mechtex"/>
    <w:basedOn w:val="Normal"/>
    <w:uiPriority w:val="99"/>
    <w:qFormat/>
    <w:rsid w:val="00DD23AB"/>
    <w:pPr>
      <w:spacing w:before="100" w:beforeAutospacing="1" w:after="100" w:afterAutospacing="1"/>
    </w:pPr>
    <w:rPr>
      <w:rFonts w:ascii="Times New Roman" w:hAnsi="Times New Roman"/>
    </w:rPr>
  </w:style>
  <w:style w:type="character" w:customStyle="1" w:styleId="reference-text">
    <w:name w:val="reference-text"/>
    <w:basedOn w:val="DefaultParagraphFont"/>
    <w:uiPriority w:val="99"/>
    <w:rsid w:val="00DD23AB"/>
  </w:style>
  <w:style w:type="character" w:customStyle="1" w:styleId="Impact115pt0pt2">
    <w:name w:val="Основной текст + Impact.11.5 pt.Курсив.Интервал 0 pt2"/>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2">
    <w:name w:val="Основной текст + 15 pt.Полужирный.Интервал 0 pt2"/>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2">
    <w:name w:val="Основной текст + 11 pt.Полужирный.Интервал 0 pt2"/>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Style14">
    <w:name w:val="Style14"/>
    <w:basedOn w:val="Normal"/>
    <w:uiPriority w:val="99"/>
    <w:qFormat/>
    <w:rsid w:val="00DD23AB"/>
    <w:pPr>
      <w:widowControl w:val="0"/>
      <w:autoSpaceDE w:val="0"/>
      <w:autoSpaceDN w:val="0"/>
      <w:adjustRightInd w:val="0"/>
      <w:spacing w:line="211" w:lineRule="exact"/>
    </w:pPr>
    <w:rPr>
      <w:rFonts w:ascii="Tahoma" w:eastAsia="SimSun" w:hAnsi="Tahoma" w:cs="Tahoma"/>
    </w:rPr>
  </w:style>
  <w:style w:type="paragraph" w:customStyle="1" w:styleId="a8">
    <w:name w:val="Գծապատկեր"/>
    <w:basedOn w:val="Normal"/>
    <w:link w:val="Char0"/>
    <w:autoRedefine/>
    <w:qFormat/>
    <w:rsid w:val="007A1FD8"/>
    <w:pPr>
      <w:keepNext/>
      <w:keepLines/>
      <w:tabs>
        <w:tab w:val="left" w:pos="8"/>
        <w:tab w:val="left" w:pos="1276"/>
        <w:tab w:val="left" w:pos="1560"/>
        <w:tab w:val="left" w:pos="1843"/>
      </w:tabs>
      <w:autoSpaceDE w:val="0"/>
      <w:autoSpaceDN w:val="0"/>
      <w:adjustRightInd w:val="0"/>
      <w:spacing w:after="200" w:line="276" w:lineRule="auto"/>
    </w:pPr>
    <w:rPr>
      <w:rFonts w:ascii="GHEA Grapalat" w:eastAsia="GHEA Grapalat" w:hAnsi="GHEA Grapalat" w:cs="GHEA Grapalat"/>
      <w:noProof/>
      <w:sz w:val="16"/>
      <w:szCs w:val="16"/>
    </w:rPr>
  </w:style>
  <w:style w:type="character" w:customStyle="1" w:styleId="Char0">
    <w:name w:val="Գծապատկեր Char"/>
    <w:link w:val="a8"/>
    <w:rsid w:val="007A1FD8"/>
    <w:rPr>
      <w:rFonts w:ascii="GHEA Grapalat" w:eastAsia="GHEA Grapalat" w:hAnsi="GHEA Grapalat" w:cs="GHEA Grapalat"/>
      <w:noProof/>
      <w:sz w:val="16"/>
      <w:szCs w:val="16"/>
    </w:rPr>
  </w:style>
  <w:style w:type="paragraph" w:styleId="TableofFigures">
    <w:name w:val="table of figures"/>
    <w:aliases w:val="ԳԾԱՊԱՏԿԵՐՆԵՐ"/>
    <w:basedOn w:val="Normal"/>
    <w:next w:val="Normal"/>
    <w:autoRedefine/>
    <w:uiPriority w:val="99"/>
    <w:qFormat/>
    <w:rsid w:val="00DD23AB"/>
    <w:pPr>
      <w:tabs>
        <w:tab w:val="left" w:pos="2023"/>
        <w:tab w:val="right" w:leader="dot" w:pos="10198"/>
      </w:tabs>
      <w:spacing w:after="480"/>
      <w:jc w:val="center"/>
    </w:pPr>
    <w:rPr>
      <w:rFonts w:ascii="GHEA Grapalat" w:hAnsi="GHEA Grapalat"/>
      <w:b/>
      <w:noProof/>
      <w:lang w:val="hy-AM"/>
    </w:rPr>
  </w:style>
  <w:style w:type="character" w:customStyle="1" w:styleId="Char20">
    <w:name w:val="Char20"/>
    <w:uiPriority w:val="99"/>
    <w:rsid w:val="00DD23AB"/>
    <w:rPr>
      <w:rFonts w:ascii="Times Armenian" w:hAnsi="Times Armenian"/>
      <w:sz w:val="22"/>
      <w:lang w:val="en-GB" w:eastAsia="en-US" w:bidi="ar-SA"/>
    </w:rPr>
  </w:style>
  <w:style w:type="paragraph" w:customStyle="1" w:styleId="CharCharChar90">
    <w:name w:val="Char Char Char Знак9"/>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9">
    <w:name w:val="Char Char Char1 Char Char Char Char Char Char Char Char Char1 Char9"/>
    <w:basedOn w:val="Normal"/>
    <w:uiPriority w:val="99"/>
    <w:qFormat/>
    <w:rsid w:val="00DD23AB"/>
    <w:pPr>
      <w:spacing w:after="160" w:line="240" w:lineRule="exact"/>
    </w:pPr>
    <w:rPr>
      <w:rFonts w:ascii="Arial" w:hAnsi="Arial" w:cs="Arial"/>
      <w:sz w:val="20"/>
      <w:szCs w:val="20"/>
    </w:rPr>
  </w:style>
  <w:style w:type="paragraph" w:customStyle="1" w:styleId="19">
    <w:name w:val="Знак Знак19"/>
    <w:basedOn w:val="Normal"/>
    <w:uiPriority w:val="99"/>
    <w:qFormat/>
    <w:rsid w:val="00DD23AB"/>
    <w:pPr>
      <w:spacing w:after="160" w:line="240" w:lineRule="exact"/>
    </w:pPr>
    <w:rPr>
      <w:rFonts w:ascii="Arial" w:hAnsi="Arial" w:cs="Arial"/>
      <w:sz w:val="20"/>
      <w:szCs w:val="20"/>
    </w:rPr>
  </w:style>
  <w:style w:type="character" w:customStyle="1" w:styleId="highlight">
    <w:name w:val="highlight"/>
    <w:basedOn w:val="DefaultParagraphFont"/>
    <w:uiPriority w:val="99"/>
    <w:rsid w:val="00DD23AB"/>
  </w:style>
  <w:style w:type="paragraph" w:customStyle="1" w:styleId="43">
    <w:name w:val="Абзац списка4"/>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customStyle="1" w:styleId="60">
    <w:name w:val="Основной текст6"/>
    <w:basedOn w:val="Normal"/>
    <w:uiPriority w:val="99"/>
    <w:qFormat/>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CharCharCharCharCharCharCharCharCharChar8">
    <w:name w:val="Char Char Char Char Char Char Char Char Char Char8"/>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8">
    <w:name w:val="Char Char Char Char Знак Char Знак Char Char Char Char Char Char Char Char Char Char8"/>
    <w:basedOn w:val="Normal"/>
    <w:uiPriority w:val="99"/>
    <w:qFormat/>
    <w:rsid w:val="00DD23AB"/>
    <w:pPr>
      <w:tabs>
        <w:tab w:val="left" w:pos="709"/>
      </w:tabs>
    </w:pPr>
    <w:rPr>
      <w:rFonts w:ascii="Tahoma" w:hAnsi="Tahoma"/>
      <w:lang w:val="pl-PL" w:eastAsia="pl-PL"/>
    </w:rPr>
  </w:style>
  <w:style w:type="paragraph" w:customStyle="1" w:styleId="CharCharCharCharChar8">
    <w:name w:val="Char Char Char Char Char8"/>
    <w:basedOn w:val="Normal"/>
    <w:uiPriority w:val="99"/>
    <w:qFormat/>
    <w:rsid w:val="00DD23AB"/>
    <w:pPr>
      <w:spacing w:after="160" w:line="240" w:lineRule="exact"/>
    </w:pPr>
    <w:rPr>
      <w:rFonts w:ascii="Arial" w:hAnsi="Arial" w:cs="Arial"/>
      <w:sz w:val="20"/>
      <w:szCs w:val="20"/>
    </w:rPr>
  </w:style>
  <w:style w:type="paragraph" w:customStyle="1" w:styleId="ZchnZchn18">
    <w:name w:val="Zchn Zchn18"/>
    <w:basedOn w:val="Normal"/>
    <w:uiPriority w:val="99"/>
    <w:qFormat/>
    <w:rsid w:val="00DD23AB"/>
    <w:pPr>
      <w:spacing w:after="160" w:line="240" w:lineRule="exact"/>
    </w:pPr>
    <w:rPr>
      <w:rFonts w:ascii="Verdana" w:hAnsi="Verdana"/>
      <w:sz w:val="20"/>
      <w:szCs w:val="20"/>
      <w:lang w:val="en-GB"/>
    </w:rPr>
  </w:style>
  <w:style w:type="paragraph" w:customStyle="1" w:styleId="Znak8">
    <w:name w:val="Znak8"/>
    <w:basedOn w:val="Normal"/>
    <w:uiPriority w:val="99"/>
    <w:qFormat/>
    <w:rsid w:val="00DD23AB"/>
    <w:pPr>
      <w:tabs>
        <w:tab w:val="left" w:pos="709"/>
      </w:tabs>
    </w:pPr>
    <w:rPr>
      <w:rFonts w:ascii="Tahoma" w:hAnsi="Tahoma"/>
      <w:lang w:val="pl-PL" w:eastAsia="pl-PL"/>
    </w:rPr>
  </w:style>
  <w:style w:type="paragraph" w:customStyle="1" w:styleId="101">
    <w:name w:val="Знак Знак10"/>
    <w:basedOn w:val="Normal"/>
    <w:uiPriority w:val="99"/>
    <w:qFormat/>
    <w:rsid w:val="00DD23AB"/>
    <w:pPr>
      <w:spacing w:after="160" w:line="240" w:lineRule="exact"/>
    </w:pPr>
    <w:rPr>
      <w:rFonts w:ascii="Arial" w:hAnsi="Arial" w:cs="Arial"/>
      <w:sz w:val="20"/>
      <w:szCs w:val="20"/>
      <w:lang w:val="en-GB"/>
    </w:rPr>
  </w:style>
  <w:style w:type="paragraph" w:customStyle="1" w:styleId="Char110">
    <w:name w:val="Char110"/>
    <w:basedOn w:val="Normal"/>
    <w:next w:val="Normal"/>
    <w:uiPriority w:val="99"/>
    <w:qFormat/>
    <w:rsid w:val="00DD23AB"/>
    <w:pPr>
      <w:spacing w:after="160" w:line="240" w:lineRule="exact"/>
    </w:pPr>
    <w:rPr>
      <w:rFonts w:ascii="Tahoma" w:hAnsi="Tahoma"/>
      <w:szCs w:val="20"/>
    </w:rPr>
  </w:style>
  <w:style w:type="paragraph" w:customStyle="1" w:styleId="Char3CharCharChar8">
    <w:name w:val="Char3 Char Char Char8"/>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8">
    <w:name w:val="Char Char1 Char Char Char1 Char8"/>
    <w:basedOn w:val="Normal"/>
    <w:autoRedefine/>
    <w:uiPriority w:val="99"/>
    <w:qFormat/>
    <w:rsid w:val="00DD23AB"/>
    <w:rPr>
      <w:rFonts w:ascii="Times New Roman" w:eastAsia="SimSun" w:hAnsi="Times New Roman"/>
      <w:sz w:val="20"/>
      <w:szCs w:val="20"/>
      <w:lang w:eastAsia="ru-RU"/>
    </w:rPr>
  </w:style>
  <w:style w:type="character" w:customStyle="1" w:styleId="Char19">
    <w:name w:val="Char19"/>
    <w:uiPriority w:val="99"/>
    <w:rsid w:val="00DD23AB"/>
    <w:rPr>
      <w:rFonts w:ascii="Times Armenian" w:hAnsi="Times Armenian"/>
      <w:sz w:val="22"/>
      <w:lang w:val="en-GB" w:eastAsia="en-US" w:bidi="ar-SA"/>
    </w:rPr>
  </w:style>
  <w:style w:type="paragraph" w:customStyle="1" w:styleId="CharCharChar8">
    <w:name w:val="Char Char Char Знак8"/>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8">
    <w:name w:val="Char Char Char1 Char Char Char Char Char Char Char Char Char1 Char8"/>
    <w:basedOn w:val="Normal"/>
    <w:uiPriority w:val="99"/>
    <w:qFormat/>
    <w:rsid w:val="00DD23AB"/>
    <w:pPr>
      <w:spacing w:after="160" w:line="240" w:lineRule="exact"/>
    </w:pPr>
    <w:rPr>
      <w:rFonts w:ascii="Arial" w:hAnsi="Arial" w:cs="Arial"/>
      <w:sz w:val="20"/>
      <w:szCs w:val="20"/>
    </w:rPr>
  </w:style>
  <w:style w:type="paragraph" w:customStyle="1" w:styleId="180">
    <w:name w:val="Знак Знак18"/>
    <w:basedOn w:val="Normal"/>
    <w:uiPriority w:val="99"/>
    <w:qFormat/>
    <w:rsid w:val="00DD23AB"/>
    <w:pPr>
      <w:spacing w:after="160" w:line="240" w:lineRule="exact"/>
    </w:pPr>
    <w:rPr>
      <w:rFonts w:ascii="Arial" w:hAnsi="Arial" w:cs="Arial"/>
      <w:sz w:val="20"/>
      <w:szCs w:val="20"/>
    </w:rPr>
  </w:style>
  <w:style w:type="paragraph" w:customStyle="1" w:styleId="BodyText6">
    <w:name w:val="Body Text6"/>
    <w:basedOn w:val="Default"/>
    <w:next w:val="Default"/>
    <w:uiPriority w:val="99"/>
    <w:qFormat/>
    <w:rsid w:val="00DD23AB"/>
    <w:rPr>
      <w:rFonts w:ascii="Sylfaen" w:hAnsi="Sylfaen"/>
      <w:color w:val="auto"/>
    </w:rPr>
  </w:style>
  <w:style w:type="paragraph" w:customStyle="1" w:styleId="280">
    <w:name w:val="Знак Знак28"/>
    <w:basedOn w:val="Normal"/>
    <w:uiPriority w:val="99"/>
    <w:qFormat/>
    <w:rsid w:val="00DD23AB"/>
    <w:pPr>
      <w:spacing w:after="160" w:line="240" w:lineRule="exact"/>
    </w:pPr>
    <w:rPr>
      <w:rFonts w:ascii="Arial" w:hAnsi="Arial" w:cs="Arial"/>
      <w:sz w:val="20"/>
      <w:szCs w:val="20"/>
    </w:rPr>
  </w:style>
  <w:style w:type="paragraph" w:customStyle="1" w:styleId="CharCharChar80">
    <w:name w:val="Char Char Char Знак Знак8"/>
    <w:basedOn w:val="Normal"/>
    <w:uiPriority w:val="99"/>
    <w:qFormat/>
    <w:rsid w:val="00DD23AB"/>
    <w:pPr>
      <w:spacing w:after="160" w:line="240" w:lineRule="exact"/>
    </w:pPr>
    <w:rPr>
      <w:rFonts w:ascii="Arial" w:hAnsi="Arial" w:cs="Arial"/>
      <w:sz w:val="20"/>
      <w:szCs w:val="20"/>
    </w:rPr>
  </w:style>
  <w:style w:type="paragraph" w:customStyle="1" w:styleId="CharCharCharCharChar80">
    <w:name w:val="Char Char Char Char Char Знак Знак8"/>
    <w:basedOn w:val="Normal"/>
    <w:uiPriority w:val="99"/>
    <w:qFormat/>
    <w:rsid w:val="00DD23AB"/>
    <w:pPr>
      <w:spacing w:after="160" w:line="240" w:lineRule="exact"/>
    </w:pPr>
    <w:rPr>
      <w:rFonts w:ascii="Arial" w:hAnsi="Arial" w:cs="Arial"/>
      <w:sz w:val="20"/>
      <w:szCs w:val="20"/>
    </w:rPr>
  </w:style>
  <w:style w:type="character" w:customStyle="1" w:styleId="CharChar68">
    <w:name w:val="Char Char68"/>
    <w:uiPriority w:val="99"/>
    <w:rsid w:val="00DD23AB"/>
    <w:rPr>
      <w:rFonts w:ascii="Times Armenian" w:hAnsi="Times Armenian" w:cs="Arial"/>
      <w:b/>
      <w:bCs/>
      <w:i/>
      <w:noProof/>
      <w:sz w:val="26"/>
      <w:szCs w:val="26"/>
      <w:u w:val="single"/>
      <w:lang w:val="hy-AM" w:eastAsia="en-US" w:bidi="ar-SA"/>
    </w:rPr>
  </w:style>
  <w:style w:type="character" w:customStyle="1" w:styleId="CharChar58">
    <w:name w:val="Char Char58"/>
    <w:uiPriority w:val="99"/>
    <w:rsid w:val="00DD23AB"/>
    <w:rPr>
      <w:rFonts w:ascii="Times Armenian" w:hAnsi="Times Armenian"/>
      <w:noProof/>
      <w:sz w:val="24"/>
      <w:szCs w:val="24"/>
      <w:lang w:val="hy-AM" w:eastAsia="en-US" w:bidi="ar-SA"/>
    </w:rPr>
  </w:style>
  <w:style w:type="character" w:customStyle="1" w:styleId="CharChar48">
    <w:name w:val="Char Char48"/>
    <w:uiPriority w:val="99"/>
    <w:rsid w:val="00DD23AB"/>
    <w:rPr>
      <w:noProof/>
      <w:lang w:val="hy-AM" w:eastAsia="en-US" w:bidi="ar-SA"/>
    </w:rPr>
  </w:style>
  <w:style w:type="character" w:customStyle="1" w:styleId="CharChar187">
    <w:name w:val="Char Char187"/>
    <w:uiPriority w:val="99"/>
    <w:rsid w:val="00DD23AB"/>
    <w:rPr>
      <w:rFonts w:ascii="Times Armenian" w:eastAsia="Times New Roman" w:hAnsi="Times Armenian" w:cs="Times New Roman"/>
      <w:b/>
      <w:i/>
      <w:noProof/>
      <w:sz w:val="28"/>
      <w:szCs w:val="20"/>
      <w:lang w:val="hy-AM"/>
    </w:rPr>
  </w:style>
  <w:style w:type="character" w:customStyle="1" w:styleId="CharChar137">
    <w:name w:val="Char Char137"/>
    <w:uiPriority w:val="99"/>
    <w:semiHidden/>
    <w:rsid w:val="00DD23AB"/>
    <w:rPr>
      <w:rFonts w:ascii="Times New Roman" w:eastAsia="Times New Roman" w:hAnsi="Times New Roman" w:cs="Times New Roman"/>
      <w:noProof/>
      <w:sz w:val="20"/>
      <w:szCs w:val="20"/>
      <w:lang w:val="hy-AM"/>
    </w:rPr>
  </w:style>
  <w:style w:type="character" w:customStyle="1" w:styleId="CharChar127">
    <w:name w:val="Char Char127"/>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80">
    <w:name w:val="Char Char Char Char8"/>
    <w:basedOn w:val="Normal"/>
    <w:uiPriority w:val="99"/>
    <w:qFormat/>
    <w:rsid w:val="00DD23AB"/>
    <w:pPr>
      <w:spacing w:after="160" w:line="240" w:lineRule="exact"/>
    </w:pPr>
    <w:rPr>
      <w:rFonts w:ascii="Arial" w:hAnsi="Arial" w:cs="Arial"/>
      <w:sz w:val="20"/>
      <w:szCs w:val="20"/>
    </w:rPr>
  </w:style>
  <w:style w:type="character" w:customStyle="1" w:styleId="CharChar237">
    <w:name w:val="Char Char237"/>
    <w:uiPriority w:val="99"/>
    <w:rsid w:val="00DD23AB"/>
    <w:rPr>
      <w:rFonts w:ascii="Times Armenian" w:eastAsia="Times New Roman" w:hAnsi="Times Armenian" w:cs="Times New Roman"/>
      <w:noProof/>
      <w:sz w:val="24"/>
      <w:szCs w:val="24"/>
      <w:u w:val="single"/>
      <w:lang w:val="hy-AM"/>
    </w:rPr>
  </w:style>
  <w:style w:type="character" w:customStyle="1" w:styleId="CharChar247">
    <w:name w:val="Char Char247"/>
    <w:uiPriority w:val="99"/>
    <w:locked/>
    <w:rsid w:val="00DD23AB"/>
    <w:rPr>
      <w:rFonts w:ascii="Times Armenian" w:eastAsia="Times New Roman" w:hAnsi="Times Armenian" w:cs="Times New Roman"/>
      <w:b/>
      <w:i/>
      <w:noProof/>
      <w:sz w:val="28"/>
      <w:szCs w:val="20"/>
      <w:lang w:val="hy-AM"/>
    </w:rPr>
  </w:style>
  <w:style w:type="character" w:customStyle="1" w:styleId="Impact115pt0pt3">
    <w:name w:val="Основной текст + Impact.11.5 pt.Курсив.Интервал 0 pt3"/>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3">
    <w:name w:val="Основной текст + 15 pt.Полужирный.Интервал 0 pt3"/>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3">
    <w:name w:val="Основной текст + 11 pt.Полужирный.Интервал 0 pt3"/>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a">
    <w:name w:val="Աղյուսակ"/>
    <w:basedOn w:val="Normal"/>
    <w:next w:val="Normal"/>
    <w:link w:val="Chara"/>
    <w:uiPriority w:val="99"/>
    <w:qFormat/>
    <w:rsid w:val="00DD23AB"/>
    <w:pPr>
      <w:keepNext/>
      <w:numPr>
        <w:numId w:val="7"/>
      </w:numPr>
      <w:spacing w:before="240" w:after="120"/>
      <w:ind w:left="0" w:firstLine="0"/>
      <w:jc w:val="both"/>
    </w:pPr>
    <w:rPr>
      <w:rFonts w:ascii="GHEA Grapalat" w:eastAsia="Calibri" w:hAnsi="GHEA Grapalat"/>
      <w:b/>
      <w:noProof/>
      <w:color w:val="1F497D"/>
      <w:lang w:val="hy-AM"/>
    </w:rPr>
  </w:style>
  <w:style w:type="character" w:customStyle="1" w:styleId="Chara">
    <w:name w:val="Աղյուսակ Char"/>
    <w:link w:val="a"/>
    <w:uiPriority w:val="99"/>
    <w:rsid w:val="00DD23AB"/>
    <w:rPr>
      <w:rFonts w:ascii="GHEA Grapalat" w:eastAsia="Calibri" w:hAnsi="GHEA Grapalat"/>
      <w:b/>
      <w:noProof/>
      <w:color w:val="1F497D"/>
      <w:sz w:val="24"/>
      <w:szCs w:val="24"/>
      <w:lang w:val="hy-AM"/>
    </w:rPr>
  </w:style>
  <w:style w:type="table" w:customStyle="1" w:styleId="TableGrid12">
    <w:name w:val="Table Grid12"/>
    <w:basedOn w:val="TableNormal"/>
    <w:next w:val="TableGrid"/>
    <w:uiPriority w:val="99"/>
    <w:rsid w:val="00CE5746"/>
    <w:pPr>
      <w:spacing w:after="200" w:line="276"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next w:val="TableGrid"/>
    <w:uiPriority w:val="39"/>
    <w:rsid w:val="00DA41EE"/>
    <w:pPr>
      <w:spacing w:after="200" w:line="276" w:lineRule="auto"/>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2">
    <w:name w:val="Table Grid1113112"/>
    <w:basedOn w:val="TableNormal"/>
    <w:next w:val="TableGrid"/>
    <w:uiPriority w:val="39"/>
    <w:rsid w:val="00DA41EE"/>
    <w:pPr>
      <w:spacing w:after="200" w:line="276" w:lineRule="auto"/>
    </w:pPr>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2">
    <w:name w:val="Table Grid912"/>
    <w:basedOn w:val="TableNormal"/>
    <w:next w:val="TableGrid"/>
    <w:uiPriority w:val="39"/>
    <w:rsid w:val="00DA41E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DA41EE"/>
    <w:rPr>
      <w:rFonts w:asciiTheme="minorHAnsi" w:eastAsiaTheme="minorHAnsi" w:hAnsiTheme="minorHAnsi" w:cstheme="minorBidi"/>
      <w:sz w:val="22"/>
      <w:szCs w:val="22"/>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ainTextChar2">
    <w:name w:val="(Main Text) Char2"/>
    <w:aliases w:val="date Char2,Body Text (Main text) Char Char,Body Text Char3,Body Text (Main text) Char2,Body Text Char31,(Main Text) Char21,date Char21,Body Text (Main text) Char21"/>
    <w:uiPriority w:val="99"/>
    <w:locked/>
    <w:rsid w:val="00372C78"/>
    <w:rPr>
      <w:rFonts w:ascii="Times LatArm" w:hAnsi="Times LatArm"/>
      <w:b/>
      <w:sz w:val="40"/>
      <w:lang w:val="en-GB" w:eastAsia="en-US"/>
    </w:rPr>
  </w:style>
  <w:style w:type="paragraph" w:customStyle="1" w:styleId="a9">
    <w:name w:val="Абзац списка"/>
    <w:basedOn w:val="Normal"/>
    <w:uiPriority w:val="99"/>
    <w:rsid w:val="00372C78"/>
    <w:pPr>
      <w:spacing w:after="200" w:line="276" w:lineRule="auto"/>
      <w:ind w:left="720"/>
      <w:contextualSpacing/>
    </w:pPr>
    <w:rPr>
      <w:rFonts w:ascii="Calibri" w:hAnsi="Calibri"/>
      <w:sz w:val="22"/>
      <w:szCs w:val="22"/>
      <w:lang w:val="ru-RU"/>
    </w:rPr>
  </w:style>
  <w:style w:type="paragraph" w:customStyle="1" w:styleId="aa">
    <w:name w:val="Без интервала"/>
    <w:uiPriority w:val="99"/>
    <w:rsid w:val="00372C78"/>
    <w:rPr>
      <w:rFonts w:ascii="Calibri" w:hAnsi="Calibri" w:cs="Calibri"/>
      <w:sz w:val="22"/>
      <w:szCs w:val="22"/>
    </w:rPr>
  </w:style>
  <w:style w:type="paragraph" w:customStyle="1" w:styleId="ab">
    <w:name w:val="Основной текст"/>
    <w:basedOn w:val="Normal"/>
    <w:uiPriority w:val="99"/>
    <w:rsid w:val="00372C78"/>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Normal2">
    <w:name w:val="Normal2"/>
    <w:uiPriority w:val="99"/>
    <w:rsid w:val="00372C78"/>
    <w:rPr>
      <w:sz w:val="24"/>
      <w:szCs w:val="24"/>
      <w:lang w:val="hy-AM"/>
    </w:rPr>
  </w:style>
  <w:style w:type="paragraph" w:customStyle="1" w:styleId="Normal3">
    <w:name w:val="Normal3"/>
    <w:uiPriority w:val="99"/>
    <w:rsid w:val="00372C78"/>
    <w:rPr>
      <w:sz w:val="24"/>
      <w:szCs w:val="24"/>
      <w:lang w:val="hy-AM"/>
    </w:rPr>
  </w:style>
  <w:style w:type="paragraph" w:customStyle="1" w:styleId="221">
    <w:name w:val="Абзац списка22"/>
    <w:basedOn w:val="Normal"/>
    <w:uiPriority w:val="99"/>
    <w:rsid w:val="00372C78"/>
    <w:pPr>
      <w:spacing w:after="200" w:line="276" w:lineRule="auto"/>
      <w:ind w:left="720"/>
      <w:contextualSpacing/>
    </w:pPr>
    <w:rPr>
      <w:rFonts w:ascii="Calibri" w:hAnsi="Calibri"/>
      <w:sz w:val="22"/>
      <w:szCs w:val="22"/>
      <w:lang w:val="ru-RU"/>
    </w:rPr>
  </w:style>
  <w:style w:type="character" w:customStyle="1" w:styleId="52">
    <w:name w:val="Основной текст52"/>
    <w:uiPriority w:val="99"/>
    <w:rsid w:val="00372C78"/>
    <w:rPr>
      <w:rFonts w:ascii="Sylfaen" w:hAnsi="Sylfaen"/>
      <w:spacing w:val="0"/>
      <w:u w:val="none"/>
      <w:effect w:val="none"/>
      <w:shd w:val="clear" w:color="auto" w:fill="FFFFFF"/>
    </w:rPr>
  </w:style>
  <w:style w:type="paragraph" w:customStyle="1" w:styleId="320">
    <w:name w:val="Без интервала32"/>
    <w:uiPriority w:val="99"/>
    <w:rsid w:val="00372C78"/>
    <w:rPr>
      <w:rFonts w:ascii="Calibri" w:hAnsi="Calibri" w:cs="Calibri"/>
      <w:sz w:val="22"/>
      <w:szCs w:val="22"/>
    </w:rPr>
  </w:style>
  <w:style w:type="paragraph" w:customStyle="1" w:styleId="msonormalmrcssattr">
    <w:name w:val="msonormal_mr_css_attr"/>
    <w:basedOn w:val="Normal"/>
    <w:uiPriority w:val="99"/>
    <w:rsid w:val="00372C78"/>
    <w:pPr>
      <w:spacing w:before="100" w:beforeAutospacing="1" w:after="100" w:afterAutospacing="1"/>
    </w:pPr>
    <w:rPr>
      <w:rFonts w:ascii="Times New Roman" w:hAnsi="Times New Roman"/>
    </w:rPr>
  </w:style>
  <w:style w:type="paragraph" w:customStyle="1" w:styleId="211">
    <w:name w:val="Абзац списка21"/>
    <w:basedOn w:val="Normal"/>
    <w:uiPriority w:val="99"/>
    <w:rsid w:val="00372C78"/>
    <w:pPr>
      <w:spacing w:after="200" w:line="276" w:lineRule="auto"/>
      <w:ind w:left="720"/>
    </w:pPr>
    <w:rPr>
      <w:rFonts w:ascii="Calibri" w:hAnsi="Calibri" w:cs="Calibri"/>
      <w:sz w:val="22"/>
      <w:szCs w:val="22"/>
    </w:rPr>
  </w:style>
  <w:style w:type="character" w:customStyle="1" w:styleId="51">
    <w:name w:val="Основной текст51"/>
    <w:uiPriority w:val="99"/>
    <w:rsid w:val="00372C78"/>
    <w:rPr>
      <w:rFonts w:ascii="Sylfaen" w:hAnsi="Sylfaen"/>
      <w:spacing w:val="0"/>
      <w:u w:val="none"/>
      <w:effect w:val="none"/>
      <w:shd w:val="clear" w:color="auto" w:fill="FFFFFF"/>
    </w:rPr>
  </w:style>
  <w:style w:type="paragraph" w:customStyle="1" w:styleId="310">
    <w:name w:val="Без интервала31"/>
    <w:uiPriority w:val="99"/>
    <w:rsid w:val="00372C78"/>
    <w:rPr>
      <w:rFonts w:ascii="Calibri" w:hAnsi="Calibri" w:cs="Calibri"/>
      <w:sz w:val="22"/>
      <w:szCs w:val="22"/>
    </w:rPr>
  </w:style>
  <w:style w:type="character" w:customStyle="1" w:styleId="acopre">
    <w:name w:val="acopre"/>
    <w:uiPriority w:val="99"/>
    <w:rsid w:val="00372C78"/>
    <w:rPr>
      <w:rFonts w:cs="Times New Roman"/>
    </w:rPr>
  </w:style>
  <w:style w:type="character" w:customStyle="1" w:styleId="mechtex0">
    <w:name w:val="mechtex Знак"/>
    <w:locked/>
    <w:rsid w:val="00372C78"/>
    <w:rPr>
      <w:rFonts w:ascii="Arial Armenian" w:eastAsia="Times New Roman" w:hAnsi="Arial Armenian" w:cs="Arial Armenian"/>
      <w:kern w:val="2"/>
      <w:lang w:eastAsia="ru-RU"/>
    </w:rPr>
  </w:style>
  <w:style w:type="paragraph" w:customStyle="1" w:styleId="BodyA">
    <w:name w:val="Body A"/>
    <w:rsid w:val="00372C78"/>
    <w:rPr>
      <w:rFonts w:ascii="Helvetica Neue" w:eastAsia="Arial Unicode MS" w:hAnsi="Helvetica Neue" w:cs="Arial Unicode MS"/>
      <w:color w:val="000000"/>
      <w:sz w:val="22"/>
      <w:szCs w:val="22"/>
      <w:u w:color="000000"/>
    </w:rPr>
  </w:style>
  <w:style w:type="paragraph" w:customStyle="1" w:styleId="TableContents">
    <w:name w:val="Table Contents"/>
    <w:basedOn w:val="Normal"/>
    <w:uiPriority w:val="99"/>
    <w:qFormat/>
    <w:rsid w:val="00372C78"/>
    <w:pPr>
      <w:widowControl w:val="0"/>
      <w:suppressLineNumbers/>
      <w:suppressAutoHyphens/>
    </w:pPr>
    <w:rPr>
      <w:rFonts w:ascii="Liberation Serif" w:eastAsia="Noto Serif CJK SC" w:hAnsi="Liberation Serif" w:cs="Lohit Devanagari"/>
      <w:kern w:val="2"/>
      <w:lang w:eastAsia="zh-CN" w:bidi="hi-IN"/>
    </w:rPr>
  </w:style>
  <w:style w:type="character" w:customStyle="1" w:styleId="CommentTextChar1">
    <w:name w:val="Comment Text Char1"/>
    <w:semiHidden/>
    <w:rsid w:val="00372C78"/>
    <w:rPr>
      <w:rFonts w:ascii="Arial Armenian" w:hAnsi="Arial Armenian"/>
    </w:rPr>
  </w:style>
  <w:style w:type="character" w:customStyle="1" w:styleId="Heading7Char1">
    <w:name w:val="Heading 7 Char1"/>
    <w:semiHidden/>
    <w:rsid w:val="00372C78"/>
    <w:rPr>
      <w:rFonts w:ascii="Cambria" w:eastAsia="Times New Roman" w:hAnsi="Cambria" w:cs="Times New Roman"/>
      <w:i/>
      <w:iCs/>
      <w:color w:val="404040"/>
      <w:sz w:val="24"/>
      <w:szCs w:val="24"/>
    </w:rPr>
  </w:style>
  <w:style w:type="character" w:customStyle="1" w:styleId="Heading8Char1">
    <w:name w:val="Heading 8 Char1"/>
    <w:semiHidden/>
    <w:rsid w:val="00372C78"/>
    <w:rPr>
      <w:rFonts w:ascii="Cambria" w:eastAsia="Times New Roman" w:hAnsi="Cambria" w:cs="Times New Roman"/>
      <w:color w:val="404040"/>
    </w:rPr>
  </w:style>
  <w:style w:type="character" w:customStyle="1" w:styleId="Heading9Char1">
    <w:name w:val="Heading 9 Char1"/>
    <w:uiPriority w:val="99"/>
    <w:semiHidden/>
    <w:rsid w:val="00372C78"/>
    <w:rPr>
      <w:rFonts w:ascii="Cambria" w:eastAsia="Times New Roman" w:hAnsi="Cambria" w:cs="Times New Roman"/>
      <w:i/>
      <w:iCs/>
      <w:color w:val="404040"/>
    </w:rPr>
  </w:style>
  <w:style w:type="character" w:customStyle="1" w:styleId="BodyTextIndent2Char1">
    <w:name w:val="Body Text Indent 2 Char1"/>
    <w:semiHidden/>
    <w:rsid w:val="00372C78"/>
    <w:rPr>
      <w:rFonts w:ascii="Arial Armenian" w:hAnsi="Arial Armenian"/>
      <w:sz w:val="24"/>
      <w:szCs w:val="24"/>
    </w:rPr>
  </w:style>
  <w:style w:type="character" w:customStyle="1" w:styleId="CommentSubjectChar1">
    <w:name w:val="Comment Subject Char1"/>
    <w:semiHidden/>
    <w:rsid w:val="00372C78"/>
    <w:rPr>
      <w:rFonts w:ascii="Arial Armenian" w:hAnsi="Arial Armenian"/>
      <w:b/>
      <w:bCs/>
    </w:rPr>
  </w:style>
  <w:style w:type="character" w:customStyle="1" w:styleId="EndnoteTextChar1">
    <w:name w:val="Endnote Text Char1"/>
    <w:semiHidden/>
    <w:rsid w:val="00372C78"/>
    <w:rPr>
      <w:rFonts w:ascii="Arial Armenian" w:hAnsi="Arial Armenian"/>
    </w:rPr>
  </w:style>
  <w:style w:type="character" w:customStyle="1" w:styleId="DocumentMapChar1">
    <w:name w:val="Document Map Char1"/>
    <w:uiPriority w:val="99"/>
    <w:semiHidden/>
    <w:rsid w:val="00372C78"/>
    <w:rPr>
      <w:rFonts w:ascii="Tahoma" w:hAnsi="Tahoma" w:cs="Tahoma"/>
      <w:sz w:val="16"/>
      <w:szCs w:val="16"/>
    </w:rPr>
  </w:style>
  <w:style w:type="character" w:customStyle="1" w:styleId="BodyTextFirstIndentChar1">
    <w:name w:val="Body Text First Indent Char1"/>
    <w:uiPriority w:val="99"/>
    <w:semiHidden/>
    <w:rsid w:val="00372C78"/>
    <w:rPr>
      <w:rFonts w:ascii="Times Armenian" w:hAnsi="Times Armenian" w:cs="Times New Roman"/>
      <w:b/>
      <w:i/>
      <w:noProof/>
      <w:sz w:val="24"/>
      <w:szCs w:val="24"/>
      <w:lang w:val="hy-AM"/>
    </w:rPr>
  </w:style>
  <w:style w:type="character" w:customStyle="1" w:styleId="IntenseQuoteChar1">
    <w:name w:val="Intense Quote Char1"/>
    <w:uiPriority w:val="99"/>
    <w:rsid w:val="00372C78"/>
    <w:rPr>
      <w:rFonts w:ascii="Arial Armenian" w:hAnsi="Arial Armenian"/>
      <w:b/>
      <w:bCs/>
      <w:i/>
      <w:iCs/>
      <w:color w:val="4F81BD"/>
      <w:sz w:val="24"/>
      <w:szCs w:val="24"/>
    </w:rPr>
  </w:style>
  <w:style w:type="character" w:customStyle="1" w:styleId="PlainTextChar2">
    <w:name w:val="Plain Text Char2"/>
    <w:uiPriority w:val="99"/>
    <w:semiHidden/>
    <w:rsid w:val="00372C78"/>
    <w:rPr>
      <w:rFonts w:ascii="Consolas" w:hAnsi="Consolas"/>
      <w:sz w:val="21"/>
      <w:szCs w:val="21"/>
    </w:rPr>
  </w:style>
  <w:style w:type="character" w:customStyle="1" w:styleId="TitleChar2">
    <w:name w:val="Title Char2"/>
    <w:uiPriority w:val="10"/>
    <w:rsid w:val="00372C78"/>
    <w:rPr>
      <w:rFonts w:ascii="Cambria" w:eastAsia="Times New Roman" w:hAnsi="Cambria" w:cs="Times New Roman"/>
      <w:color w:val="17365D"/>
      <w:spacing w:val="5"/>
      <w:kern w:val="28"/>
      <w:sz w:val="52"/>
      <w:szCs w:val="52"/>
    </w:rPr>
  </w:style>
  <w:style w:type="character" w:customStyle="1" w:styleId="SubtitleChar2">
    <w:name w:val="Subtitle Char2"/>
    <w:uiPriority w:val="11"/>
    <w:rsid w:val="00372C78"/>
    <w:rPr>
      <w:rFonts w:ascii="Cambria" w:eastAsia="Times New Roman" w:hAnsi="Cambria" w:cs="Times New Roman"/>
      <w:i/>
      <w:iCs/>
      <w:color w:val="4F81BD"/>
      <w:spacing w:val="15"/>
      <w:sz w:val="24"/>
      <w:szCs w:val="24"/>
    </w:rPr>
  </w:style>
  <w:style w:type="character" w:customStyle="1" w:styleId="QuoteChar1">
    <w:name w:val="Quote Char1"/>
    <w:uiPriority w:val="99"/>
    <w:rsid w:val="00372C78"/>
    <w:rPr>
      <w:rFonts w:ascii="Arial Armenian" w:hAnsi="Arial Armenian"/>
      <w:i/>
      <w:iCs/>
      <w:color w:val="000000"/>
      <w:sz w:val="24"/>
      <w:szCs w:val="24"/>
    </w:rPr>
  </w:style>
  <w:style w:type="numbering" w:customStyle="1" w:styleId="1">
    <w:name w:val="Стиль1"/>
    <w:uiPriority w:val="99"/>
    <w:rsid w:val="00372C78"/>
    <w:pPr>
      <w:numPr>
        <w:numId w:val="12"/>
      </w:numPr>
    </w:pPr>
  </w:style>
  <w:style w:type="character" w:customStyle="1" w:styleId="UnresolvedMention1">
    <w:name w:val="Unresolved Mention1"/>
    <w:uiPriority w:val="99"/>
    <w:semiHidden/>
    <w:rsid w:val="00372C78"/>
    <w:rPr>
      <w:color w:val="605E5C"/>
      <w:shd w:val="clear" w:color="auto" w:fill="E1DFDD"/>
    </w:rPr>
  </w:style>
  <w:style w:type="character" w:customStyle="1" w:styleId="markedcontent">
    <w:name w:val="markedcontent"/>
    <w:rsid w:val="00372C78"/>
  </w:style>
  <w:style w:type="paragraph" w:customStyle="1" w:styleId="BVIfnr1">
    <w:name w:val="BVI fnr1"/>
    <w:aliases w:val=" BVI fnr Char,Appel note de bas de p..BVI fnr Car Car Car Car, BVI fnr Car Car,BVI fnr Car, BVI fnr Car Car Car Car, BVI fnr Car Car Car Car Char,Appel note de bas de p..BVI fnr Car Car Car Car1, BVI fnr"/>
    <w:basedOn w:val="Normal"/>
    <w:link w:val="FootnoteReference"/>
    <w:uiPriority w:val="99"/>
    <w:rsid w:val="00563135"/>
    <w:pPr>
      <w:spacing w:after="160" w:line="240" w:lineRule="exact"/>
    </w:pPr>
    <w:rPr>
      <w:rFonts w:ascii="Times New Roman" w:hAnsi="Times New Roman"/>
      <w:sz w:val="20"/>
      <w:szCs w:val="20"/>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har">
    <w:name w:val="Style1"/>
    <w:pPr>
      <w:numPr>
        <w:numId w:val="4"/>
      </w:numPr>
    </w:pPr>
  </w:style>
  <w:style w:type="numbering" w:customStyle="1" w:styleId="BodyText">
    <w:name w:val="1"/>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862013">
      <w:bodyDiv w:val="1"/>
      <w:marLeft w:val="0"/>
      <w:marRight w:val="0"/>
      <w:marTop w:val="0"/>
      <w:marBottom w:val="0"/>
      <w:divBdr>
        <w:top w:val="none" w:sz="0" w:space="0" w:color="auto"/>
        <w:left w:val="none" w:sz="0" w:space="0" w:color="auto"/>
        <w:bottom w:val="none" w:sz="0" w:space="0" w:color="auto"/>
        <w:right w:val="none" w:sz="0" w:space="0" w:color="auto"/>
      </w:divBdr>
    </w:div>
    <w:div w:id="238833589">
      <w:bodyDiv w:val="1"/>
      <w:marLeft w:val="0"/>
      <w:marRight w:val="0"/>
      <w:marTop w:val="0"/>
      <w:marBottom w:val="0"/>
      <w:divBdr>
        <w:top w:val="none" w:sz="0" w:space="0" w:color="auto"/>
        <w:left w:val="none" w:sz="0" w:space="0" w:color="auto"/>
        <w:bottom w:val="none" w:sz="0" w:space="0" w:color="auto"/>
        <w:right w:val="none" w:sz="0" w:space="0" w:color="auto"/>
      </w:divBdr>
    </w:div>
    <w:div w:id="250817365">
      <w:bodyDiv w:val="1"/>
      <w:marLeft w:val="0"/>
      <w:marRight w:val="0"/>
      <w:marTop w:val="0"/>
      <w:marBottom w:val="0"/>
      <w:divBdr>
        <w:top w:val="none" w:sz="0" w:space="0" w:color="auto"/>
        <w:left w:val="none" w:sz="0" w:space="0" w:color="auto"/>
        <w:bottom w:val="none" w:sz="0" w:space="0" w:color="auto"/>
        <w:right w:val="none" w:sz="0" w:space="0" w:color="auto"/>
      </w:divBdr>
    </w:div>
    <w:div w:id="317535468">
      <w:bodyDiv w:val="1"/>
      <w:marLeft w:val="0"/>
      <w:marRight w:val="0"/>
      <w:marTop w:val="0"/>
      <w:marBottom w:val="0"/>
      <w:divBdr>
        <w:top w:val="none" w:sz="0" w:space="0" w:color="auto"/>
        <w:left w:val="none" w:sz="0" w:space="0" w:color="auto"/>
        <w:bottom w:val="none" w:sz="0" w:space="0" w:color="auto"/>
        <w:right w:val="none" w:sz="0" w:space="0" w:color="auto"/>
      </w:divBdr>
    </w:div>
    <w:div w:id="503864277">
      <w:bodyDiv w:val="1"/>
      <w:marLeft w:val="0"/>
      <w:marRight w:val="0"/>
      <w:marTop w:val="0"/>
      <w:marBottom w:val="0"/>
      <w:divBdr>
        <w:top w:val="none" w:sz="0" w:space="0" w:color="auto"/>
        <w:left w:val="none" w:sz="0" w:space="0" w:color="auto"/>
        <w:bottom w:val="none" w:sz="0" w:space="0" w:color="auto"/>
        <w:right w:val="none" w:sz="0" w:space="0" w:color="auto"/>
      </w:divBdr>
    </w:div>
    <w:div w:id="531771364">
      <w:bodyDiv w:val="1"/>
      <w:marLeft w:val="0"/>
      <w:marRight w:val="0"/>
      <w:marTop w:val="0"/>
      <w:marBottom w:val="0"/>
      <w:divBdr>
        <w:top w:val="none" w:sz="0" w:space="0" w:color="auto"/>
        <w:left w:val="none" w:sz="0" w:space="0" w:color="auto"/>
        <w:bottom w:val="none" w:sz="0" w:space="0" w:color="auto"/>
        <w:right w:val="none" w:sz="0" w:space="0" w:color="auto"/>
      </w:divBdr>
    </w:div>
    <w:div w:id="765416837">
      <w:bodyDiv w:val="1"/>
      <w:marLeft w:val="0"/>
      <w:marRight w:val="0"/>
      <w:marTop w:val="0"/>
      <w:marBottom w:val="0"/>
      <w:divBdr>
        <w:top w:val="none" w:sz="0" w:space="0" w:color="auto"/>
        <w:left w:val="none" w:sz="0" w:space="0" w:color="auto"/>
        <w:bottom w:val="none" w:sz="0" w:space="0" w:color="auto"/>
        <w:right w:val="none" w:sz="0" w:space="0" w:color="auto"/>
      </w:divBdr>
    </w:div>
    <w:div w:id="798763370">
      <w:bodyDiv w:val="1"/>
      <w:marLeft w:val="0"/>
      <w:marRight w:val="0"/>
      <w:marTop w:val="0"/>
      <w:marBottom w:val="0"/>
      <w:divBdr>
        <w:top w:val="none" w:sz="0" w:space="0" w:color="auto"/>
        <w:left w:val="none" w:sz="0" w:space="0" w:color="auto"/>
        <w:bottom w:val="none" w:sz="0" w:space="0" w:color="auto"/>
        <w:right w:val="none" w:sz="0" w:space="0" w:color="auto"/>
      </w:divBdr>
    </w:div>
    <w:div w:id="1034814005">
      <w:bodyDiv w:val="1"/>
      <w:marLeft w:val="0"/>
      <w:marRight w:val="0"/>
      <w:marTop w:val="0"/>
      <w:marBottom w:val="0"/>
      <w:divBdr>
        <w:top w:val="none" w:sz="0" w:space="0" w:color="auto"/>
        <w:left w:val="none" w:sz="0" w:space="0" w:color="auto"/>
        <w:bottom w:val="none" w:sz="0" w:space="0" w:color="auto"/>
        <w:right w:val="none" w:sz="0" w:space="0" w:color="auto"/>
      </w:divBdr>
    </w:div>
    <w:div w:id="1049842714">
      <w:bodyDiv w:val="1"/>
      <w:marLeft w:val="0"/>
      <w:marRight w:val="0"/>
      <w:marTop w:val="0"/>
      <w:marBottom w:val="0"/>
      <w:divBdr>
        <w:top w:val="none" w:sz="0" w:space="0" w:color="auto"/>
        <w:left w:val="none" w:sz="0" w:space="0" w:color="auto"/>
        <w:bottom w:val="none" w:sz="0" w:space="0" w:color="auto"/>
        <w:right w:val="none" w:sz="0" w:space="0" w:color="auto"/>
      </w:divBdr>
    </w:div>
    <w:div w:id="1144006452">
      <w:bodyDiv w:val="1"/>
      <w:marLeft w:val="0"/>
      <w:marRight w:val="0"/>
      <w:marTop w:val="0"/>
      <w:marBottom w:val="0"/>
      <w:divBdr>
        <w:top w:val="none" w:sz="0" w:space="0" w:color="auto"/>
        <w:left w:val="none" w:sz="0" w:space="0" w:color="auto"/>
        <w:bottom w:val="none" w:sz="0" w:space="0" w:color="auto"/>
        <w:right w:val="none" w:sz="0" w:space="0" w:color="auto"/>
      </w:divBdr>
    </w:div>
    <w:div w:id="1178083613">
      <w:bodyDiv w:val="1"/>
      <w:marLeft w:val="0"/>
      <w:marRight w:val="0"/>
      <w:marTop w:val="0"/>
      <w:marBottom w:val="0"/>
      <w:divBdr>
        <w:top w:val="none" w:sz="0" w:space="0" w:color="auto"/>
        <w:left w:val="none" w:sz="0" w:space="0" w:color="auto"/>
        <w:bottom w:val="none" w:sz="0" w:space="0" w:color="auto"/>
        <w:right w:val="none" w:sz="0" w:space="0" w:color="auto"/>
      </w:divBdr>
    </w:div>
    <w:div w:id="1232429533">
      <w:bodyDiv w:val="1"/>
      <w:marLeft w:val="0"/>
      <w:marRight w:val="0"/>
      <w:marTop w:val="0"/>
      <w:marBottom w:val="0"/>
      <w:divBdr>
        <w:top w:val="none" w:sz="0" w:space="0" w:color="auto"/>
        <w:left w:val="none" w:sz="0" w:space="0" w:color="auto"/>
        <w:bottom w:val="none" w:sz="0" w:space="0" w:color="auto"/>
        <w:right w:val="none" w:sz="0" w:space="0" w:color="auto"/>
      </w:divBdr>
    </w:div>
    <w:div w:id="1300038348">
      <w:bodyDiv w:val="1"/>
      <w:marLeft w:val="0"/>
      <w:marRight w:val="0"/>
      <w:marTop w:val="0"/>
      <w:marBottom w:val="0"/>
      <w:divBdr>
        <w:top w:val="none" w:sz="0" w:space="0" w:color="auto"/>
        <w:left w:val="none" w:sz="0" w:space="0" w:color="auto"/>
        <w:bottom w:val="none" w:sz="0" w:space="0" w:color="auto"/>
        <w:right w:val="none" w:sz="0" w:space="0" w:color="auto"/>
      </w:divBdr>
    </w:div>
    <w:div w:id="1505777799">
      <w:bodyDiv w:val="1"/>
      <w:marLeft w:val="0"/>
      <w:marRight w:val="0"/>
      <w:marTop w:val="0"/>
      <w:marBottom w:val="0"/>
      <w:divBdr>
        <w:top w:val="none" w:sz="0" w:space="0" w:color="auto"/>
        <w:left w:val="none" w:sz="0" w:space="0" w:color="auto"/>
        <w:bottom w:val="none" w:sz="0" w:space="0" w:color="auto"/>
        <w:right w:val="none" w:sz="0" w:space="0" w:color="auto"/>
      </w:divBdr>
    </w:div>
    <w:div w:id="1538814863">
      <w:bodyDiv w:val="1"/>
      <w:marLeft w:val="0"/>
      <w:marRight w:val="0"/>
      <w:marTop w:val="0"/>
      <w:marBottom w:val="0"/>
      <w:divBdr>
        <w:top w:val="none" w:sz="0" w:space="0" w:color="auto"/>
        <w:left w:val="none" w:sz="0" w:space="0" w:color="auto"/>
        <w:bottom w:val="none" w:sz="0" w:space="0" w:color="auto"/>
        <w:right w:val="none" w:sz="0" w:space="0" w:color="auto"/>
      </w:divBdr>
    </w:div>
    <w:div w:id="1578008283">
      <w:bodyDiv w:val="1"/>
      <w:marLeft w:val="0"/>
      <w:marRight w:val="0"/>
      <w:marTop w:val="0"/>
      <w:marBottom w:val="0"/>
      <w:divBdr>
        <w:top w:val="none" w:sz="0" w:space="0" w:color="auto"/>
        <w:left w:val="none" w:sz="0" w:space="0" w:color="auto"/>
        <w:bottom w:val="none" w:sz="0" w:space="0" w:color="auto"/>
        <w:right w:val="none" w:sz="0" w:space="0" w:color="auto"/>
      </w:divBdr>
    </w:div>
    <w:div w:id="1930232887">
      <w:bodyDiv w:val="1"/>
      <w:marLeft w:val="0"/>
      <w:marRight w:val="0"/>
      <w:marTop w:val="0"/>
      <w:marBottom w:val="0"/>
      <w:divBdr>
        <w:top w:val="none" w:sz="0" w:space="0" w:color="auto"/>
        <w:left w:val="none" w:sz="0" w:space="0" w:color="auto"/>
        <w:bottom w:val="none" w:sz="0" w:space="0" w:color="auto"/>
        <w:right w:val="none" w:sz="0" w:space="0" w:color="auto"/>
      </w:divBdr>
    </w:div>
    <w:div w:id="1972317782">
      <w:bodyDiv w:val="1"/>
      <w:marLeft w:val="0"/>
      <w:marRight w:val="0"/>
      <w:marTop w:val="0"/>
      <w:marBottom w:val="0"/>
      <w:divBdr>
        <w:top w:val="none" w:sz="0" w:space="0" w:color="auto"/>
        <w:left w:val="none" w:sz="0" w:space="0" w:color="auto"/>
        <w:bottom w:val="none" w:sz="0" w:space="0" w:color="auto"/>
        <w:right w:val="none" w:sz="0" w:space="0" w:color="auto"/>
      </w:divBdr>
    </w:div>
    <w:div w:id="204328209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chart" Target="charts/chart25.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s>
</file>

<file path=word/_rels/footnotes.xml.rels><?xml version="1.0" encoding="UTF-8" standalone="yes"?>
<Relationships xmlns="http://schemas.openxmlformats.org/package/2006/relationships"><Relationship Id="rId8" Type="http://schemas.openxmlformats.org/officeDocument/2006/relationships/hyperlink" Target="5.&#1359;&#1381;&#1394;&#1381;&#1391;&#1377;&#1398;&#1412;&#1398;&#1381;&#1408;/3.&#1344;&#1377;&#1408;&#1391;&#1377;&#1397;&#1387;&#1398;%20&#1413;&#1408;&#1381;&#1398;&#1405;&#1380;&#1408;&#1400;&#1410;&#1385;&#1397;&#1377;&#1398;%20&#1411;&#1400;&#1411;&#1400;&#1389;&#1400;&#1410;&#1385;&#1397;&#1400;&#1410;&#1398;&#1398;&#1381;&#1408;.doc" TargetMode="External"/><Relationship Id="rId13" Type="http://schemas.openxmlformats.org/officeDocument/2006/relationships/hyperlink" Target="4.&#1344;&#1377;&#1406;&#1381;&#1388;&#1406;&#1377;&#1390;&#1398;&#1381;&#1408;/2.%202022_I%20&#1381;&#1404;&#1377;&#1396;&#1405;&#1397;&#1377;&#1391;_%20&#1402;&#1377;&#1407;&#1377;&#1405;&#1389;&#1377;&#1398;&#1377;&#1407;&#1400;&#1410;,&#1390;&#1408;&#1377;&#1379;&#1387;&#1408;,&#1396;&#1387;&#1403;&#1400;&#1409;&#1377;&#1404;&#1400;&#1410;&#1396;.xls" TargetMode="External"/><Relationship Id="rId3" Type="http://schemas.openxmlformats.org/officeDocument/2006/relationships/hyperlink" Target="http://www.stats.gov.cn/english/PressRelease/202110/t20211019_1823616.html" TargetMode="External"/><Relationship Id="rId7" Type="http://schemas.openxmlformats.org/officeDocument/2006/relationships/hyperlink" Target="https://www.fao.org/worldfoodsituation/foodpricesindex/en/" TargetMode="External"/><Relationship Id="rId12" Type="http://schemas.openxmlformats.org/officeDocument/2006/relationships/hyperlink" Target="4.&#1344;&#1377;&#1406;&#1381;&#1388;&#1406;&#1377;&#1390;&#1398;&#1381;&#1408;/1.%202022_I%20&#1381;&#1404;&#1377;&#1396;&#1405;&#1397;&#1377;&#1391;_&#1377;&#1396;&#1411;&#1400;&#1411;%20&#1384;&#1405;&#1407;%20&#1390;&#1408;&#1377;&#1379;&#1408;&#1381;&#1408;&#1387;.xls" TargetMode="External"/><Relationship Id="rId2" Type="http://schemas.openxmlformats.org/officeDocument/2006/relationships/hyperlink" Target="https://ec.europa.eu/eurostat/documents/2995521/14497760/2-29042022-BP-EN.pdf" TargetMode="External"/><Relationship Id="rId16" Type="http://schemas.openxmlformats.org/officeDocument/2006/relationships/hyperlink" Target="4.&#1344;&#1377;&#1406;&#1381;&#1388;&#1406;&#1377;&#1390;&#1398;&#1381;&#1408;/5.%202022_I%20&#1381;&#1404;&#1377;&#1396;&#1405;&#1397;&#1377;&#1391;_&#1380;&#1381;&#1414;&#1387;&#1409;&#1387;&#1407;.xls" TargetMode="External"/><Relationship Id="rId1" Type="http://schemas.openxmlformats.org/officeDocument/2006/relationships/hyperlink" Target="https://ec.europa.eu/eurostat/documents/2995521/11563347/2-29102021-BP-EN.pdf/e8d47562-a783-9b7c-c1f6-0241602abbd9" TargetMode="External"/><Relationship Id="rId6" Type="http://schemas.openxmlformats.org/officeDocument/2006/relationships/hyperlink" Target="https://www.worldbank.org/en/research/commodity-markets" TargetMode="External"/><Relationship Id="rId11" Type="http://schemas.openxmlformats.org/officeDocument/2006/relationships/hyperlink" Target="5.&#1359;&#1381;&#1394;&#1381;&#1391;&#1377;&#1398;&#1412;&#1398;&#1381;&#1408;/1.&#1342;&#1377;&#1389;&#1405;&#1381;&#1408;_&#1407;&#1398;&#1407;&#1381;&#1405;&#1377;&#1379;&#1387;&#1407;&#1377;&#1391;&#1377;&#1398;%20&#1380;&#1377;&#1405;..xls" TargetMode="External"/><Relationship Id="rId5" Type="http://schemas.openxmlformats.org/officeDocument/2006/relationships/hyperlink" Target="https://economy.gov.ru/material/file/bffc6cc5eadc71d91c685e2fe5908112/29102021.pdf" TargetMode="External"/><Relationship Id="rId15" Type="http://schemas.openxmlformats.org/officeDocument/2006/relationships/hyperlink" Target="7.%202022_I%20&#1381;&#1404;&#1377;&#1396;&#1405;&#1397;&#1377;&#1391;_&#1377;&#1408;&#1380;&#1397;&#1400;&#1410;&#1398;&#1412;&#1377;&#1397;&#1387;&#1398;_%20&#1384;&#1405;&#1407;%20&#1391;&#1377;&#1407;&#1377;&#1408;&#1400;&#1394;&#1398;&#1381;&#1408;&#1387;.xls" TargetMode="External"/><Relationship Id="rId10" Type="http://schemas.openxmlformats.org/officeDocument/2006/relationships/hyperlink" Target="4.&#1344;&#1377;&#1406;&#1381;&#1388;&#1406;&#1377;&#1390;&#1398;&#1381;&#1408;/4.%202022_I%20&#1381;&#1404;&#1377;&#1396;&#1405;&#1397;&#1377;&#1391;_&#1380;&#1408;&#1377;&#1396;&#1377;&#1399;&#1398;&#1400;&#1408;&#1392;.xls" TargetMode="External"/><Relationship Id="rId4" Type="http://schemas.openxmlformats.org/officeDocument/2006/relationships/hyperlink" Target="http://www.stats.gov.cn/english/PressRelease/202204/t20220418_1829688.html" TargetMode="External"/><Relationship Id="rId9" Type="http://schemas.openxmlformats.org/officeDocument/2006/relationships/hyperlink" Target="4.&#1344;&#1377;&#1406;&#1381;&#1388;&#1406;&#1377;&#1390;&#1398;&#1381;&#1408;/3.%202022_I%20&#1381;&#1404;&#1377;&#1396;&#1405;&#1397;&#1377;&#1391;_&#1406;&#1377;&#1408;&#1391;.xls" TargetMode="External"/><Relationship Id="rId14" Type="http://schemas.openxmlformats.org/officeDocument/2006/relationships/hyperlink" Target="6.%202022_I%20&#1381;&#1404;&#1377;&#1396;&#1405;&#1397;&#1377;&#1391;_&#1377;&#1408;&#1380;&#1397;&#1400;&#1410;&#1398;&#1412;&#1377;&#1397;&#1387;&#1398;_%20&#1384;&#1405;&#1407;%20&#1402;&#1377;&#1407;&#1377;&#1405;&#1389;&#1377;&#1398;&#1377;&#1407;&#1400;&#1410;&#1398;&#1381;&#1408;&#1387;.xl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5.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y-AM" sz="900" i="0">
                <a:latin typeface="GHEA Grapalat" panose="02000506050000020003" pitchFamily="50" charset="0"/>
              </a:rPr>
              <a:t>Կորոնավիրուսի</a:t>
            </a:r>
            <a:r>
              <a:rPr lang="hy-AM" sz="900" i="0" baseline="0">
                <a:latin typeface="GHEA Grapalat" panose="02000506050000020003" pitchFamily="50" charset="0"/>
              </a:rPr>
              <a:t> դեպքերը ՀՀ-ում 2020-2022թ</a:t>
            </a:r>
            <a:r>
              <a:rPr lang="hy-AM" sz="900" b="1" i="0" u="none" strike="noStrike" kern="1200" baseline="0">
                <a:solidFill>
                  <a:sysClr val="windowText" lastClr="000000"/>
                </a:solidFill>
                <a:latin typeface="GHEA Grapalat" panose="02000506050000020003" pitchFamily="50" charset="0"/>
                <a:ea typeface="+mn-ea"/>
                <a:cs typeface="+mn-cs"/>
              </a:rPr>
              <a:t>թվական</a:t>
            </a:r>
            <a:endParaRPr lang="en-US" sz="900" i="1">
              <a:latin typeface="GHEA Grapalat" panose="02000506050000020003" pitchFamily="50" charset="0"/>
            </a:endParaRPr>
          </a:p>
        </c:rich>
      </c:tx>
      <c:layout>
        <c:manualLayout>
          <c:xMode val="edge"/>
          <c:yMode val="edge"/>
          <c:x val="0.28023483133885374"/>
          <c:y val="2.8735632183908046E-2"/>
        </c:manualLayout>
      </c:layout>
      <c:overlay val="0"/>
    </c:title>
    <c:autoTitleDeleted val="0"/>
    <c:plotArea>
      <c:layout>
        <c:manualLayout>
          <c:layoutTarget val="inner"/>
          <c:xMode val="edge"/>
          <c:yMode val="edge"/>
          <c:x val="8.8478830959383095E-2"/>
          <c:y val="0.17024981523891206"/>
          <c:w val="0.82659835065797493"/>
          <c:h val="0.48441528818167717"/>
        </c:manualLayout>
      </c:layout>
      <c:barChart>
        <c:barDir val="col"/>
        <c:grouping val="clustered"/>
        <c:varyColors val="0"/>
        <c:ser>
          <c:idx val="1"/>
          <c:order val="1"/>
          <c:tx>
            <c:strRef>
              <c:f>Sheet1!$C$1</c:f>
              <c:strCache>
                <c:ptCount val="1"/>
                <c:pt idx="0">
                  <c:v>Հաստատված դեպքերը (օրական)</c:v>
                </c:pt>
              </c:strCache>
            </c:strRef>
          </c:tx>
          <c:invertIfNegative val="0"/>
          <c:cat>
            <c:strRef>
              <c:f>Sheet1!$A$2:$A$795</c:f>
              <c:strCache>
                <c:ptCount val="794"/>
                <c:pt idx="30">
                  <c:v>31.03.2020</c:v>
                </c:pt>
                <c:pt idx="60">
                  <c:v>30.04.2020</c:v>
                </c:pt>
                <c:pt idx="91">
                  <c:v>31.05.2020</c:v>
                </c:pt>
                <c:pt idx="121">
                  <c:v>30.06.2020</c:v>
                </c:pt>
                <c:pt idx="152">
                  <c:v>31.07.2020</c:v>
                </c:pt>
                <c:pt idx="183">
                  <c:v>31.08.2020</c:v>
                </c:pt>
                <c:pt idx="213">
                  <c:v>30.09.2020</c:v>
                </c:pt>
                <c:pt idx="244">
                  <c:v>31.10.2020</c:v>
                </c:pt>
                <c:pt idx="274">
                  <c:v>30.11.2020</c:v>
                </c:pt>
                <c:pt idx="305">
                  <c:v>31.12.2020</c:v>
                </c:pt>
                <c:pt idx="336">
                  <c:v>31.01.2021</c:v>
                </c:pt>
                <c:pt idx="364">
                  <c:v>28.02.2021</c:v>
                </c:pt>
                <c:pt idx="395">
                  <c:v>31.03.2021</c:v>
                </c:pt>
                <c:pt idx="425">
                  <c:v>30.04.2021</c:v>
                </c:pt>
                <c:pt idx="456">
                  <c:v>31.05.2021</c:v>
                </c:pt>
                <c:pt idx="486">
                  <c:v>30.06.2021</c:v>
                </c:pt>
                <c:pt idx="517">
                  <c:v>31.07.2021</c:v>
                </c:pt>
                <c:pt idx="548">
                  <c:v>31.08.2021</c:v>
                </c:pt>
                <c:pt idx="578">
                  <c:v>30.09.2021</c:v>
                </c:pt>
                <c:pt idx="609">
                  <c:v>31.10.2021</c:v>
                </c:pt>
                <c:pt idx="639">
                  <c:v>30.11.2021</c:v>
                </c:pt>
                <c:pt idx="670">
                  <c:v>31.12.2021</c:v>
                </c:pt>
                <c:pt idx="701">
                  <c:v>31.01.2022</c:v>
                </c:pt>
                <c:pt idx="729">
                  <c:v>28.02.2022</c:v>
                </c:pt>
                <c:pt idx="760">
                  <c:v>31.03.2022</c:v>
                </c:pt>
                <c:pt idx="793">
                  <c:v>03.05.2022</c:v>
                </c:pt>
              </c:strCache>
            </c:strRef>
          </c:cat>
          <c:val>
            <c:numRef>
              <c:f>Sheet1!$C$2:$C$795</c:f>
              <c:numCache>
                <c:formatCode>General</c:formatCode>
                <c:ptCount val="794"/>
                <c:pt idx="0">
                  <c:v>1</c:v>
                </c:pt>
                <c:pt idx="1">
                  <c:v>0</c:v>
                </c:pt>
                <c:pt idx="2">
                  <c:v>0</c:v>
                </c:pt>
                <c:pt idx="3">
                  <c:v>0</c:v>
                </c:pt>
                <c:pt idx="4">
                  <c:v>0</c:v>
                </c:pt>
                <c:pt idx="5">
                  <c:v>0</c:v>
                </c:pt>
                <c:pt idx="6">
                  <c:v>0</c:v>
                </c:pt>
                <c:pt idx="7">
                  <c:v>0</c:v>
                </c:pt>
                <c:pt idx="8">
                  <c:v>0</c:v>
                </c:pt>
                <c:pt idx="9">
                  <c:v>0</c:v>
                </c:pt>
                <c:pt idx="10">
                  <c:v>3</c:v>
                </c:pt>
                <c:pt idx="11">
                  <c:v>2</c:v>
                </c:pt>
                <c:pt idx="12">
                  <c:v>7</c:v>
                </c:pt>
                <c:pt idx="13">
                  <c:v>7</c:v>
                </c:pt>
                <c:pt idx="14">
                  <c:v>8</c:v>
                </c:pt>
                <c:pt idx="15">
                  <c:v>17</c:v>
                </c:pt>
                <c:pt idx="16">
                  <c:v>33</c:v>
                </c:pt>
                <c:pt idx="17">
                  <c:v>32</c:v>
                </c:pt>
                <c:pt idx="18">
                  <c:v>26</c:v>
                </c:pt>
                <c:pt idx="19">
                  <c:v>24</c:v>
                </c:pt>
                <c:pt idx="20">
                  <c:v>30</c:v>
                </c:pt>
                <c:pt idx="21">
                  <c:v>4</c:v>
                </c:pt>
                <c:pt idx="22">
                  <c:v>41</c:v>
                </c:pt>
                <c:pt idx="23">
                  <c:v>30</c:v>
                </c:pt>
                <c:pt idx="24">
                  <c:v>25</c:v>
                </c:pt>
                <c:pt idx="25">
                  <c:v>39</c:v>
                </c:pt>
                <c:pt idx="26">
                  <c:v>43</c:v>
                </c:pt>
                <c:pt idx="27">
                  <c:v>52</c:v>
                </c:pt>
                <c:pt idx="28">
                  <c:v>58</c:v>
                </c:pt>
                <c:pt idx="29">
                  <c:v>50</c:v>
                </c:pt>
                <c:pt idx="30">
                  <c:v>39</c:v>
                </c:pt>
                <c:pt idx="31">
                  <c:v>92</c:v>
                </c:pt>
                <c:pt idx="32">
                  <c:v>73</c:v>
                </c:pt>
                <c:pt idx="33">
                  <c:v>34</c:v>
                </c:pt>
                <c:pt idx="34">
                  <c:v>52</c:v>
                </c:pt>
                <c:pt idx="35">
                  <c:v>11</c:v>
                </c:pt>
                <c:pt idx="36">
                  <c:v>20</c:v>
                </c:pt>
                <c:pt idx="37">
                  <c:v>28</c:v>
                </c:pt>
                <c:pt idx="38">
                  <c:v>40</c:v>
                </c:pt>
                <c:pt idx="39">
                  <c:v>16</c:v>
                </c:pt>
                <c:pt idx="40">
                  <c:v>30</c:v>
                </c:pt>
                <c:pt idx="41">
                  <c:v>46</c:v>
                </c:pt>
                <c:pt idx="42">
                  <c:v>26</c:v>
                </c:pt>
                <c:pt idx="43">
                  <c:v>28</c:v>
                </c:pt>
                <c:pt idx="44">
                  <c:v>44</c:v>
                </c:pt>
                <c:pt idx="45">
                  <c:v>48</c:v>
                </c:pt>
                <c:pt idx="46">
                  <c:v>42</c:v>
                </c:pt>
                <c:pt idx="47">
                  <c:v>47</c:v>
                </c:pt>
                <c:pt idx="48">
                  <c:v>43</c:v>
                </c:pt>
                <c:pt idx="49">
                  <c:v>48</c:v>
                </c:pt>
                <c:pt idx="50">
                  <c:v>62</c:v>
                </c:pt>
                <c:pt idx="51">
                  <c:v>72</c:v>
                </c:pt>
                <c:pt idx="52">
                  <c:v>50</c:v>
                </c:pt>
                <c:pt idx="53">
                  <c:v>73</c:v>
                </c:pt>
                <c:pt idx="54">
                  <c:v>81</c:v>
                </c:pt>
                <c:pt idx="55">
                  <c:v>69</c:v>
                </c:pt>
                <c:pt idx="56">
                  <c:v>62</c:v>
                </c:pt>
                <c:pt idx="57">
                  <c:v>59</c:v>
                </c:pt>
                <c:pt idx="58">
                  <c:v>65</c:v>
                </c:pt>
                <c:pt idx="59">
                  <c:v>134</c:v>
                </c:pt>
                <c:pt idx="60">
                  <c:v>82</c:v>
                </c:pt>
                <c:pt idx="61">
                  <c:v>125</c:v>
                </c:pt>
                <c:pt idx="62">
                  <c:v>113</c:v>
                </c:pt>
                <c:pt idx="63">
                  <c:v>121</c:v>
                </c:pt>
                <c:pt idx="64">
                  <c:v>112</c:v>
                </c:pt>
                <c:pt idx="65">
                  <c:v>163</c:v>
                </c:pt>
                <c:pt idx="66">
                  <c:v>102</c:v>
                </c:pt>
                <c:pt idx="67">
                  <c:v>145</c:v>
                </c:pt>
                <c:pt idx="68">
                  <c:v>146</c:v>
                </c:pt>
                <c:pt idx="69">
                  <c:v>138</c:v>
                </c:pt>
                <c:pt idx="70">
                  <c:v>79</c:v>
                </c:pt>
                <c:pt idx="71">
                  <c:v>146</c:v>
                </c:pt>
                <c:pt idx="72">
                  <c:v>180</c:v>
                </c:pt>
                <c:pt idx="73">
                  <c:v>142</c:v>
                </c:pt>
                <c:pt idx="74">
                  <c:v>184</c:v>
                </c:pt>
                <c:pt idx="75">
                  <c:v>239</c:v>
                </c:pt>
                <c:pt idx="76">
                  <c:v>189</c:v>
                </c:pt>
                <c:pt idx="77">
                  <c:v>351</c:v>
                </c:pt>
                <c:pt idx="78">
                  <c:v>218</c:v>
                </c:pt>
                <c:pt idx="79">
                  <c:v>230</c:v>
                </c:pt>
                <c:pt idx="80">
                  <c:v>335</c:v>
                </c:pt>
                <c:pt idx="81">
                  <c:v>322</c:v>
                </c:pt>
                <c:pt idx="82">
                  <c:v>374</c:v>
                </c:pt>
                <c:pt idx="83">
                  <c:v>359</c:v>
                </c:pt>
                <c:pt idx="84">
                  <c:v>452</c:v>
                </c:pt>
                <c:pt idx="85">
                  <c:v>289</c:v>
                </c:pt>
                <c:pt idx="86">
                  <c:v>372</c:v>
                </c:pt>
                <c:pt idx="87">
                  <c:v>442</c:v>
                </c:pt>
                <c:pt idx="88">
                  <c:v>460</c:v>
                </c:pt>
                <c:pt idx="89">
                  <c:v>251</c:v>
                </c:pt>
                <c:pt idx="90">
                  <c:v>355</c:v>
                </c:pt>
                <c:pt idx="91">
                  <c:v>210</c:v>
                </c:pt>
                <c:pt idx="92">
                  <c:v>517</c:v>
                </c:pt>
                <c:pt idx="93">
                  <c:v>515</c:v>
                </c:pt>
                <c:pt idx="94">
                  <c:v>697</c:v>
                </c:pt>
                <c:pt idx="95">
                  <c:v>596</c:v>
                </c:pt>
                <c:pt idx="96">
                  <c:v>547</c:v>
                </c:pt>
                <c:pt idx="97">
                  <c:v>766</c:v>
                </c:pt>
                <c:pt idx="98">
                  <c:v>195</c:v>
                </c:pt>
                <c:pt idx="99">
                  <c:v>350</c:v>
                </c:pt>
                <c:pt idx="100">
                  <c:v>428</c:v>
                </c:pt>
                <c:pt idx="101">
                  <c:v>566</c:v>
                </c:pt>
                <c:pt idx="102">
                  <c:v>612</c:v>
                </c:pt>
                <c:pt idx="103">
                  <c:v>723</c:v>
                </c:pt>
                <c:pt idx="104">
                  <c:v>663</c:v>
                </c:pt>
                <c:pt idx="105">
                  <c:v>397</c:v>
                </c:pt>
                <c:pt idx="106">
                  <c:v>425</c:v>
                </c:pt>
                <c:pt idx="107">
                  <c:v>544</c:v>
                </c:pt>
                <c:pt idx="108">
                  <c:v>665</c:v>
                </c:pt>
                <c:pt idx="109">
                  <c:v>459</c:v>
                </c:pt>
                <c:pt idx="110">
                  <c:v>551</c:v>
                </c:pt>
                <c:pt idx="111">
                  <c:v>560</c:v>
                </c:pt>
                <c:pt idx="112">
                  <c:v>320</c:v>
                </c:pt>
                <c:pt idx="113">
                  <c:v>418</c:v>
                </c:pt>
                <c:pt idx="114">
                  <c:v>711</c:v>
                </c:pt>
                <c:pt idx="115">
                  <c:v>771</c:v>
                </c:pt>
                <c:pt idx="116">
                  <c:v>759</c:v>
                </c:pt>
                <c:pt idx="117">
                  <c:v>662</c:v>
                </c:pt>
                <c:pt idx="118">
                  <c:v>736</c:v>
                </c:pt>
                <c:pt idx="119">
                  <c:v>482</c:v>
                </c:pt>
                <c:pt idx="120">
                  <c:v>415</c:v>
                </c:pt>
                <c:pt idx="121">
                  <c:v>523</c:v>
                </c:pt>
                <c:pt idx="122">
                  <c:v>593</c:v>
                </c:pt>
                <c:pt idx="123">
                  <c:v>662</c:v>
                </c:pt>
                <c:pt idx="124">
                  <c:v>580</c:v>
                </c:pt>
                <c:pt idx="125">
                  <c:v>706</c:v>
                </c:pt>
                <c:pt idx="126">
                  <c:v>330</c:v>
                </c:pt>
                <c:pt idx="127">
                  <c:v>349</c:v>
                </c:pt>
                <c:pt idx="128">
                  <c:v>535</c:v>
                </c:pt>
                <c:pt idx="129">
                  <c:v>526</c:v>
                </c:pt>
                <c:pt idx="130">
                  <c:v>557</c:v>
                </c:pt>
                <c:pt idx="131">
                  <c:v>489</c:v>
                </c:pt>
                <c:pt idx="132">
                  <c:v>577</c:v>
                </c:pt>
                <c:pt idx="133">
                  <c:v>182</c:v>
                </c:pt>
                <c:pt idx="134">
                  <c:v>339</c:v>
                </c:pt>
                <c:pt idx="135">
                  <c:v>515</c:v>
                </c:pt>
                <c:pt idx="136">
                  <c:v>554</c:v>
                </c:pt>
                <c:pt idx="137">
                  <c:v>442</c:v>
                </c:pt>
                <c:pt idx="138">
                  <c:v>461</c:v>
                </c:pt>
                <c:pt idx="139">
                  <c:v>415</c:v>
                </c:pt>
                <c:pt idx="140">
                  <c:v>104</c:v>
                </c:pt>
                <c:pt idx="141">
                  <c:v>273</c:v>
                </c:pt>
                <c:pt idx="142">
                  <c:v>439</c:v>
                </c:pt>
                <c:pt idx="143">
                  <c:v>469</c:v>
                </c:pt>
                <c:pt idx="144">
                  <c:v>451</c:v>
                </c:pt>
                <c:pt idx="145">
                  <c:v>383</c:v>
                </c:pt>
                <c:pt idx="146">
                  <c:v>321</c:v>
                </c:pt>
                <c:pt idx="147">
                  <c:v>73</c:v>
                </c:pt>
                <c:pt idx="148">
                  <c:v>239</c:v>
                </c:pt>
                <c:pt idx="149">
                  <c:v>308</c:v>
                </c:pt>
                <c:pt idx="150">
                  <c:v>259</c:v>
                </c:pt>
                <c:pt idx="151">
                  <c:v>354</c:v>
                </c:pt>
                <c:pt idx="152">
                  <c:v>291</c:v>
                </c:pt>
                <c:pt idx="153">
                  <c:v>209</c:v>
                </c:pt>
                <c:pt idx="154">
                  <c:v>52</c:v>
                </c:pt>
                <c:pt idx="155">
                  <c:v>196</c:v>
                </c:pt>
                <c:pt idx="156">
                  <c:v>288</c:v>
                </c:pt>
                <c:pt idx="157">
                  <c:v>233</c:v>
                </c:pt>
                <c:pt idx="158">
                  <c:v>166</c:v>
                </c:pt>
                <c:pt idx="159">
                  <c:v>200</c:v>
                </c:pt>
                <c:pt idx="160">
                  <c:v>225</c:v>
                </c:pt>
                <c:pt idx="161">
                  <c:v>23</c:v>
                </c:pt>
                <c:pt idx="162">
                  <c:v>160</c:v>
                </c:pt>
                <c:pt idx="163">
                  <c:v>201</c:v>
                </c:pt>
                <c:pt idx="164">
                  <c:v>229</c:v>
                </c:pt>
                <c:pt idx="165">
                  <c:v>276</c:v>
                </c:pt>
                <c:pt idx="166">
                  <c:v>196</c:v>
                </c:pt>
                <c:pt idx="167">
                  <c:v>168</c:v>
                </c:pt>
                <c:pt idx="168">
                  <c:v>38</c:v>
                </c:pt>
                <c:pt idx="169">
                  <c:v>145</c:v>
                </c:pt>
                <c:pt idx="170">
                  <c:v>210</c:v>
                </c:pt>
                <c:pt idx="171">
                  <c:v>263</c:v>
                </c:pt>
                <c:pt idx="172">
                  <c:v>158</c:v>
                </c:pt>
                <c:pt idx="173">
                  <c:v>139</c:v>
                </c:pt>
                <c:pt idx="174">
                  <c:v>176</c:v>
                </c:pt>
                <c:pt idx="175">
                  <c:v>33</c:v>
                </c:pt>
                <c:pt idx="176">
                  <c:v>111</c:v>
                </c:pt>
                <c:pt idx="177">
                  <c:v>131</c:v>
                </c:pt>
                <c:pt idx="178">
                  <c:v>203</c:v>
                </c:pt>
                <c:pt idx="179">
                  <c:v>181</c:v>
                </c:pt>
                <c:pt idx="180">
                  <c:v>175</c:v>
                </c:pt>
                <c:pt idx="181">
                  <c:v>124</c:v>
                </c:pt>
                <c:pt idx="182">
                  <c:v>31</c:v>
                </c:pt>
                <c:pt idx="183">
                  <c:v>97</c:v>
                </c:pt>
                <c:pt idx="184">
                  <c:v>197</c:v>
                </c:pt>
                <c:pt idx="185">
                  <c:v>196</c:v>
                </c:pt>
                <c:pt idx="186">
                  <c:v>190</c:v>
                </c:pt>
                <c:pt idx="187">
                  <c:v>188</c:v>
                </c:pt>
                <c:pt idx="188">
                  <c:v>134</c:v>
                </c:pt>
                <c:pt idx="189">
                  <c:v>62</c:v>
                </c:pt>
                <c:pt idx="190">
                  <c:v>108</c:v>
                </c:pt>
                <c:pt idx="191">
                  <c:v>199</c:v>
                </c:pt>
                <c:pt idx="192">
                  <c:v>174</c:v>
                </c:pt>
                <c:pt idx="193">
                  <c:v>177</c:v>
                </c:pt>
                <c:pt idx="194">
                  <c:v>172</c:v>
                </c:pt>
                <c:pt idx="195">
                  <c:v>187</c:v>
                </c:pt>
                <c:pt idx="196">
                  <c:v>107</c:v>
                </c:pt>
                <c:pt idx="197">
                  <c:v>150</c:v>
                </c:pt>
                <c:pt idx="198">
                  <c:v>257</c:v>
                </c:pt>
                <c:pt idx="199">
                  <c:v>295</c:v>
                </c:pt>
                <c:pt idx="200">
                  <c:v>239</c:v>
                </c:pt>
                <c:pt idx="201">
                  <c:v>244</c:v>
                </c:pt>
                <c:pt idx="202">
                  <c:v>277</c:v>
                </c:pt>
                <c:pt idx="203">
                  <c:v>121</c:v>
                </c:pt>
                <c:pt idx="204">
                  <c:v>115</c:v>
                </c:pt>
                <c:pt idx="205">
                  <c:v>210</c:v>
                </c:pt>
                <c:pt idx="206">
                  <c:v>374</c:v>
                </c:pt>
                <c:pt idx="207">
                  <c:v>392</c:v>
                </c:pt>
                <c:pt idx="208">
                  <c:v>429</c:v>
                </c:pt>
                <c:pt idx="209">
                  <c:v>328</c:v>
                </c:pt>
                <c:pt idx="210">
                  <c:v>174</c:v>
                </c:pt>
                <c:pt idx="211">
                  <c:v>327</c:v>
                </c:pt>
                <c:pt idx="212">
                  <c:v>458</c:v>
                </c:pt>
                <c:pt idx="213">
                  <c:v>491</c:v>
                </c:pt>
                <c:pt idx="214">
                  <c:v>532</c:v>
                </c:pt>
                <c:pt idx="215">
                  <c:v>543</c:v>
                </c:pt>
                <c:pt idx="216">
                  <c:v>571</c:v>
                </c:pt>
                <c:pt idx="217">
                  <c:v>181</c:v>
                </c:pt>
                <c:pt idx="218">
                  <c:v>406</c:v>
                </c:pt>
                <c:pt idx="219">
                  <c:v>672</c:v>
                </c:pt>
                <c:pt idx="220">
                  <c:v>718</c:v>
                </c:pt>
                <c:pt idx="221">
                  <c:v>614</c:v>
                </c:pt>
                <c:pt idx="222">
                  <c:v>649</c:v>
                </c:pt>
                <c:pt idx="223">
                  <c:v>715</c:v>
                </c:pt>
                <c:pt idx="224">
                  <c:v>370</c:v>
                </c:pt>
                <c:pt idx="225">
                  <c:v>745</c:v>
                </c:pt>
                <c:pt idx="226">
                  <c:v>1058</c:v>
                </c:pt>
                <c:pt idx="227">
                  <c:v>1371</c:v>
                </c:pt>
                <c:pt idx="228">
                  <c:v>1465</c:v>
                </c:pt>
                <c:pt idx="229">
                  <c:v>1540</c:v>
                </c:pt>
                <c:pt idx="230">
                  <c:v>1694</c:v>
                </c:pt>
                <c:pt idx="231">
                  <c:v>766</c:v>
                </c:pt>
                <c:pt idx="232">
                  <c:v>1234</c:v>
                </c:pt>
                <c:pt idx="233">
                  <c:v>1836</c:v>
                </c:pt>
                <c:pt idx="234">
                  <c:v>2306</c:v>
                </c:pt>
                <c:pt idx="235">
                  <c:v>2474</c:v>
                </c:pt>
                <c:pt idx="236">
                  <c:v>2213</c:v>
                </c:pt>
                <c:pt idx="237">
                  <c:v>2314</c:v>
                </c:pt>
                <c:pt idx="238">
                  <c:v>973</c:v>
                </c:pt>
                <c:pt idx="239">
                  <c:v>1600</c:v>
                </c:pt>
                <c:pt idx="240">
                  <c:v>2241</c:v>
                </c:pt>
                <c:pt idx="241">
                  <c:v>2383</c:v>
                </c:pt>
                <c:pt idx="242">
                  <c:v>2398</c:v>
                </c:pt>
                <c:pt idx="243">
                  <c:v>2381</c:v>
                </c:pt>
                <c:pt idx="244">
                  <c:v>2441</c:v>
                </c:pt>
                <c:pt idx="245">
                  <c:v>1194</c:v>
                </c:pt>
                <c:pt idx="246">
                  <c:v>1328</c:v>
                </c:pt>
                <c:pt idx="247">
                  <c:v>2374</c:v>
                </c:pt>
                <c:pt idx="248">
                  <c:v>2413</c:v>
                </c:pt>
                <c:pt idx="249">
                  <c:v>2210</c:v>
                </c:pt>
                <c:pt idx="250">
                  <c:v>2476</c:v>
                </c:pt>
                <c:pt idx="251">
                  <c:v>2175</c:v>
                </c:pt>
                <c:pt idx="252">
                  <c:v>1042</c:v>
                </c:pt>
                <c:pt idx="253">
                  <c:v>1221</c:v>
                </c:pt>
                <c:pt idx="254">
                  <c:v>1861</c:v>
                </c:pt>
                <c:pt idx="255">
                  <c:v>2132</c:v>
                </c:pt>
                <c:pt idx="256">
                  <c:v>1703</c:v>
                </c:pt>
                <c:pt idx="257">
                  <c:v>1472</c:v>
                </c:pt>
                <c:pt idx="258">
                  <c:v>1482</c:v>
                </c:pt>
                <c:pt idx="259">
                  <c:v>549</c:v>
                </c:pt>
                <c:pt idx="260">
                  <c:v>984</c:v>
                </c:pt>
                <c:pt idx="261">
                  <c:v>1589</c:v>
                </c:pt>
                <c:pt idx="262">
                  <c:v>1520</c:v>
                </c:pt>
                <c:pt idx="263">
                  <c:v>1667</c:v>
                </c:pt>
                <c:pt idx="264">
                  <c:v>1193</c:v>
                </c:pt>
                <c:pt idx="265">
                  <c:v>1385</c:v>
                </c:pt>
                <c:pt idx="266">
                  <c:v>485</c:v>
                </c:pt>
                <c:pt idx="267">
                  <c:v>813</c:v>
                </c:pt>
                <c:pt idx="268">
                  <c:v>1563</c:v>
                </c:pt>
                <c:pt idx="269">
                  <c:v>1785</c:v>
                </c:pt>
                <c:pt idx="270">
                  <c:v>1476</c:v>
                </c:pt>
                <c:pt idx="271">
                  <c:v>1248</c:v>
                </c:pt>
                <c:pt idx="272">
                  <c:v>1174</c:v>
                </c:pt>
                <c:pt idx="273">
                  <c:v>356</c:v>
                </c:pt>
                <c:pt idx="274">
                  <c:v>843</c:v>
                </c:pt>
                <c:pt idx="275">
                  <c:v>1264</c:v>
                </c:pt>
                <c:pt idx="276">
                  <c:v>1277</c:v>
                </c:pt>
                <c:pt idx="277">
                  <c:v>1184</c:v>
                </c:pt>
                <c:pt idx="278">
                  <c:v>1267</c:v>
                </c:pt>
                <c:pt idx="279">
                  <c:v>978</c:v>
                </c:pt>
                <c:pt idx="280">
                  <c:v>407</c:v>
                </c:pt>
                <c:pt idx="281">
                  <c:v>584</c:v>
                </c:pt>
                <c:pt idx="282">
                  <c:v>1138</c:v>
                </c:pt>
                <c:pt idx="283">
                  <c:v>1174</c:v>
                </c:pt>
                <c:pt idx="284">
                  <c:v>1077</c:v>
                </c:pt>
                <c:pt idx="285">
                  <c:v>995</c:v>
                </c:pt>
                <c:pt idx="286">
                  <c:v>1013</c:v>
                </c:pt>
                <c:pt idx="287">
                  <c:v>357</c:v>
                </c:pt>
                <c:pt idx="288">
                  <c:v>438</c:v>
                </c:pt>
                <c:pt idx="289">
                  <c:v>1098</c:v>
                </c:pt>
                <c:pt idx="290">
                  <c:v>1174</c:v>
                </c:pt>
                <c:pt idx="291">
                  <c:v>861</c:v>
                </c:pt>
                <c:pt idx="292">
                  <c:v>920</c:v>
                </c:pt>
                <c:pt idx="293">
                  <c:v>652</c:v>
                </c:pt>
                <c:pt idx="294">
                  <c:v>240</c:v>
                </c:pt>
                <c:pt idx="295">
                  <c:v>537</c:v>
                </c:pt>
                <c:pt idx="296">
                  <c:v>838</c:v>
                </c:pt>
                <c:pt idx="297">
                  <c:v>702</c:v>
                </c:pt>
                <c:pt idx="298">
                  <c:v>621</c:v>
                </c:pt>
                <c:pt idx="299">
                  <c:v>586</c:v>
                </c:pt>
                <c:pt idx="300">
                  <c:v>485</c:v>
                </c:pt>
                <c:pt idx="301">
                  <c:v>114</c:v>
                </c:pt>
                <c:pt idx="302">
                  <c:v>348</c:v>
                </c:pt>
                <c:pt idx="303">
                  <c:v>582</c:v>
                </c:pt>
                <c:pt idx="304">
                  <c:v>531</c:v>
                </c:pt>
                <c:pt idx="305">
                  <c:v>329</c:v>
                </c:pt>
                <c:pt idx="306">
                  <c:v>60</c:v>
                </c:pt>
                <c:pt idx="307">
                  <c:v>229</c:v>
                </c:pt>
                <c:pt idx="308">
                  <c:v>193</c:v>
                </c:pt>
                <c:pt idx="309">
                  <c:v>324</c:v>
                </c:pt>
                <c:pt idx="310">
                  <c:v>309</c:v>
                </c:pt>
                <c:pt idx="311">
                  <c:v>201</c:v>
                </c:pt>
                <c:pt idx="312">
                  <c:v>361</c:v>
                </c:pt>
                <c:pt idx="313">
                  <c:v>379</c:v>
                </c:pt>
                <c:pt idx="314">
                  <c:v>337</c:v>
                </c:pt>
                <c:pt idx="315">
                  <c:v>157</c:v>
                </c:pt>
                <c:pt idx="316">
                  <c:v>355</c:v>
                </c:pt>
                <c:pt idx="317">
                  <c:v>485</c:v>
                </c:pt>
                <c:pt idx="318">
                  <c:v>448</c:v>
                </c:pt>
                <c:pt idx="319">
                  <c:v>396</c:v>
                </c:pt>
                <c:pt idx="320">
                  <c:v>263</c:v>
                </c:pt>
                <c:pt idx="321">
                  <c:v>351</c:v>
                </c:pt>
                <c:pt idx="322">
                  <c:v>90</c:v>
                </c:pt>
                <c:pt idx="323">
                  <c:v>236</c:v>
                </c:pt>
                <c:pt idx="324">
                  <c:v>309</c:v>
                </c:pt>
                <c:pt idx="325">
                  <c:v>307</c:v>
                </c:pt>
                <c:pt idx="326">
                  <c:v>183</c:v>
                </c:pt>
                <c:pt idx="327">
                  <c:v>198</c:v>
                </c:pt>
                <c:pt idx="328">
                  <c:v>127</c:v>
                </c:pt>
                <c:pt idx="329">
                  <c:v>58</c:v>
                </c:pt>
                <c:pt idx="330">
                  <c:v>138</c:v>
                </c:pt>
                <c:pt idx="331">
                  <c:v>195</c:v>
                </c:pt>
                <c:pt idx="332">
                  <c:v>242</c:v>
                </c:pt>
                <c:pt idx="333">
                  <c:v>59</c:v>
                </c:pt>
                <c:pt idx="334">
                  <c:v>173</c:v>
                </c:pt>
                <c:pt idx="335">
                  <c:v>125</c:v>
                </c:pt>
                <c:pt idx="336">
                  <c:v>62</c:v>
                </c:pt>
                <c:pt idx="337">
                  <c:v>143</c:v>
                </c:pt>
                <c:pt idx="338">
                  <c:v>190</c:v>
                </c:pt>
                <c:pt idx="339">
                  <c:v>147</c:v>
                </c:pt>
                <c:pt idx="340">
                  <c:v>158</c:v>
                </c:pt>
                <c:pt idx="341">
                  <c:v>211</c:v>
                </c:pt>
                <c:pt idx="342">
                  <c:v>151</c:v>
                </c:pt>
                <c:pt idx="343">
                  <c:v>89</c:v>
                </c:pt>
                <c:pt idx="344">
                  <c:v>123</c:v>
                </c:pt>
                <c:pt idx="345">
                  <c:v>196</c:v>
                </c:pt>
                <c:pt idx="346">
                  <c:v>180</c:v>
                </c:pt>
                <c:pt idx="347">
                  <c:v>154</c:v>
                </c:pt>
                <c:pt idx="348">
                  <c:v>192</c:v>
                </c:pt>
                <c:pt idx="349">
                  <c:v>145</c:v>
                </c:pt>
                <c:pt idx="350">
                  <c:v>88</c:v>
                </c:pt>
                <c:pt idx="351">
                  <c:v>136</c:v>
                </c:pt>
                <c:pt idx="352">
                  <c:v>206</c:v>
                </c:pt>
                <c:pt idx="353">
                  <c:v>223</c:v>
                </c:pt>
                <c:pt idx="354">
                  <c:v>191</c:v>
                </c:pt>
                <c:pt idx="355">
                  <c:v>223</c:v>
                </c:pt>
                <c:pt idx="356">
                  <c:v>168</c:v>
                </c:pt>
                <c:pt idx="357">
                  <c:v>104</c:v>
                </c:pt>
                <c:pt idx="358">
                  <c:v>166</c:v>
                </c:pt>
                <c:pt idx="359">
                  <c:v>273</c:v>
                </c:pt>
                <c:pt idx="360">
                  <c:v>282</c:v>
                </c:pt>
                <c:pt idx="361">
                  <c:v>283</c:v>
                </c:pt>
                <c:pt idx="362">
                  <c:v>283</c:v>
                </c:pt>
                <c:pt idx="363">
                  <c:v>265</c:v>
                </c:pt>
                <c:pt idx="364">
                  <c:v>158</c:v>
                </c:pt>
                <c:pt idx="365">
                  <c:v>240</c:v>
                </c:pt>
                <c:pt idx="366">
                  <c:v>360</c:v>
                </c:pt>
                <c:pt idx="367">
                  <c:v>491</c:v>
                </c:pt>
                <c:pt idx="368">
                  <c:v>442</c:v>
                </c:pt>
                <c:pt idx="369">
                  <c:v>508</c:v>
                </c:pt>
                <c:pt idx="370">
                  <c:v>422</c:v>
                </c:pt>
                <c:pt idx="371">
                  <c:v>337</c:v>
                </c:pt>
                <c:pt idx="372">
                  <c:v>182</c:v>
                </c:pt>
                <c:pt idx="373">
                  <c:v>340</c:v>
                </c:pt>
                <c:pt idx="374">
                  <c:v>748</c:v>
                </c:pt>
                <c:pt idx="375">
                  <c:v>818</c:v>
                </c:pt>
                <c:pt idx="376">
                  <c:v>795</c:v>
                </c:pt>
                <c:pt idx="377">
                  <c:v>486</c:v>
                </c:pt>
                <c:pt idx="378">
                  <c:v>317</c:v>
                </c:pt>
                <c:pt idx="379">
                  <c:v>585</c:v>
                </c:pt>
                <c:pt idx="380">
                  <c:v>854</c:v>
                </c:pt>
                <c:pt idx="381">
                  <c:v>1024</c:v>
                </c:pt>
                <c:pt idx="382">
                  <c:v>891</c:v>
                </c:pt>
                <c:pt idx="383">
                  <c:v>1071</c:v>
                </c:pt>
                <c:pt idx="384">
                  <c:v>586</c:v>
                </c:pt>
                <c:pt idx="385">
                  <c:v>506</c:v>
                </c:pt>
                <c:pt idx="386">
                  <c:v>801</c:v>
                </c:pt>
                <c:pt idx="387">
                  <c:v>1164</c:v>
                </c:pt>
                <c:pt idx="388">
                  <c:v>1257</c:v>
                </c:pt>
                <c:pt idx="389">
                  <c:v>1005</c:v>
                </c:pt>
                <c:pt idx="390">
                  <c:v>1094</c:v>
                </c:pt>
                <c:pt idx="391">
                  <c:v>777</c:v>
                </c:pt>
                <c:pt idx="392">
                  <c:v>424</c:v>
                </c:pt>
                <c:pt idx="393">
                  <c:v>750</c:v>
                </c:pt>
                <c:pt idx="394">
                  <c:v>1148</c:v>
                </c:pt>
                <c:pt idx="395">
                  <c:v>1097</c:v>
                </c:pt>
                <c:pt idx="396">
                  <c:v>1116</c:v>
                </c:pt>
                <c:pt idx="397">
                  <c:v>1192</c:v>
                </c:pt>
                <c:pt idx="398">
                  <c:v>590</c:v>
                </c:pt>
                <c:pt idx="399">
                  <c:v>479</c:v>
                </c:pt>
                <c:pt idx="400">
                  <c:v>760</c:v>
                </c:pt>
                <c:pt idx="401">
                  <c:v>1025</c:v>
                </c:pt>
                <c:pt idx="402">
                  <c:v>1231</c:v>
                </c:pt>
                <c:pt idx="403">
                  <c:v>1029</c:v>
                </c:pt>
                <c:pt idx="404">
                  <c:v>1009</c:v>
                </c:pt>
                <c:pt idx="405">
                  <c:v>650</c:v>
                </c:pt>
                <c:pt idx="406">
                  <c:v>510</c:v>
                </c:pt>
                <c:pt idx="407">
                  <c:v>726</c:v>
                </c:pt>
                <c:pt idx="408">
                  <c:v>1075</c:v>
                </c:pt>
                <c:pt idx="409">
                  <c:v>1014</c:v>
                </c:pt>
                <c:pt idx="410">
                  <c:v>961</c:v>
                </c:pt>
                <c:pt idx="411">
                  <c:v>870</c:v>
                </c:pt>
                <c:pt idx="412">
                  <c:v>547</c:v>
                </c:pt>
                <c:pt idx="413">
                  <c:v>298</c:v>
                </c:pt>
                <c:pt idx="414">
                  <c:v>667</c:v>
                </c:pt>
                <c:pt idx="415">
                  <c:v>1033</c:v>
                </c:pt>
                <c:pt idx="416">
                  <c:v>881</c:v>
                </c:pt>
                <c:pt idx="417">
                  <c:v>715</c:v>
                </c:pt>
                <c:pt idx="418">
                  <c:v>764</c:v>
                </c:pt>
                <c:pt idx="419">
                  <c:v>410</c:v>
                </c:pt>
                <c:pt idx="420">
                  <c:v>181</c:v>
                </c:pt>
                <c:pt idx="421">
                  <c:v>595</c:v>
                </c:pt>
                <c:pt idx="422">
                  <c:v>808</c:v>
                </c:pt>
                <c:pt idx="423">
                  <c:v>656</c:v>
                </c:pt>
                <c:pt idx="424">
                  <c:v>536</c:v>
                </c:pt>
                <c:pt idx="425">
                  <c:v>532</c:v>
                </c:pt>
                <c:pt idx="426">
                  <c:v>267</c:v>
                </c:pt>
                <c:pt idx="427">
                  <c:v>145</c:v>
                </c:pt>
                <c:pt idx="428">
                  <c:v>399</c:v>
                </c:pt>
                <c:pt idx="429">
                  <c:v>493</c:v>
                </c:pt>
                <c:pt idx="430">
                  <c:v>425</c:v>
                </c:pt>
                <c:pt idx="431">
                  <c:v>356</c:v>
                </c:pt>
                <c:pt idx="432">
                  <c:v>411</c:v>
                </c:pt>
                <c:pt idx="433">
                  <c:v>178</c:v>
                </c:pt>
                <c:pt idx="434">
                  <c:v>83</c:v>
                </c:pt>
                <c:pt idx="435">
                  <c:v>243</c:v>
                </c:pt>
                <c:pt idx="436">
                  <c:v>354</c:v>
                </c:pt>
                <c:pt idx="437">
                  <c:v>267</c:v>
                </c:pt>
                <c:pt idx="438">
                  <c:v>230</c:v>
                </c:pt>
                <c:pt idx="439">
                  <c:v>282</c:v>
                </c:pt>
                <c:pt idx="440">
                  <c:v>131</c:v>
                </c:pt>
                <c:pt idx="441">
                  <c:v>67</c:v>
                </c:pt>
                <c:pt idx="442">
                  <c:v>212</c:v>
                </c:pt>
                <c:pt idx="443">
                  <c:v>229</c:v>
                </c:pt>
                <c:pt idx="444">
                  <c:v>191</c:v>
                </c:pt>
                <c:pt idx="445">
                  <c:v>140</c:v>
                </c:pt>
                <c:pt idx="446">
                  <c:v>181</c:v>
                </c:pt>
                <c:pt idx="447">
                  <c:v>68</c:v>
                </c:pt>
                <c:pt idx="448">
                  <c:v>34</c:v>
                </c:pt>
                <c:pt idx="449">
                  <c:v>157</c:v>
                </c:pt>
                <c:pt idx="450">
                  <c:v>130</c:v>
                </c:pt>
                <c:pt idx="451">
                  <c:v>140</c:v>
                </c:pt>
                <c:pt idx="452">
                  <c:v>104</c:v>
                </c:pt>
                <c:pt idx="453">
                  <c:v>42</c:v>
                </c:pt>
                <c:pt idx="454">
                  <c:v>81</c:v>
                </c:pt>
                <c:pt idx="455">
                  <c:v>34</c:v>
                </c:pt>
                <c:pt idx="456">
                  <c:v>108</c:v>
                </c:pt>
                <c:pt idx="457">
                  <c:v>92</c:v>
                </c:pt>
                <c:pt idx="458">
                  <c:v>108</c:v>
                </c:pt>
                <c:pt idx="459">
                  <c:v>72</c:v>
                </c:pt>
                <c:pt idx="460">
                  <c:v>93</c:v>
                </c:pt>
                <c:pt idx="461">
                  <c:v>37</c:v>
                </c:pt>
                <c:pt idx="462">
                  <c:v>32</c:v>
                </c:pt>
                <c:pt idx="463">
                  <c:v>73</c:v>
                </c:pt>
                <c:pt idx="464">
                  <c:v>99</c:v>
                </c:pt>
                <c:pt idx="465">
                  <c:v>76</c:v>
                </c:pt>
                <c:pt idx="466">
                  <c:v>95</c:v>
                </c:pt>
                <c:pt idx="467">
                  <c:v>88</c:v>
                </c:pt>
                <c:pt idx="468">
                  <c:v>39</c:v>
                </c:pt>
                <c:pt idx="469">
                  <c:v>41</c:v>
                </c:pt>
                <c:pt idx="470">
                  <c:v>82</c:v>
                </c:pt>
                <c:pt idx="471">
                  <c:v>99</c:v>
                </c:pt>
                <c:pt idx="472">
                  <c:v>96</c:v>
                </c:pt>
                <c:pt idx="473">
                  <c:v>86</c:v>
                </c:pt>
                <c:pt idx="474">
                  <c:v>81</c:v>
                </c:pt>
                <c:pt idx="475">
                  <c:v>60</c:v>
                </c:pt>
                <c:pt idx="476">
                  <c:v>26</c:v>
                </c:pt>
                <c:pt idx="477">
                  <c:v>77</c:v>
                </c:pt>
                <c:pt idx="478">
                  <c:v>100</c:v>
                </c:pt>
                <c:pt idx="479">
                  <c:v>103</c:v>
                </c:pt>
                <c:pt idx="480">
                  <c:v>102</c:v>
                </c:pt>
                <c:pt idx="481">
                  <c:v>93</c:v>
                </c:pt>
                <c:pt idx="482">
                  <c:v>69</c:v>
                </c:pt>
                <c:pt idx="483">
                  <c:v>54</c:v>
                </c:pt>
                <c:pt idx="484">
                  <c:v>116</c:v>
                </c:pt>
                <c:pt idx="485">
                  <c:v>128</c:v>
                </c:pt>
                <c:pt idx="486">
                  <c:v>126</c:v>
                </c:pt>
                <c:pt idx="487">
                  <c:v>118</c:v>
                </c:pt>
                <c:pt idx="488">
                  <c:v>125</c:v>
                </c:pt>
                <c:pt idx="489">
                  <c:v>89</c:v>
                </c:pt>
                <c:pt idx="490">
                  <c:v>53</c:v>
                </c:pt>
                <c:pt idx="491">
                  <c:v>55</c:v>
                </c:pt>
                <c:pt idx="492">
                  <c:v>140</c:v>
                </c:pt>
                <c:pt idx="493">
                  <c:v>186</c:v>
                </c:pt>
                <c:pt idx="494">
                  <c:v>148</c:v>
                </c:pt>
                <c:pt idx="495">
                  <c:v>150</c:v>
                </c:pt>
                <c:pt idx="496">
                  <c:v>103</c:v>
                </c:pt>
                <c:pt idx="497">
                  <c:v>71</c:v>
                </c:pt>
                <c:pt idx="498">
                  <c:v>138</c:v>
                </c:pt>
                <c:pt idx="499">
                  <c:v>189</c:v>
                </c:pt>
                <c:pt idx="500">
                  <c:v>163</c:v>
                </c:pt>
                <c:pt idx="501">
                  <c:v>162</c:v>
                </c:pt>
                <c:pt idx="502">
                  <c:v>187</c:v>
                </c:pt>
                <c:pt idx="503">
                  <c:v>132</c:v>
                </c:pt>
                <c:pt idx="504">
                  <c:v>92</c:v>
                </c:pt>
                <c:pt idx="505">
                  <c:v>194</c:v>
                </c:pt>
                <c:pt idx="506">
                  <c:v>220</c:v>
                </c:pt>
                <c:pt idx="507">
                  <c:v>225</c:v>
                </c:pt>
                <c:pt idx="508">
                  <c:v>221</c:v>
                </c:pt>
                <c:pt idx="509">
                  <c:v>250</c:v>
                </c:pt>
                <c:pt idx="510">
                  <c:v>166</c:v>
                </c:pt>
                <c:pt idx="511">
                  <c:v>112</c:v>
                </c:pt>
                <c:pt idx="512">
                  <c:v>180</c:v>
                </c:pt>
                <c:pt idx="513">
                  <c:v>280</c:v>
                </c:pt>
                <c:pt idx="514">
                  <c:v>233</c:v>
                </c:pt>
                <c:pt idx="515">
                  <c:v>264</c:v>
                </c:pt>
                <c:pt idx="516">
                  <c:v>243</c:v>
                </c:pt>
                <c:pt idx="517">
                  <c:v>229</c:v>
                </c:pt>
                <c:pt idx="518">
                  <c:v>137</c:v>
                </c:pt>
                <c:pt idx="519">
                  <c:v>237</c:v>
                </c:pt>
                <c:pt idx="520">
                  <c:v>280</c:v>
                </c:pt>
                <c:pt idx="521">
                  <c:v>329</c:v>
                </c:pt>
                <c:pt idx="522">
                  <c:v>303</c:v>
                </c:pt>
                <c:pt idx="523">
                  <c:v>298</c:v>
                </c:pt>
                <c:pt idx="524">
                  <c:v>234</c:v>
                </c:pt>
                <c:pt idx="525">
                  <c:v>140</c:v>
                </c:pt>
                <c:pt idx="526">
                  <c:v>313</c:v>
                </c:pt>
                <c:pt idx="527">
                  <c:v>391</c:v>
                </c:pt>
                <c:pt idx="528">
                  <c:v>399</c:v>
                </c:pt>
                <c:pt idx="529">
                  <c:v>397</c:v>
                </c:pt>
                <c:pt idx="530">
                  <c:v>430</c:v>
                </c:pt>
                <c:pt idx="531">
                  <c:v>331</c:v>
                </c:pt>
                <c:pt idx="532">
                  <c:v>256</c:v>
                </c:pt>
                <c:pt idx="533">
                  <c:v>357</c:v>
                </c:pt>
                <c:pt idx="534">
                  <c:v>504</c:v>
                </c:pt>
                <c:pt idx="535">
                  <c:v>559</c:v>
                </c:pt>
                <c:pt idx="536">
                  <c:v>508</c:v>
                </c:pt>
                <c:pt idx="537">
                  <c:v>507</c:v>
                </c:pt>
                <c:pt idx="538">
                  <c:v>385</c:v>
                </c:pt>
                <c:pt idx="539">
                  <c:v>251</c:v>
                </c:pt>
                <c:pt idx="540">
                  <c:v>537</c:v>
                </c:pt>
                <c:pt idx="541">
                  <c:v>634</c:v>
                </c:pt>
                <c:pt idx="542">
                  <c:v>683</c:v>
                </c:pt>
                <c:pt idx="543">
                  <c:v>522</c:v>
                </c:pt>
                <c:pt idx="544">
                  <c:v>692</c:v>
                </c:pt>
                <c:pt idx="545">
                  <c:v>383</c:v>
                </c:pt>
                <c:pt idx="546">
                  <c:v>275</c:v>
                </c:pt>
                <c:pt idx="547">
                  <c:v>524</c:v>
                </c:pt>
                <c:pt idx="548">
                  <c:v>615</c:v>
                </c:pt>
                <c:pt idx="549">
                  <c:v>636</c:v>
                </c:pt>
                <c:pt idx="550">
                  <c:v>595</c:v>
                </c:pt>
                <c:pt idx="551">
                  <c:v>621</c:v>
                </c:pt>
                <c:pt idx="552">
                  <c:v>423</c:v>
                </c:pt>
                <c:pt idx="553">
                  <c:v>239</c:v>
                </c:pt>
                <c:pt idx="554">
                  <c:v>501</c:v>
                </c:pt>
                <c:pt idx="555">
                  <c:v>645</c:v>
                </c:pt>
                <c:pt idx="556">
                  <c:v>587</c:v>
                </c:pt>
                <c:pt idx="557">
                  <c:v>669</c:v>
                </c:pt>
                <c:pt idx="558">
                  <c:v>731</c:v>
                </c:pt>
                <c:pt idx="559">
                  <c:v>453</c:v>
                </c:pt>
                <c:pt idx="560">
                  <c:v>296</c:v>
                </c:pt>
                <c:pt idx="561">
                  <c:v>657</c:v>
                </c:pt>
                <c:pt idx="562">
                  <c:v>756</c:v>
                </c:pt>
                <c:pt idx="563">
                  <c:v>764</c:v>
                </c:pt>
                <c:pt idx="564">
                  <c:v>759</c:v>
                </c:pt>
                <c:pt idx="565">
                  <c:v>1011</c:v>
                </c:pt>
                <c:pt idx="566">
                  <c:v>507</c:v>
                </c:pt>
                <c:pt idx="567">
                  <c:v>342</c:v>
                </c:pt>
                <c:pt idx="568">
                  <c:v>494</c:v>
                </c:pt>
                <c:pt idx="569">
                  <c:v>273</c:v>
                </c:pt>
                <c:pt idx="570">
                  <c:v>939</c:v>
                </c:pt>
                <c:pt idx="571">
                  <c:v>906</c:v>
                </c:pt>
                <c:pt idx="572">
                  <c:v>1066</c:v>
                </c:pt>
                <c:pt idx="573">
                  <c:v>925</c:v>
                </c:pt>
                <c:pt idx="574">
                  <c:v>462</c:v>
                </c:pt>
                <c:pt idx="575">
                  <c:v>772</c:v>
                </c:pt>
                <c:pt idx="576">
                  <c:v>896</c:v>
                </c:pt>
                <c:pt idx="577">
                  <c:v>1022</c:v>
                </c:pt>
                <c:pt idx="578">
                  <c:v>934</c:v>
                </c:pt>
                <c:pt idx="579">
                  <c:v>1152</c:v>
                </c:pt>
                <c:pt idx="580">
                  <c:v>907</c:v>
                </c:pt>
                <c:pt idx="581">
                  <c:v>627</c:v>
                </c:pt>
                <c:pt idx="582">
                  <c:v>891</c:v>
                </c:pt>
                <c:pt idx="583">
                  <c:v>1155</c:v>
                </c:pt>
                <c:pt idx="584">
                  <c:v>1309</c:v>
                </c:pt>
                <c:pt idx="585">
                  <c:v>1202</c:v>
                </c:pt>
                <c:pt idx="586">
                  <c:v>1331</c:v>
                </c:pt>
                <c:pt idx="587">
                  <c:v>1151</c:v>
                </c:pt>
                <c:pt idx="588">
                  <c:v>601</c:v>
                </c:pt>
                <c:pt idx="589">
                  <c:v>903</c:v>
                </c:pt>
                <c:pt idx="590">
                  <c:v>1217</c:v>
                </c:pt>
                <c:pt idx="591">
                  <c:v>1589</c:v>
                </c:pt>
                <c:pt idx="592">
                  <c:v>1765</c:v>
                </c:pt>
                <c:pt idx="593">
                  <c:v>1863</c:v>
                </c:pt>
                <c:pt idx="594">
                  <c:v>1697</c:v>
                </c:pt>
                <c:pt idx="595">
                  <c:v>1192</c:v>
                </c:pt>
                <c:pt idx="596">
                  <c:v>1054</c:v>
                </c:pt>
                <c:pt idx="597">
                  <c:v>2066</c:v>
                </c:pt>
                <c:pt idx="598">
                  <c:v>2603</c:v>
                </c:pt>
                <c:pt idx="599">
                  <c:v>2146</c:v>
                </c:pt>
                <c:pt idx="600">
                  <c:v>1962</c:v>
                </c:pt>
                <c:pt idx="601">
                  <c:v>2354</c:v>
                </c:pt>
                <c:pt idx="602">
                  <c:v>1184</c:v>
                </c:pt>
                <c:pt idx="603">
                  <c:v>1517</c:v>
                </c:pt>
                <c:pt idx="604">
                  <c:v>2074</c:v>
                </c:pt>
                <c:pt idx="605">
                  <c:v>2307</c:v>
                </c:pt>
                <c:pt idx="606">
                  <c:v>2096</c:v>
                </c:pt>
                <c:pt idx="607">
                  <c:v>2193</c:v>
                </c:pt>
                <c:pt idx="608">
                  <c:v>1587</c:v>
                </c:pt>
                <c:pt idx="609">
                  <c:v>1071</c:v>
                </c:pt>
                <c:pt idx="610">
                  <c:v>1232</c:v>
                </c:pt>
                <c:pt idx="611">
                  <c:v>2045</c:v>
                </c:pt>
                <c:pt idx="612">
                  <c:v>2330</c:v>
                </c:pt>
                <c:pt idx="613">
                  <c:v>1835</c:v>
                </c:pt>
                <c:pt idx="614">
                  <c:v>2177</c:v>
                </c:pt>
                <c:pt idx="615">
                  <c:v>1417</c:v>
                </c:pt>
                <c:pt idx="616">
                  <c:v>810</c:v>
                </c:pt>
                <c:pt idx="617">
                  <c:v>1121</c:v>
                </c:pt>
                <c:pt idx="618">
                  <c:v>1675</c:v>
                </c:pt>
                <c:pt idx="619">
                  <c:v>1482</c:v>
                </c:pt>
                <c:pt idx="620">
                  <c:v>1309</c:v>
                </c:pt>
                <c:pt idx="621">
                  <c:v>1251</c:v>
                </c:pt>
                <c:pt idx="622">
                  <c:v>882</c:v>
                </c:pt>
                <c:pt idx="623">
                  <c:v>378</c:v>
                </c:pt>
                <c:pt idx="624">
                  <c:v>572</c:v>
                </c:pt>
                <c:pt idx="625">
                  <c:v>982</c:v>
                </c:pt>
                <c:pt idx="626">
                  <c:v>1019</c:v>
                </c:pt>
                <c:pt idx="627">
                  <c:v>799</c:v>
                </c:pt>
                <c:pt idx="628">
                  <c:v>870</c:v>
                </c:pt>
                <c:pt idx="629">
                  <c:v>492</c:v>
                </c:pt>
                <c:pt idx="630">
                  <c:v>272</c:v>
                </c:pt>
                <c:pt idx="631">
                  <c:v>531</c:v>
                </c:pt>
                <c:pt idx="632">
                  <c:v>860</c:v>
                </c:pt>
                <c:pt idx="633">
                  <c:v>592</c:v>
                </c:pt>
                <c:pt idx="634">
                  <c:v>675</c:v>
                </c:pt>
                <c:pt idx="635">
                  <c:v>517</c:v>
                </c:pt>
                <c:pt idx="636">
                  <c:v>409</c:v>
                </c:pt>
                <c:pt idx="637">
                  <c:v>189</c:v>
                </c:pt>
                <c:pt idx="638">
                  <c:v>398</c:v>
                </c:pt>
                <c:pt idx="639">
                  <c:v>502</c:v>
                </c:pt>
                <c:pt idx="640">
                  <c:v>558</c:v>
                </c:pt>
                <c:pt idx="641">
                  <c:v>399</c:v>
                </c:pt>
                <c:pt idx="642">
                  <c:v>419</c:v>
                </c:pt>
                <c:pt idx="643">
                  <c:v>327</c:v>
                </c:pt>
                <c:pt idx="644">
                  <c:v>95</c:v>
                </c:pt>
                <c:pt idx="645">
                  <c:v>240</c:v>
                </c:pt>
                <c:pt idx="646">
                  <c:v>410</c:v>
                </c:pt>
                <c:pt idx="647">
                  <c:v>300</c:v>
                </c:pt>
                <c:pt idx="648">
                  <c:v>347</c:v>
                </c:pt>
                <c:pt idx="649">
                  <c:v>290</c:v>
                </c:pt>
                <c:pt idx="650">
                  <c:v>133</c:v>
                </c:pt>
                <c:pt idx="651">
                  <c:v>66</c:v>
                </c:pt>
                <c:pt idx="652">
                  <c:v>161</c:v>
                </c:pt>
                <c:pt idx="653">
                  <c:v>212</c:v>
                </c:pt>
                <c:pt idx="654">
                  <c:v>180</c:v>
                </c:pt>
                <c:pt idx="655">
                  <c:v>193</c:v>
                </c:pt>
                <c:pt idx="656">
                  <c:v>156</c:v>
                </c:pt>
                <c:pt idx="657">
                  <c:v>130</c:v>
                </c:pt>
                <c:pt idx="658">
                  <c:v>72</c:v>
                </c:pt>
                <c:pt idx="659">
                  <c:v>137</c:v>
                </c:pt>
                <c:pt idx="660">
                  <c:v>152</c:v>
                </c:pt>
                <c:pt idx="661">
                  <c:v>129</c:v>
                </c:pt>
                <c:pt idx="662">
                  <c:v>135</c:v>
                </c:pt>
                <c:pt idx="663">
                  <c:v>118</c:v>
                </c:pt>
                <c:pt idx="664">
                  <c:v>102</c:v>
                </c:pt>
                <c:pt idx="665">
                  <c:v>59</c:v>
                </c:pt>
                <c:pt idx="666">
                  <c:v>109</c:v>
                </c:pt>
                <c:pt idx="667">
                  <c:v>88</c:v>
                </c:pt>
                <c:pt idx="668">
                  <c:v>89</c:v>
                </c:pt>
                <c:pt idx="669">
                  <c:v>104</c:v>
                </c:pt>
                <c:pt idx="670">
                  <c:v>50</c:v>
                </c:pt>
                <c:pt idx="671">
                  <c:v>27</c:v>
                </c:pt>
                <c:pt idx="672">
                  <c:v>29</c:v>
                </c:pt>
                <c:pt idx="673">
                  <c:v>90</c:v>
                </c:pt>
                <c:pt idx="674">
                  <c:v>129</c:v>
                </c:pt>
                <c:pt idx="675">
                  <c:v>134</c:v>
                </c:pt>
                <c:pt idx="676">
                  <c:v>129</c:v>
                </c:pt>
                <c:pt idx="677">
                  <c:v>195</c:v>
                </c:pt>
                <c:pt idx="678">
                  <c:v>142</c:v>
                </c:pt>
                <c:pt idx="679">
                  <c:v>126</c:v>
                </c:pt>
                <c:pt idx="680">
                  <c:v>243</c:v>
                </c:pt>
                <c:pt idx="681">
                  <c:v>289</c:v>
                </c:pt>
                <c:pt idx="682">
                  <c:v>298</c:v>
                </c:pt>
                <c:pt idx="683">
                  <c:v>273</c:v>
                </c:pt>
                <c:pt idx="684">
                  <c:v>293</c:v>
                </c:pt>
                <c:pt idx="685">
                  <c:v>240</c:v>
                </c:pt>
                <c:pt idx="686">
                  <c:v>168</c:v>
                </c:pt>
                <c:pt idx="687">
                  <c:v>360</c:v>
                </c:pt>
                <c:pt idx="688">
                  <c:v>563</c:v>
                </c:pt>
                <c:pt idx="689">
                  <c:v>621</c:v>
                </c:pt>
                <c:pt idx="690">
                  <c:v>628</c:v>
                </c:pt>
                <c:pt idx="691">
                  <c:v>940</c:v>
                </c:pt>
                <c:pt idx="692">
                  <c:v>814</c:v>
                </c:pt>
                <c:pt idx="693">
                  <c:v>688</c:v>
                </c:pt>
                <c:pt idx="694">
                  <c:v>1332</c:v>
                </c:pt>
                <c:pt idx="695">
                  <c:v>1931</c:v>
                </c:pt>
                <c:pt idx="696">
                  <c:v>2556</c:v>
                </c:pt>
                <c:pt idx="697">
                  <c:v>3536</c:v>
                </c:pt>
                <c:pt idx="698">
                  <c:v>2594</c:v>
                </c:pt>
                <c:pt idx="699">
                  <c:v>2085</c:v>
                </c:pt>
                <c:pt idx="700">
                  <c:v>1362</c:v>
                </c:pt>
                <c:pt idx="701">
                  <c:v>3127</c:v>
                </c:pt>
                <c:pt idx="702">
                  <c:v>3956</c:v>
                </c:pt>
                <c:pt idx="703">
                  <c:v>4388</c:v>
                </c:pt>
                <c:pt idx="704">
                  <c:v>4192</c:v>
                </c:pt>
                <c:pt idx="705">
                  <c:v>4032</c:v>
                </c:pt>
                <c:pt idx="706">
                  <c:v>2467</c:v>
                </c:pt>
                <c:pt idx="707">
                  <c:v>1631</c:v>
                </c:pt>
                <c:pt idx="708">
                  <c:v>2486</c:v>
                </c:pt>
                <c:pt idx="709">
                  <c:v>2811</c:v>
                </c:pt>
                <c:pt idx="710">
                  <c:v>2842</c:v>
                </c:pt>
                <c:pt idx="711">
                  <c:v>2676</c:v>
                </c:pt>
                <c:pt idx="712">
                  <c:v>2402</c:v>
                </c:pt>
                <c:pt idx="713">
                  <c:v>1574</c:v>
                </c:pt>
                <c:pt idx="714">
                  <c:v>695</c:v>
                </c:pt>
                <c:pt idx="715">
                  <c:v>1307</c:v>
                </c:pt>
                <c:pt idx="716">
                  <c:v>1774</c:v>
                </c:pt>
                <c:pt idx="717">
                  <c:v>1723</c:v>
                </c:pt>
                <c:pt idx="718">
                  <c:v>1417</c:v>
                </c:pt>
                <c:pt idx="719">
                  <c:v>1469</c:v>
                </c:pt>
                <c:pt idx="720">
                  <c:v>700</c:v>
                </c:pt>
                <c:pt idx="721">
                  <c:v>293</c:v>
                </c:pt>
                <c:pt idx="722">
                  <c:v>753</c:v>
                </c:pt>
                <c:pt idx="723">
                  <c:v>946</c:v>
                </c:pt>
                <c:pt idx="724">
                  <c:v>764</c:v>
                </c:pt>
                <c:pt idx="725">
                  <c:v>572</c:v>
                </c:pt>
                <c:pt idx="726">
                  <c:v>631</c:v>
                </c:pt>
                <c:pt idx="727">
                  <c:v>270</c:v>
                </c:pt>
                <c:pt idx="728">
                  <c:v>139</c:v>
                </c:pt>
                <c:pt idx="729">
                  <c:v>324</c:v>
                </c:pt>
                <c:pt idx="730">
                  <c:v>342</c:v>
                </c:pt>
                <c:pt idx="731">
                  <c:v>259</c:v>
                </c:pt>
                <c:pt idx="732">
                  <c:v>251</c:v>
                </c:pt>
                <c:pt idx="733">
                  <c:v>218</c:v>
                </c:pt>
                <c:pt idx="734">
                  <c:v>115</c:v>
                </c:pt>
                <c:pt idx="735">
                  <c:v>60</c:v>
                </c:pt>
                <c:pt idx="736">
                  <c:v>140</c:v>
                </c:pt>
                <c:pt idx="737">
                  <c:v>51</c:v>
                </c:pt>
                <c:pt idx="738">
                  <c:v>122</c:v>
                </c:pt>
                <c:pt idx="739">
                  <c:v>128</c:v>
                </c:pt>
                <c:pt idx="740">
                  <c:v>111</c:v>
                </c:pt>
                <c:pt idx="741">
                  <c:v>51</c:v>
                </c:pt>
                <c:pt idx="742">
                  <c:v>17</c:v>
                </c:pt>
                <c:pt idx="743">
                  <c:v>55</c:v>
                </c:pt>
                <c:pt idx="744">
                  <c:v>79</c:v>
                </c:pt>
                <c:pt idx="745">
                  <c:v>47</c:v>
                </c:pt>
                <c:pt idx="746">
                  <c:v>52</c:v>
                </c:pt>
                <c:pt idx="747">
                  <c:v>32</c:v>
                </c:pt>
                <c:pt idx="748">
                  <c:v>21</c:v>
                </c:pt>
                <c:pt idx="749">
                  <c:v>21</c:v>
                </c:pt>
                <c:pt idx="750">
                  <c:v>26</c:v>
                </c:pt>
                <c:pt idx="751">
                  <c:v>28</c:v>
                </c:pt>
                <c:pt idx="752">
                  <c:v>19</c:v>
                </c:pt>
                <c:pt idx="753">
                  <c:v>22</c:v>
                </c:pt>
                <c:pt idx="754">
                  <c:v>21</c:v>
                </c:pt>
                <c:pt idx="755">
                  <c:v>14</c:v>
                </c:pt>
                <c:pt idx="756">
                  <c:v>10</c:v>
                </c:pt>
                <c:pt idx="757">
                  <c:v>16</c:v>
                </c:pt>
                <c:pt idx="758">
                  <c:v>14</c:v>
                </c:pt>
                <c:pt idx="759">
                  <c:v>21</c:v>
                </c:pt>
                <c:pt idx="760">
                  <c:v>21</c:v>
                </c:pt>
                <c:pt idx="761">
                  <c:v>12</c:v>
                </c:pt>
                <c:pt idx="762">
                  <c:v>22</c:v>
                </c:pt>
                <c:pt idx="763">
                  <c:v>7</c:v>
                </c:pt>
                <c:pt idx="764">
                  <c:v>13</c:v>
                </c:pt>
                <c:pt idx="765">
                  <c:v>16</c:v>
                </c:pt>
                <c:pt idx="766">
                  <c:v>19</c:v>
                </c:pt>
                <c:pt idx="767">
                  <c:v>14</c:v>
                </c:pt>
                <c:pt idx="768">
                  <c:v>19</c:v>
                </c:pt>
                <c:pt idx="769">
                  <c:v>15</c:v>
                </c:pt>
                <c:pt idx="770">
                  <c:v>1</c:v>
                </c:pt>
                <c:pt idx="771">
                  <c:v>13</c:v>
                </c:pt>
                <c:pt idx="772">
                  <c:v>20</c:v>
                </c:pt>
                <c:pt idx="773">
                  <c:v>10</c:v>
                </c:pt>
                <c:pt idx="774">
                  <c:v>8</c:v>
                </c:pt>
                <c:pt idx="775">
                  <c:v>18</c:v>
                </c:pt>
                <c:pt idx="776">
                  <c:v>15</c:v>
                </c:pt>
                <c:pt idx="777">
                  <c:v>8</c:v>
                </c:pt>
                <c:pt idx="778">
                  <c:v>14</c:v>
                </c:pt>
                <c:pt idx="779">
                  <c:v>15</c:v>
                </c:pt>
                <c:pt idx="780">
                  <c:v>6</c:v>
                </c:pt>
                <c:pt idx="781">
                  <c:v>9</c:v>
                </c:pt>
                <c:pt idx="782">
                  <c:v>8</c:v>
                </c:pt>
                <c:pt idx="783">
                  <c:v>3</c:v>
                </c:pt>
                <c:pt idx="784">
                  <c:v>3</c:v>
                </c:pt>
                <c:pt idx="785">
                  <c:v>10</c:v>
                </c:pt>
                <c:pt idx="786">
                  <c:v>17</c:v>
                </c:pt>
                <c:pt idx="787">
                  <c:v>3</c:v>
                </c:pt>
                <c:pt idx="788">
                  <c:v>7</c:v>
                </c:pt>
                <c:pt idx="789">
                  <c:v>2</c:v>
                </c:pt>
                <c:pt idx="790">
                  <c:v>4</c:v>
                </c:pt>
                <c:pt idx="791">
                  <c:v>3</c:v>
                </c:pt>
                <c:pt idx="792">
                  <c:v>0</c:v>
                </c:pt>
                <c:pt idx="793">
                  <c:v>3</c:v>
                </c:pt>
              </c:numCache>
            </c:numRef>
          </c:val>
          <c:extLst xmlns:c16r2="http://schemas.microsoft.com/office/drawing/2015/06/chart">
            <c:ext xmlns:c16="http://schemas.microsoft.com/office/drawing/2014/chart" uri="{C3380CC4-5D6E-409C-BE32-E72D297353CC}">
              <c16:uniqueId val="{00000000-EC96-4A0E-AF16-219459A533FD}"/>
            </c:ext>
          </c:extLst>
        </c:ser>
        <c:dLbls>
          <c:showLegendKey val="0"/>
          <c:showVal val="0"/>
          <c:showCatName val="0"/>
          <c:showSerName val="0"/>
          <c:showPercent val="0"/>
          <c:showBubbleSize val="0"/>
        </c:dLbls>
        <c:gapWidth val="150"/>
        <c:axId val="296381056"/>
        <c:axId val="296379520"/>
      </c:barChart>
      <c:lineChart>
        <c:grouping val="standard"/>
        <c:varyColors val="0"/>
        <c:ser>
          <c:idx val="0"/>
          <c:order val="0"/>
          <c:tx>
            <c:strRef>
              <c:f>Sheet1!$B$1</c:f>
              <c:strCache>
                <c:ptCount val="1"/>
                <c:pt idx="0">
                  <c:v>Հաստատված դեպքերը (ընդհանուր)</c:v>
                </c:pt>
              </c:strCache>
            </c:strRef>
          </c:tx>
          <c:spPr>
            <a:ln w="22225" cap="rnd" cmpd="sng" algn="ctr">
              <a:solidFill>
                <a:schemeClr val="accent1"/>
              </a:solidFill>
              <a:round/>
            </a:ln>
            <a:effectLst/>
          </c:spPr>
          <c:marker>
            <c:symbol val="none"/>
          </c:marker>
          <c:cat>
            <c:strRef>
              <c:f>Sheet1!$A$2:$A$795</c:f>
              <c:strCache>
                <c:ptCount val="794"/>
                <c:pt idx="30">
                  <c:v>31.03.2020</c:v>
                </c:pt>
                <c:pt idx="60">
                  <c:v>30.04.2020</c:v>
                </c:pt>
                <c:pt idx="91">
                  <c:v>31.05.2020</c:v>
                </c:pt>
                <c:pt idx="121">
                  <c:v>30.06.2020</c:v>
                </c:pt>
                <c:pt idx="152">
                  <c:v>31.07.2020</c:v>
                </c:pt>
                <c:pt idx="183">
                  <c:v>31.08.2020</c:v>
                </c:pt>
                <c:pt idx="213">
                  <c:v>30.09.2020</c:v>
                </c:pt>
                <c:pt idx="244">
                  <c:v>31.10.2020</c:v>
                </c:pt>
                <c:pt idx="274">
                  <c:v>30.11.2020</c:v>
                </c:pt>
                <c:pt idx="305">
                  <c:v>31.12.2020</c:v>
                </c:pt>
                <c:pt idx="336">
                  <c:v>31.01.2021</c:v>
                </c:pt>
                <c:pt idx="364">
                  <c:v>28.02.2021</c:v>
                </c:pt>
                <c:pt idx="395">
                  <c:v>31.03.2021</c:v>
                </c:pt>
                <c:pt idx="425">
                  <c:v>30.04.2021</c:v>
                </c:pt>
                <c:pt idx="456">
                  <c:v>31.05.2021</c:v>
                </c:pt>
                <c:pt idx="486">
                  <c:v>30.06.2021</c:v>
                </c:pt>
                <c:pt idx="517">
                  <c:v>31.07.2021</c:v>
                </c:pt>
                <c:pt idx="548">
                  <c:v>31.08.2021</c:v>
                </c:pt>
                <c:pt idx="578">
                  <c:v>30.09.2021</c:v>
                </c:pt>
                <c:pt idx="609">
                  <c:v>31.10.2021</c:v>
                </c:pt>
                <c:pt idx="639">
                  <c:v>30.11.2021</c:v>
                </c:pt>
                <c:pt idx="670">
                  <c:v>31.12.2021</c:v>
                </c:pt>
                <c:pt idx="701">
                  <c:v>31.01.2022</c:v>
                </c:pt>
                <c:pt idx="729">
                  <c:v>28.02.2022</c:v>
                </c:pt>
                <c:pt idx="760">
                  <c:v>31.03.2022</c:v>
                </c:pt>
                <c:pt idx="793">
                  <c:v>03.05.2022</c:v>
                </c:pt>
              </c:strCache>
            </c:strRef>
          </c:cat>
          <c:val>
            <c:numRef>
              <c:f>Sheet1!$B$2:$B$795</c:f>
              <c:numCache>
                <c:formatCode>General</c:formatCode>
                <c:ptCount val="794"/>
                <c:pt idx="0">
                  <c:v>1</c:v>
                </c:pt>
                <c:pt idx="1">
                  <c:v>1</c:v>
                </c:pt>
                <c:pt idx="2">
                  <c:v>1</c:v>
                </c:pt>
                <c:pt idx="3">
                  <c:v>1</c:v>
                </c:pt>
                <c:pt idx="4">
                  <c:v>1</c:v>
                </c:pt>
                <c:pt idx="5">
                  <c:v>1</c:v>
                </c:pt>
                <c:pt idx="6">
                  <c:v>1</c:v>
                </c:pt>
                <c:pt idx="7">
                  <c:v>1</c:v>
                </c:pt>
                <c:pt idx="8">
                  <c:v>1</c:v>
                </c:pt>
                <c:pt idx="9">
                  <c:v>1</c:v>
                </c:pt>
                <c:pt idx="10">
                  <c:v>4</c:v>
                </c:pt>
                <c:pt idx="11">
                  <c:v>6</c:v>
                </c:pt>
                <c:pt idx="12">
                  <c:v>13</c:v>
                </c:pt>
                <c:pt idx="13">
                  <c:v>20</c:v>
                </c:pt>
                <c:pt idx="14">
                  <c:v>28</c:v>
                </c:pt>
                <c:pt idx="15">
                  <c:v>45</c:v>
                </c:pt>
                <c:pt idx="16">
                  <c:v>78</c:v>
                </c:pt>
                <c:pt idx="17">
                  <c:v>110</c:v>
                </c:pt>
                <c:pt idx="18">
                  <c:v>136</c:v>
                </c:pt>
                <c:pt idx="19">
                  <c:v>160</c:v>
                </c:pt>
                <c:pt idx="20">
                  <c:v>190</c:v>
                </c:pt>
                <c:pt idx="21">
                  <c:v>194</c:v>
                </c:pt>
                <c:pt idx="22">
                  <c:v>235</c:v>
                </c:pt>
                <c:pt idx="23">
                  <c:v>265</c:v>
                </c:pt>
                <c:pt idx="24">
                  <c:v>290</c:v>
                </c:pt>
                <c:pt idx="25">
                  <c:v>329</c:v>
                </c:pt>
                <c:pt idx="26">
                  <c:v>372</c:v>
                </c:pt>
                <c:pt idx="27">
                  <c:v>424</c:v>
                </c:pt>
                <c:pt idx="28">
                  <c:v>482</c:v>
                </c:pt>
                <c:pt idx="29">
                  <c:v>532</c:v>
                </c:pt>
                <c:pt idx="30">
                  <c:v>571</c:v>
                </c:pt>
                <c:pt idx="31">
                  <c:v>663</c:v>
                </c:pt>
                <c:pt idx="32">
                  <c:v>736</c:v>
                </c:pt>
                <c:pt idx="33">
                  <c:v>770</c:v>
                </c:pt>
                <c:pt idx="34">
                  <c:v>822</c:v>
                </c:pt>
                <c:pt idx="35">
                  <c:v>833</c:v>
                </c:pt>
                <c:pt idx="36">
                  <c:v>853</c:v>
                </c:pt>
                <c:pt idx="37">
                  <c:v>881</c:v>
                </c:pt>
                <c:pt idx="38">
                  <c:v>921</c:v>
                </c:pt>
                <c:pt idx="39">
                  <c:v>937</c:v>
                </c:pt>
                <c:pt idx="40">
                  <c:v>967</c:v>
                </c:pt>
                <c:pt idx="41">
                  <c:v>1013</c:v>
                </c:pt>
                <c:pt idx="42">
                  <c:v>1039</c:v>
                </c:pt>
                <c:pt idx="43">
                  <c:v>1067</c:v>
                </c:pt>
                <c:pt idx="44">
                  <c:v>1111</c:v>
                </c:pt>
                <c:pt idx="45">
                  <c:v>1159</c:v>
                </c:pt>
                <c:pt idx="46">
                  <c:v>1201</c:v>
                </c:pt>
                <c:pt idx="47">
                  <c:v>1248</c:v>
                </c:pt>
                <c:pt idx="48">
                  <c:v>1291</c:v>
                </c:pt>
                <c:pt idx="49">
                  <c:v>1339</c:v>
                </c:pt>
                <c:pt idx="50">
                  <c:v>1401</c:v>
                </c:pt>
                <c:pt idx="51">
                  <c:v>1473</c:v>
                </c:pt>
                <c:pt idx="52">
                  <c:v>1523</c:v>
                </c:pt>
                <c:pt idx="53">
                  <c:v>1596</c:v>
                </c:pt>
                <c:pt idx="54">
                  <c:v>1677</c:v>
                </c:pt>
                <c:pt idx="55">
                  <c:v>1746</c:v>
                </c:pt>
                <c:pt idx="56">
                  <c:v>1808</c:v>
                </c:pt>
                <c:pt idx="57">
                  <c:v>1867</c:v>
                </c:pt>
                <c:pt idx="58">
                  <c:v>1932</c:v>
                </c:pt>
                <c:pt idx="59">
                  <c:v>2066</c:v>
                </c:pt>
                <c:pt idx="60">
                  <c:v>2148</c:v>
                </c:pt>
                <c:pt idx="61">
                  <c:v>2273</c:v>
                </c:pt>
                <c:pt idx="62">
                  <c:v>2386</c:v>
                </c:pt>
                <c:pt idx="63">
                  <c:v>2507</c:v>
                </c:pt>
                <c:pt idx="64">
                  <c:v>2619</c:v>
                </c:pt>
                <c:pt idx="65">
                  <c:v>2782</c:v>
                </c:pt>
                <c:pt idx="66">
                  <c:v>2884</c:v>
                </c:pt>
                <c:pt idx="67">
                  <c:v>3029</c:v>
                </c:pt>
                <c:pt idx="68">
                  <c:v>3175</c:v>
                </c:pt>
                <c:pt idx="69">
                  <c:v>3313</c:v>
                </c:pt>
                <c:pt idx="70">
                  <c:v>3392</c:v>
                </c:pt>
                <c:pt idx="71">
                  <c:v>3538</c:v>
                </c:pt>
                <c:pt idx="72">
                  <c:v>3718</c:v>
                </c:pt>
                <c:pt idx="73">
                  <c:v>3860</c:v>
                </c:pt>
                <c:pt idx="74">
                  <c:v>4044</c:v>
                </c:pt>
                <c:pt idx="75">
                  <c:v>4283</c:v>
                </c:pt>
                <c:pt idx="76">
                  <c:v>4472</c:v>
                </c:pt>
                <c:pt idx="77">
                  <c:v>4823</c:v>
                </c:pt>
                <c:pt idx="78">
                  <c:v>5041</c:v>
                </c:pt>
                <c:pt idx="79">
                  <c:v>5271</c:v>
                </c:pt>
                <c:pt idx="80">
                  <c:v>5606</c:v>
                </c:pt>
                <c:pt idx="81">
                  <c:v>5928</c:v>
                </c:pt>
                <c:pt idx="82">
                  <c:v>6302</c:v>
                </c:pt>
                <c:pt idx="83">
                  <c:v>6661</c:v>
                </c:pt>
                <c:pt idx="84">
                  <c:v>7113</c:v>
                </c:pt>
                <c:pt idx="85">
                  <c:v>7402</c:v>
                </c:pt>
                <c:pt idx="86">
                  <c:v>7774</c:v>
                </c:pt>
                <c:pt idx="87">
                  <c:v>8216</c:v>
                </c:pt>
                <c:pt idx="88">
                  <c:v>8676</c:v>
                </c:pt>
                <c:pt idx="89">
                  <c:v>8927</c:v>
                </c:pt>
                <c:pt idx="90">
                  <c:v>9282</c:v>
                </c:pt>
                <c:pt idx="91">
                  <c:v>9492</c:v>
                </c:pt>
                <c:pt idx="92">
                  <c:v>10009</c:v>
                </c:pt>
                <c:pt idx="93">
                  <c:v>10524</c:v>
                </c:pt>
                <c:pt idx="94">
                  <c:v>11221</c:v>
                </c:pt>
                <c:pt idx="95">
                  <c:v>11817</c:v>
                </c:pt>
                <c:pt idx="96">
                  <c:v>12364</c:v>
                </c:pt>
                <c:pt idx="97">
                  <c:v>13130</c:v>
                </c:pt>
                <c:pt idx="98">
                  <c:v>13325</c:v>
                </c:pt>
                <c:pt idx="99">
                  <c:v>13675</c:v>
                </c:pt>
                <c:pt idx="100">
                  <c:v>14103</c:v>
                </c:pt>
                <c:pt idx="101">
                  <c:v>14669</c:v>
                </c:pt>
                <c:pt idx="102">
                  <c:v>15281</c:v>
                </c:pt>
                <c:pt idx="103">
                  <c:v>16004</c:v>
                </c:pt>
                <c:pt idx="104">
                  <c:v>16667</c:v>
                </c:pt>
                <c:pt idx="105">
                  <c:v>17064</c:v>
                </c:pt>
                <c:pt idx="106">
                  <c:v>17489</c:v>
                </c:pt>
                <c:pt idx="107">
                  <c:v>18033</c:v>
                </c:pt>
                <c:pt idx="108">
                  <c:v>18698</c:v>
                </c:pt>
                <c:pt idx="109">
                  <c:v>19157</c:v>
                </c:pt>
                <c:pt idx="110">
                  <c:v>19708</c:v>
                </c:pt>
                <c:pt idx="111">
                  <c:v>20268</c:v>
                </c:pt>
                <c:pt idx="112">
                  <c:v>20588</c:v>
                </c:pt>
                <c:pt idx="113">
                  <c:v>21006</c:v>
                </c:pt>
                <c:pt idx="114">
                  <c:v>21717</c:v>
                </c:pt>
                <c:pt idx="115">
                  <c:v>22488</c:v>
                </c:pt>
                <c:pt idx="116">
                  <c:v>23247</c:v>
                </c:pt>
                <c:pt idx="117">
                  <c:v>23909</c:v>
                </c:pt>
                <c:pt idx="118">
                  <c:v>24645</c:v>
                </c:pt>
                <c:pt idx="119">
                  <c:v>25127</c:v>
                </c:pt>
                <c:pt idx="120">
                  <c:v>25542</c:v>
                </c:pt>
                <c:pt idx="121">
                  <c:v>26065</c:v>
                </c:pt>
                <c:pt idx="122">
                  <c:v>26658</c:v>
                </c:pt>
                <c:pt idx="123">
                  <c:v>27320</c:v>
                </c:pt>
                <c:pt idx="124">
                  <c:v>27900</c:v>
                </c:pt>
                <c:pt idx="125">
                  <c:v>28606</c:v>
                </c:pt>
                <c:pt idx="126">
                  <c:v>28936</c:v>
                </c:pt>
                <c:pt idx="127">
                  <c:v>29285</c:v>
                </c:pt>
                <c:pt idx="128">
                  <c:v>29820</c:v>
                </c:pt>
                <c:pt idx="129">
                  <c:v>30346</c:v>
                </c:pt>
                <c:pt idx="130">
                  <c:v>30903</c:v>
                </c:pt>
                <c:pt idx="131">
                  <c:v>31392</c:v>
                </c:pt>
                <c:pt idx="132">
                  <c:v>31969</c:v>
                </c:pt>
                <c:pt idx="133">
                  <c:v>32151</c:v>
                </c:pt>
                <c:pt idx="134">
                  <c:v>32490</c:v>
                </c:pt>
                <c:pt idx="135">
                  <c:v>33005</c:v>
                </c:pt>
                <c:pt idx="136">
                  <c:v>33559</c:v>
                </c:pt>
                <c:pt idx="137">
                  <c:v>34001</c:v>
                </c:pt>
                <c:pt idx="138">
                  <c:v>34462</c:v>
                </c:pt>
                <c:pt idx="139">
                  <c:v>34877</c:v>
                </c:pt>
                <c:pt idx="140">
                  <c:v>34981</c:v>
                </c:pt>
                <c:pt idx="141">
                  <c:v>35254</c:v>
                </c:pt>
                <c:pt idx="142">
                  <c:v>35693</c:v>
                </c:pt>
                <c:pt idx="143">
                  <c:v>36162</c:v>
                </c:pt>
                <c:pt idx="144">
                  <c:v>36613</c:v>
                </c:pt>
                <c:pt idx="145">
                  <c:v>36996</c:v>
                </c:pt>
                <c:pt idx="146">
                  <c:v>37317</c:v>
                </c:pt>
                <c:pt idx="147">
                  <c:v>37390</c:v>
                </c:pt>
                <c:pt idx="148">
                  <c:v>37629</c:v>
                </c:pt>
                <c:pt idx="149">
                  <c:v>37937</c:v>
                </c:pt>
                <c:pt idx="150">
                  <c:v>38196</c:v>
                </c:pt>
                <c:pt idx="151">
                  <c:v>38550</c:v>
                </c:pt>
                <c:pt idx="152">
                  <c:v>38841</c:v>
                </c:pt>
                <c:pt idx="153">
                  <c:v>39050</c:v>
                </c:pt>
                <c:pt idx="154">
                  <c:v>39102</c:v>
                </c:pt>
                <c:pt idx="155">
                  <c:v>39298</c:v>
                </c:pt>
                <c:pt idx="156">
                  <c:v>39586</c:v>
                </c:pt>
                <c:pt idx="157">
                  <c:v>39819</c:v>
                </c:pt>
                <c:pt idx="158">
                  <c:v>39985</c:v>
                </c:pt>
                <c:pt idx="159">
                  <c:v>40185</c:v>
                </c:pt>
                <c:pt idx="160">
                  <c:v>40410</c:v>
                </c:pt>
                <c:pt idx="161">
                  <c:v>40433</c:v>
                </c:pt>
                <c:pt idx="162">
                  <c:v>40593</c:v>
                </c:pt>
                <c:pt idx="163">
                  <c:v>40794</c:v>
                </c:pt>
                <c:pt idx="164">
                  <c:v>41023</c:v>
                </c:pt>
                <c:pt idx="165">
                  <c:v>41299</c:v>
                </c:pt>
                <c:pt idx="166">
                  <c:v>41495</c:v>
                </c:pt>
                <c:pt idx="167">
                  <c:v>41663</c:v>
                </c:pt>
                <c:pt idx="168">
                  <c:v>41701</c:v>
                </c:pt>
                <c:pt idx="169">
                  <c:v>41846</c:v>
                </c:pt>
                <c:pt idx="170">
                  <c:v>42056</c:v>
                </c:pt>
                <c:pt idx="171">
                  <c:v>42319</c:v>
                </c:pt>
                <c:pt idx="172">
                  <c:v>42477</c:v>
                </c:pt>
                <c:pt idx="173">
                  <c:v>42616</c:v>
                </c:pt>
                <c:pt idx="174">
                  <c:v>42792</c:v>
                </c:pt>
                <c:pt idx="175">
                  <c:v>42825</c:v>
                </c:pt>
                <c:pt idx="176">
                  <c:v>42936</c:v>
                </c:pt>
                <c:pt idx="177">
                  <c:v>43067</c:v>
                </c:pt>
                <c:pt idx="178">
                  <c:v>43270</c:v>
                </c:pt>
                <c:pt idx="179">
                  <c:v>43451</c:v>
                </c:pt>
                <c:pt idx="180">
                  <c:v>43626</c:v>
                </c:pt>
                <c:pt idx="181">
                  <c:v>43750</c:v>
                </c:pt>
                <c:pt idx="182">
                  <c:v>43781</c:v>
                </c:pt>
                <c:pt idx="183">
                  <c:v>43878</c:v>
                </c:pt>
                <c:pt idx="184">
                  <c:v>44075</c:v>
                </c:pt>
                <c:pt idx="185">
                  <c:v>44271</c:v>
                </c:pt>
                <c:pt idx="186">
                  <c:v>44461</c:v>
                </c:pt>
                <c:pt idx="187">
                  <c:v>44649</c:v>
                </c:pt>
                <c:pt idx="188">
                  <c:v>44783</c:v>
                </c:pt>
                <c:pt idx="189">
                  <c:v>44845</c:v>
                </c:pt>
                <c:pt idx="190">
                  <c:v>44953</c:v>
                </c:pt>
                <c:pt idx="191">
                  <c:v>45152</c:v>
                </c:pt>
                <c:pt idx="192">
                  <c:v>45326</c:v>
                </c:pt>
                <c:pt idx="193">
                  <c:v>45503</c:v>
                </c:pt>
                <c:pt idx="194">
                  <c:v>45675</c:v>
                </c:pt>
                <c:pt idx="195">
                  <c:v>45862</c:v>
                </c:pt>
                <c:pt idx="196">
                  <c:v>45969</c:v>
                </c:pt>
                <c:pt idx="197">
                  <c:v>46119</c:v>
                </c:pt>
                <c:pt idx="198">
                  <c:v>46376</c:v>
                </c:pt>
                <c:pt idx="199">
                  <c:v>46671</c:v>
                </c:pt>
                <c:pt idx="200">
                  <c:v>46910</c:v>
                </c:pt>
                <c:pt idx="201">
                  <c:v>47154</c:v>
                </c:pt>
                <c:pt idx="202">
                  <c:v>47431</c:v>
                </c:pt>
                <c:pt idx="203">
                  <c:v>47552</c:v>
                </c:pt>
                <c:pt idx="204">
                  <c:v>47667</c:v>
                </c:pt>
                <c:pt idx="205">
                  <c:v>47877</c:v>
                </c:pt>
                <c:pt idx="206">
                  <c:v>48251</c:v>
                </c:pt>
                <c:pt idx="207">
                  <c:v>48643</c:v>
                </c:pt>
                <c:pt idx="208">
                  <c:v>49072</c:v>
                </c:pt>
                <c:pt idx="209">
                  <c:v>49400</c:v>
                </c:pt>
                <c:pt idx="210">
                  <c:v>49574</c:v>
                </c:pt>
                <c:pt idx="211">
                  <c:v>49901</c:v>
                </c:pt>
                <c:pt idx="212">
                  <c:v>50359</c:v>
                </c:pt>
                <c:pt idx="213">
                  <c:v>50850</c:v>
                </c:pt>
                <c:pt idx="214">
                  <c:v>51382</c:v>
                </c:pt>
                <c:pt idx="215">
                  <c:v>51925</c:v>
                </c:pt>
                <c:pt idx="216">
                  <c:v>52496</c:v>
                </c:pt>
                <c:pt idx="217">
                  <c:v>52677</c:v>
                </c:pt>
                <c:pt idx="218">
                  <c:v>53083</c:v>
                </c:pt>
                <c:pt idx="219">
                  <c:v>53755</c:v>
                </c:pt>
                <c:pt idx="220">
                  <c:v>54473</c:v>
                </c:pt>
                <c:pt idx="221">
                  <c:v>55087</c:v>
                </c:pt>
                <c:pt idx="222">
                  <c:v>55736</c:v>
                </c:pt>
                <c:pt idx="223">
                  <c:v>56451</c:v>
                </c:pt>
                <c:pt idx="224">
                  <c:v>56821</c:v>
                </c:pt>
                <c:pt idx="225">
                  <c:v>57566</c:v>
                </c:pt>
                <c:pt idx="226">
                  <c:v>58624</c:v>
                </c:pt>
                <c:pt idx="227">
                  <c:v>59995</c:v>
                </c:pt>
                <c:pt idx="228">
                  <c:v>61460</c:v>
                </c:pt>
                <c:pt idx="229">
                  <c:v>63000</c:v>
                </c:pt>
                <c:pt idx="230">
                  <c:v>64694</c:v>
                </c:pt>
                <c:pt idx="231">
                  <c:v>65460</c:v>
                </c:pt>
                <c:pt idx="232">
                  <c:v>66694</c:v>
                </c:pt>
                <c:pt idx="233">
                  <c:v>68530</c:v>
                </c:pt>
                <c:pt idx="234">
                  <c:v>70836</c:v>
                </c:pt>
                <c:pt idx="235">
                  <c:v>73310</c:v>
                </c:pt>
                <c:pt idx="236">
                  <c:v>75523</c:v>
                </c:pt>
                <c:pt idx="237">
                  <c:v>77837</c:v>
                </c:pt>
                <c:pt idx="238">
                  <c:v>78810</c:v>
                </c:pt>
                <c:pt idx="239">
                  <c:v>80410</c:v>
                </c:pt>
                <c:pt idx="240">
                  <c:v>82651</c:v>
                </c:pt>
                <c:pt idx="241">
                  <c:v>85034</c:v>
                </c:pt>
                <c:pt idx="242">
                  <c:v>87432</c:v>
                </c:pt>
                <c:pt idx="243">
                  <c:v>89813</c:v>
                </c:pt>
                <c:pt idx="244">
                  <c:v>92254</c:v>
                </c:pt>
                <c:pt idx="245">
                  <c:v>93448</c:v>
                </c:pt>
                <c:pt idx="246">
                  <c:v>94776</c:v>
                </c:pt>
                <c:pt idx="247">
                  <c:v>97150</c:v>
                </c:pt>
                <c:pt idx="248">
                  <c:v>99563</c:v>
                </c:pt>
                <c:pt idx="249">
                  <c:v>101773</c:v>
                </c:pt>
                <c:pt idx="250">
                  <c:v>104249</c:v>
                </c:pt>
                <c:pt idx="251">
                  <c:v>106424</c:v>
                </c:pt>
                <c:pt idx="252">
                  <c:v>107466</c:v>
                </c:pt>
                <c:pt idx="253">
                  <c:v>108687</c:v>
                </c:pt>
                <c:pt idx="254">
                  <c:v>110548</c:v>
                </c:pt>
                <c:pt idx="255">
                  <c:v>112680</c:v>
                </c:pt>
                <c:pt idx="256">
                  <c:v>114383</c:v>
                </c:pt>
                <c:pt idx="257">
                  <c:v>115855</c:v>
                </c:pt>
                <c:pt idx="258">
                  <c:v>117337</c:v>
                </c:pt>
                <c:pt idx="259">
                  <c:v>117886</c:v>
                </c:pt>
                <c:pt idx="260">
                  <c:v>118870</c:v>
                </c:pt>
                <c:pt idx="261">
                  <c:v>120459</c:v>
                </c:pt>
                <c:pt idx="262">
                  <c:v>121979</c:v>
                </c:pt>
                <c:pt idx="263">
                  <c:v>123646</c:v>
                </c:pt>
                <c:pt idx="264">
                  <c:v>124839</c:v>
                </c:pt>
                <c:pt idx="265">
                  <c:v>126224</c:v>
                </c:pt>
                <c:pt idx="266">
                  <c:v>126709</c:v>
                </c:pt>
                <c:pt idx="267">
                  <c:v>127522</c:v>
                </c:pt>
                <c:pt idx="268">
                  <c:v>129085</c:v>
                </c:pt>
                <c:pt idx="269">
                  <c:v>130870</c:v>
                </c:pt>
                <c:pt idx="270">
                  <c:v>132346</c:v>
                </c:pt>
                <c:pt idx="271">
                  <c:v>133594</c:v>
                </c:pt>
                <c:pt idx="272">
                  <c:v>134768</c:v>
                </c:pt>
                <c:pt idx="273">
                  <c:v>135124</c:v>
                </c:pt>
                <c:pt idx="274">
                  <c:v>135967</c:v>
                </c:pt>
                <c:pt idx="275">
                  <c:v>137231</c:v>
                </c:pt>
                <c:pt idx="276">
                  <c:v>138508</c:v>
                </c:pt>
                <c:pt idx="277">
                  <c:v>139692</c:v>
                </c:pt>
                <c:pt idx="278">
                  <c:v>140959</c:v>
                </c:pt>
                <c:pt idx="279">
                  <c:v>141937</c:v>
                </c:pt>
                <c:pt idx="280">
                  <c:v>142344</c:v>
                </c:pt>
                <c:pt idx="281">
                  <c:v>142928</c:v>
                </c:pt>
                <c:pt idx="282">
                  <c:v>144066</c:v>
                </c:pt>
                <c:pt idx="283">
                  <c:v>145240</c:v>
                </c:pt>
                <c:pt idx="284">
                  <c:v>146317</c:v>
                </c:pt>
                <c:pt idx="285">
                  <c:v>147312</c:v>
                </c:pt>
                <c:pt idx="286">
                  <c:v>148325</c:v>
                </c:pt>
                <c:pt idx="287">
                  <c:v>148682</c:v>
                </c:pt>
                <c:pt idx="288">
                  <c:v>149120</c:v>
                </c:pt>
                <c:pt idx="289">
                  <c:v>150218</c:v>
                </c:pt>
                <c:pt idx="290">
                  <c:v>151392</c:v>
                </c:pt>
                <c:pt idx="291">
                  <c:v>152253</c:v>
                </c:pt>
                <c:pt idx="292">
                  <c:v>153173</c:v>
                </c:pt>
                <c:pt idx="293">
                  <c:v>153825</c:v>
                </c:pt>
                <c:pt idx="294">
                  <c:v>154065</c:v>
                </c:pt>
                <c:pt idx="295">
                  <c:v>154602</c:v>
                </c:pt>
                <c:pt idx="296">
                  <c:v>155440</c:v>
                </c:pt>
                <c:pt idx="297">
                  <c:v>156142</c:v>
                </c:pt>
                <c:pt idx="298">
                  <c:v>156763</c:v>
                </c:pt>
                <c:pt idx="299">
                  <c:v>157349</c:v>
                </c:pt>
                <c:pt idx="300">
                  <c:v>157834</c:v>
                </c:pt>
                <c:pt idx="301">
                  <c:v>157948</c:v>
                </c:pt>
                <c:pt idx="302">
                  <c:v>158296</c:v>
                </c:pt>
                <c:pt idx="303">
                  <c:v>158878</c:v>
                </c:pt>
                <c:pt idx="304">
                  <c:v>159409</c:v>
                </c:pt>
                <c:pt idx="305">
                  <c:v>159738</c:v>
                </c:pt>
                <c:pt idx="306">
                  <c:v>159798</c:v>
                </c:pt>
                <c:pt idx="307">
                  <c:v>160027</c:v>
                </c:pt>
                <c:pt idx="308">
                  <c:v>160220</c:v>
                </c:pt>
                <c:pt idx="309">
                  <c:v>160544</c:v>
                </c:pt>
                <c:pt idx="310">
                  <c:v>160853</c:v>
                </c:pt>
                <c:pt idx="311">
                  <c:v>161054</c:v>
                </c:pt>
                <c:pt idx="312">
                  <c:v>161415</c:v>
                </c:pt>
                <c:pt idx="313">
                  <c:v>161794</c:v>
                </c:pt>
                <c:pt idx="314">
                  <c:v>162131</c:v>
                </c:pt>
                <c:pt idx="315">
                  <c:v>162288</c:v>
                </c:pt>
                <c:pt idx="316">
                  <c:v>162643</c:v>
                </c:pt>
                <c:pt idx="317">
                  <c:v>163128</c:v>
                </c:pt>
                <c:pt idx="318">
                  <c:v>163576</c:v>
                </c:pt>
                <c:pt idx="319">
                  <c:v>163972</c:v>
                </c:pt>
                <c:pt idx="320">
                  <c:v>164235</c:v>
                </c:pt>
                <c:pt idx="321">
                  <c:v>164586</c:v>
                </c:pt>
                <c:pt idx="322">
                  <c:v>164676</c:v>
                </c:pt>
                <c:pt idx="323">
                  <c:v>164912</c:v>
                </c:pt>
                <c:pt idx="324">
                  <c:v>165221</c:v>
                </c:pt>
                <c:pt idx="325">
                  <c:v>165528</c:v>
                </c:pt>
                <c:pt idx="326">
                  <c:v>165711</c:v>
                </c:pt>
                <c:pt idx="327">
                  <c:v>165909</c:v>
                </c:pt>
                <c:pt idx="328">
                  <c:v>166036</c:v>
                </c:pt>
                <c:pt idx="329">
                  <c:v>166094</c:v>
                </c:pt>
                <c:pt idx="330">
                  <c:v>166232</c:v>
                </c:pt>
                <c:pt idx="331">
                  <c:v>166427</c:v>
                </c:pt>
                <c:pt idx="332">
                  <c:v>166669</c:v>
                </c:pt>
                <c:pt idx="333">
                  <c:v>166728</c:v>
                </c:pt>
                <c:pt idx="334">
                  <c:v>166901</c:v>
                </c:pt>
                <c:pt idx="335">
                  <c:v>167026</c:v>
                </c:pt>
                <c:pt idx="336">
                  <c:v>167088</c:v>
                </c:pt>
                <c:pt idx="337">
                  <c:v>167231</c:v>
                </c:pt>
                <c:pt idx="338">
                  <c:v>167421</c:v>
                </c:pt>
                <c:pt idx="339">
                  <c:v>167568</c:v>
                </c:pt>
                <c:pt idx="340">
                  <c:v>167726</c:v>
                </c:pt>
                <c:pt idx="341">
                  <c:v>167937</c:v>
                </c:pt>
                <c:pt idx="342">
                  <c:v>168088</c:v>
                </c:pt>
                <c:pt idx="343">
                  <c:v>168177</c:v>
                </c:pt>
                <c:pt idx="344">
                  <c:v>168300</c:v>
                </c:pt>
                <c:pt idx="345">
                  <c:v>168496</c:v>
                </c:pt>
                <c:pt idx="346">
                  <c:v>168676</c:v>
                </c:pt>
                <c:pt idx="347">
                  <c:v>168830</c:v>
                </c:pt>
                <c:pt idx="348">
                  <c:v>169022</c:v>
                </c:pt>
                <c:pt idx="349">
                  <c:v>169167</c:v>
                </c:pt>
                <c:pt idx="350">
                  <c:v>169255</c:v>
                </c:pt>
                <c:pt idx="351">
                  <c:v>169391</c:v>
                </c:pt>
                <c:pt idx="352">
                  <c:v>169597</c:v>
                </c:pt>
                <c:pt idx="353">
                  <c:v>169820</c:v>
                </c:pt>
                <c:pt idx="354">
                  <c:v>170011</c:v>
                </c:pt>
                <c:pt idx="355">
                  <c:v>170234</c:v>
                </c:pt>
                <c:pt idx="356">
                  <c:v>170402</c:v>
                </c:pt>
                <c:pt idx="357">
                  <c:v>170506</c:v>
                </c:pt>
                <c:pt idx="358">
                  <c:v>170672</c:v>
                </c:pt>
                <c:pt idx="359">
                  <c:v>170945</c:v>
                </c:pt>
                <c:pt idx="360">
                  <c:v>171227</c:v>
                </c:pt>
                <c:pt idx="361">
                  <c:v>171510</c:v>
                </c:pt>
                <c:pt idx="362">
                  <c:v>171793</c:v>
                </c:pt>
                <c:pt idx="363">
                  <c:v>172058</c:v>
                </c:pt>
                <c:pt idx="364">
                  <c:v>172216</c:v>
                </c:pt>
                <c:pt idx="365">
                  <c:v>172456</c:v>
                </c:pt>
                <c:pt idx="366">
                  <c:v>172816</c:v>
                </c:pt>
                <c:pt idx="367">
                  <c:v>173307</c:v>
                </c:pt>
                <c:pt idx="368">
                  <c:v>173749</c:v>
                </c:pt>
                <c:pt idx="369">
                  <c:v>174257</c:v>
                </c:pt>
                <c:pt idx="370">
                  <c:v>174679</c:v>
                </c:pt>
                <c:pt idx="371">
                  <c:v>175016</c:v>
                </c:pt>
                <c:pt idx="372">
                  <c:v>175198</c:v>
                </c:pt>
                <c:pt idx="373">
                  <c:v>175538</c:v>
                </c:pt>
                <c:pt idx="374">
                  <c:v>176286</c:v>
                </c:pt>
                <c:pt idx="375">
                  <c:v>177104</c:v>
                </c:pt>
                <c:pt idx="376">
                  <c:v>177899</c:v>
                </c:pt>
                <c:pt idx="377">
                  <c:v>178385</c:v>
                </c:pt>
                <c:pt idx="378">
                  <c:v>178702</c:v>
                </c:pt>
                <c:pt idx="379">
                  <c:v>179287</c:v>
                </c:pt>
                <c:pt idx="380">
                  <c:v>180141</c:v>
                </c:pt>
                <c:pt idx="381">
                  <c:v>181165</c:v>
                </c:pt>
                <c:pt idx="382">
                  <c:v>182056</c:v>
                </c:pt>
                <c:pt idx="383">
                  <c:v>183127</c:v>
                </c:pt>
                <c:pt idx="384">
                  <c:v>183713</c:v>
                </c:pt>
                <c:pt idx="385">
                  <c:v>184219</c:v>
                </c:pt>
                <c:pt idx="386">
                  <c:v>185020</c:v>
                </c:pt>
                <c:pt idx="387">
                  <c:v>186184</c:v>
                </c:pt>
                <c:pt idx="388">
                  <c:v>187441</c:v>
                </c:pt>
                <c:pt idx="389">
                  <c:v>188446</c:v>
                </c:pt>
                <c:pt idx="390">
                  <c:v>189540</c:v>
                </c:pt>
                <c:pt idx="391">
                  <c:v>190317</c:v>
                </c:pt>
                <c:pt idx="392">
                  <c:v>190741</c:v>
                </c:pt>
                <c:pt idx="393">
                  <c:v>191491</c:v>
                </c:pt>
                <c:pt idx="394">
                  <c:v>192639</c:v>
                </c:pt>
                <c:pt idx="395">
                  <c:v>193736</c:v>
                </c:pt>
                <c:pt idx="396">
                  <c:v>194852</c:v>
                </c:pt>
                <c:pt idx="397">
                  <c:v>196044</c:v>
                </c:pt>
                <c:pt idx="398">
                  <c:v>196634</c:v>
                </c:pt>
                <c:pt idx="399">
                  <c:v>197113</c:v>
                </c:pt>
                <c:pt idx="400">
                  <c:v>197873</c:v>
                </c:pt>
                <c:pt idx="401">
                  <c:v>198898</c:v>
                </c:pt>
                <c:pt idx="402">
                  <c:v>200129</c:v>
                </c:pt>
                <c:pt idx="403">
                  <c:v>201158</c:v>
                </c:pt>
                <c:pt idx="404">
                  <c:v>202167</c:v>
                </c:pt>
                <c:pt idx="405">
                  <c:v>202817</c:v>
                </c:pt>
                <c:pt idx="406">
                  <c:v>203327</c:v>
                </c:pt>
                <c:pt idx="407">
                  <c:v>204053</c:v>
                </c:pt>
                <c:pt idx="408">
                  <c:v>205128</c:v>
                </c:pt>
                <c:pt idx="409">
                  <c:v>206142</c:v>
                </c:pt>
                <c:pt idx="410">
                  <c:v>207103</c:v>
                </c:pt>
                <c:pt idx="411">
                  <c:v>207973</c:v>
                </c:pt>
                <c:pt idx="412">
                  <c:v>208520</c:v>
                </c:pt>
                <c:pt idx="413">
                  <c:v>208818</c:v>
                </c:pt>
                <c:pt idx="414">
                  <c:v>209485</c:v>
                </c:pt>
                <c:pt idx="415">
                  <c:v>210518</c:v>
                </c:pt>
                <c:pt idx="416">
                  <c:v>211399</c:v>
                </c:pt>
                <c:pt idx="417">
                  <c:v>212114</c:v>
                </c:pt>
                <c:pt idx="418">
                  <c:v>212878</c:v>
                </c:pt>
                <c:pt idx="419">
                  <c:v>213288</c:v>
                </c:pt>
                <c:pt idx="420">
                  <c:v>213469</c:v>
                </c:pt>
                <c:pt idx="421">
                  <c:v>214064</c:v>
                </c:pt>
                <c:pt idx="422">
                  <c:v>214872</c:v>
                </c:pt>
                <c:pt idx="423">
                  <c:v>215528</c:v>
                </c:pt>
                <c:pt idx="424">
                  <c:v>216064</c:v>
                </c:pt>
                <c:pt idx="425">
                  <c:v>216596</c:v>
                </c:pt>
                <c:pt idx="426">
                  <c:v>216863</c:v>
                </c:pt>
                <c:pt idx="427">
                  <c:v>217008</c:v>
                </c:pt>
                <c:pt idx="428">
                  <c:v>217407</c:v>
                </c:pt>
                <c:pt idx="429">
                  <c:v>217900</c:v>
                </c:pt>
                <c:pt idx="430">
                  <c:v>218325</c:v>
                </c:pt>
                <c:pt idx="431">
                  <c:v>218681</c:v>
                </c:pt>
                <c:pt idx="432">
                  <c:v>219092</c:v>
                </c:pt>
                <c:pt idx="433">
                  <c:v>219270</c:v>
                </c:pt>
                <c:pt idx="434">
                  <c:v>219353</c:v>
                </c:pt>
                <c:pt idx="435">
                  <c:v>219596</c:v>
                </c:pt>
                <c:pt idx="436">
                  <c:v>219950</c:v>
                </c:pt>
                <c:pt idx="437">
                  <c:v>220217</c:v>
                </c:pt>
                <c:pt idx="438">
                  <c:v>220447</c:v>
                </c:pt>
                <c:pt idx="439">
                  <c:v>220729</c:v>
                </c:pt>
                <c:pt idx="440">
                  <c:v>220860</c:v>
                </c:pt>
                <c:pt idx="441">
                  <c:v>220927</c:v>
                </c:pt>
                <c:pt idx="442">
                  <c:v>221139</c:v>
                </c:pt>
                <c:pt idx="443">
                  <c:v>221368</c:v>
                </c:pt>
                <c:pt idx="444">
                  <c:v>221559</c:v>
                </c:pt>
                <c:pt idx="445">
                  <c:v>221699</c:v>
                </c:pt>
                <c:pt idx="446">
                  <c:v>221880</c:v>
                </c:pt>
                <c:pt idx="447">
                  <c:v>221948</c:v>
                </c:pt>
                <c:pt idx="448">
                  <c:v>221982</c:v>
                </c:pt>
                <c:pt idx="449">
                  <c:v>222139</c:v>
                </c:pt>
                <c:pt idx="450">
                  <c:v>222269</c:v>
                </c:pt>
                <c:pt idx="451">
                  <c:v>222409</c:v>
                </c:pt>
                <c:pt idx="452">
                  <c:v>222513</c:v>
                </c:pt>
                <c:pt idx="453">
                  <c:v>222555</c:v>
                </c:pt>
                <c:pt idx="454">
                  <c:v>222636</c:v>
                </c:pt>
                <c:pt idx="455">
                  <c:v>222670</c:v>
                </c:pt>
                <c:pt idx="456">
                  <c:v>222778</c:v>
                </c:pt>
                <c:pt idx="457">
                  <c:v>222870</c:v>
                </c:pt>
                <c:pt idx="458">
                  <c:v>222978</c:v>
                </c:pt>
                <c:pt idx="459">
                  <c:v>223050</c:v>
                </c:pt>
                <c:pt idx="460">
                  <c:v>223143</c:v>
                </c:pt>
                <c:pt idx="461">
                  <c:v>223180</c:v>
                </c:pt>
                <c:pt idx="462">
                  <c:v>223212</c:v>
                </c:pt>
                <c:pt idx="463">
                  <c:v>223285</c:v>
                </c:pt>
                <c:pt idx="464">
                  <c:v>223384</c:v>
                </c:pt>
                <c:pt idx="465">
                  <c:v>223460</c:v>
                </c:pt>
                <c:pt idx="466">
                  <c:v>223555</c:v>
                </c:pt>
                <c:pt idx="467">
                  <c:v>223643</c:v>
                </c:pt>
                <c:pt idx="468">
                  <c:v>223682</c:v>
                </c:pt>
                <c:pt idx="469">
                  <c:v>223723</c:v>
                </c:pt>
                <c:pt idx="470">
                  <c:v>223805</c:v>
                </c:pt>
                <c:pt idx="471">
                  <c:v>223904</c:v>
                </c:pt>
                <c:pt idx="472">
                  <c:v>224000</c:v>
                </c:pt>
                <c:pt idx="473">
                  <c:v>224086</c:v>
                </c:pt>
                <c:pt idx="474">
                  <c:v>224167</c:v>
                </c:pt>
                <c:pt idx="475">
                  <c:v>224227</c:v>
                </c:pt>
                <c:pt idx="476">
                  <c:v>224253</c:v>
                </c:pt>
                <c:pt idx="477">
                  <c:v>224330</c:v>
                </c:pt>
                <c:pt idx="478">
                  <c:v>224430</c:v>
                </c:pt>
                <c:pt idx="479">
                  <c:v>224533</c:v>
                </c:pt>
                <c:pt idx="480">
                  <c:v>224635</c:v>
                </c:pt>
                <c:pt idx="481">
                  <c:v>224728</c:v>
                </c:pt>
                <c:pt idx="482">
                  <c:v>224797</c:v>
                </c:pt>
                <c:pt idx="483">
                  <c:v>224851</c:v>
                </c:pt>
                <c:pt idx="484">
                  <c:v>224967</c:v>
                </c:pt>
                <c:pt idx="485">
                  <c:v>225095</c:v>
                </c:pt>
                <c:pt idx="486">
                  <c:v>225221</c:v>
                </c:pt>
                <c:pt idx="487">
                  <c:v>225339</c:v>
                </c:pt>
                <c:pt idx="488">
                  <c:v>225464</c:v>
                </c:pt>
                <c:pt idx="489">
                  <c:v>225553</c:v>
                </c:pt>
                <c:pt idx="490">
                  <c:v>225606</c:v>
                </c:pt>
                <c:pt idx="491">
                  <c:v>225661</c:v>
                </c:pt>
                <c:pt idx="492">
                  <c:v>225801</c:v>
                </c:pt>
                <c:pt idx="493">
                  <c:v>225987</c:v>
                </c:pt>
                <c:pt idx="494">
                  <c:v>226135</c:v>
                </c:pt>
                <c:pt idx="495">
                  <c:v>226285</c:v>
                </c:pt>
                <c:pt idx="496">
                  <c:v>226388</c:v>
                </c:pt>
                <c:pt idx="497">
                  <c:v>226459</c:v>
                </c:pt>
                <c:pt idx="498">
                  <c:v>226597</c:v>
                </c:pt>
                <c:pt idx="499">
                  <c:v>226786</c:v>
                </c:pt>
                <c:pt idx="500">
                  <c:v>226949</c:v>
                </c:pt>
                <c:pt idx="501">
                  <c:v>227111</c:v>
                </c:pt>
                <c:pt idx="502">
                  <c:v>227298</c:v>
                </c:pt>
                <c:pt idx="503">
                  <c:v>227430</c:v>
                </c:pt>
                <c:pt idx="504">
                  <c:v>227522</c:v>
                </c:pt>
                <c:pt idx="505">
                  <c:v>227716</c:v>
                </c:pt>
                <c:pt idx="506">
                  <c:v>227936</c:v>
                </c:pt>
                <c:pt idx="507">
                  <c:v>228161</c:v>
                </c:pt>
                <c:pt idx="508">
                  <c:v>228382</c:v>
                </c:pt>
                <c:pt idx="509">
                  <c:v>228632</c:v>
                </c:pt>
                <c:pt idx="510">
                  <c:v>228798</c:v>
                </c:pt>
                <c:pt idx="511">
                  <c:v>228910</c:v>
                </c:pt>
                <c:pt idx="512">
                  <c:v>229090</c:v>
                </c:pt>
                <c:pt idx="513">
                  <c:v>229370</c:v>
                </c:pt>
                <c:pt idx="514">
                  <c:v>229603</c:v>
                </c:pt>
                <c:pt idx="515">
                  <c:v>229867</c:v>
                </c:pt>
                <c:pt idx="516">
                  <c:v>230110</c:v>
                </c:pt>
                <c:pt idx="517">
                  <c:v>230339</c:v>
                </c:pt>
                <c:pt idx="518">
                  <c:v>230476</c:v>
                </c:pt>
                <c:pt idx="519">
                  <c:v>230713</c:v>
                </c:pt>
                <c:pt idx="520">
                  <c:v>230993</c:v>
                </c:pt>
                <c:pt idx="521">
                  <c:v>231322</c:v>
                </c:pt>
                <c:pt idx="522">
                  <c:v>231625</c:v>
                </c:pt>
                <c:pt idx="523">
                  <c:v>231923</c:v>
                </c:pt>
                <c:pt idx="524">
                  <c:v>232157</c:v>
                </c:pt>
                <c:pt idx="525">
                  <c:v>232297</c:v>
                </c:pt>
                <c:pt idx="526">
                  <c:v>232610</c:v>
                </c:pt>
                <c:pt idx="527">
                  <c:v>233001</c:v>
                </c:pt>
                <c:pt idx="528">
                  <c:v>233400</c:v>
                </c:pt>
                <c:pt idx="529">
                  <c:v>233797</c:v>
                </c:pt>
                <c:pt idx="530">
                  <c:v>234227</c:v>
                </c:pt>
                <c:pt idx="531">
                  <c:v>234558</c:v>
                </c:pt>
                <c:pt idx="532">
                  <c:v>234814</c:v>
                </c:pt>
                <c:pt idx="533">
                  <c:v>235171</c:v>
                </c:pt>
                <c:pt idx="534">
                  <c:v>235675</c:v>
                </c:pt>
                <c:pt idx="535">
                  <c:v>236234</c:v>
                </c:pt>
                <c:pt idx="536">
                  <c:v>236742</c:v>
                </c:pt>
                <c:pt idx="537">
                  <c:v>237249</c:v>
                </c:pt>
                <c:pt idx="538">
                  <c:v>237634</c:v>
                </c:pt>
                <c:pt idx="539">
                  <c:v>237885</c:v>
                </c:pt>
                <c:pt idx="540">
                  <c:v>238422</c:v>
                </c:pt>
                <c:pt idx="541">
                  <c:v>239056</c:v>
                </c:pt>
                <c:pt idx="542">
                  <c:v>239739</c:v>
                </c:pt>
                <c:pt idx="543">
                  <c:v>240261</c:v>
                </c:pt>
                <c:pt idx="544">
                  <c:v>240953</c:v>
                </c:pt>
                <c:pt idx="545">
                  <c:v>241336</c:v>
                </c:pt>
                <c:pt idx="546">
                  <c:v>241611</c:v>
                </c:pt>
                <c:pt idx="547">
                  <c:v>242135</c:v>
                </c:pt>
                <c:pt idx="548">
                  <c:v>242750</c:v>
                </c:pt>
                <c:pt idx="549">
                  <c:v>243386</c:v>
                </c:pt>
                <c:pt idx="550">
                  <c:v>243981</c:v>
                </c:pt>
                <c:pt idx="551">
                  <c:v>244602</c:v>
                </c:pt>
                <c:pt idx="552">
                  <c:v>245025</c:v>
                </c:pt>
                <c:pt idx="553">
                  <c:v>245264</c:v>
                </c:pt>
                <c:pt idx="554">
                  <c:v>245765</c:v>
                </c:pt>
                <c:pt idx="555">
                  <c:v>246410</c:v>
                </c:pt>
                <c:pt idx="556">
                  <c:v>246997</c:v>
                </c:pt>
                <c:pt idx="557">
                  <c:v>247666</c:v>
                </c:pt>
                <c:pt idx="558">
                  <c:v>248397</c:v>
                </c:pt>
                <c:pt idx="559">
                  <c:v>248850</c:v>
                </c:pt>
                <c:pt idx="560">
                  <c:v>249146</c:v>
                </c:pt>
                <c:pt idx="561">
                  <c:v>249803</c:v>
                </c:pt>
                <c:pt idx="562">
                  <c:v>250559</c:v>
                </c:pt>
                <c:pt idx="563">
                  <c:v>251323</c:v>
                </c:pt>
                <c:pt idx="564">
                  <c:v>252082</c:v>
                </c:pt>
                <c:pt idx="565">
                  <c:v>253093</c:v>
                </c:pt>
                <c:pt idx="566">
                  <c:v>253600</c:v>
                </c:pt>
                <c:pt idx="567">
                  <c:v>253942</c:v>
                </c:pt>
                <c:pt idx="568">
                  <c:v>254436</c:v>
                </c:pt>
                <c:pt idx="569">
                  <c:v>254709</c:v>
                </c:pt>
                <c:pt idx="570">
                  <c:v>255648</c:v>
                </c:pt>
                <c:pt idx="571">
                  <c:v>256554</c:v>
                </c:pt>
                <c:pt idx="572">
                  <c:v>257620</c:v>
                </c:pt>
                <c:pt idx="573">
                  <c:v>258545</c:v>
                </c:pt>
                <c:pt idx="574">
                  <c:v>259007</c:v>
                </c:pt>
                <c:pt idx="575">
                  <c:v>259779</c:v>
                </c:pt>
                <c:pt idx="576">
                  <c:v>260675</c:v>
                </c:pt>
                <c:pt idx="577">
                  <c:v>261697</c:v>
                </c:pt>
                <c:pt idx="578">
                  <c:v>262631</c:v>
                </c:pt>
                <c:pt idx="579">
                  <c:v>263783</c:v>
                </c:pt>
                <c:pt idx="580">
                  <c:v>264690</c:v>
                </c:pt>
                <c:pt idx="581">
                  <c:v>265317</c:v>
                </c:pt>
                <c:pt idx="582">
                  <c:v>266208</c:v>
                </c:pt>
                <c:pt idx="583">
                  <c:v>267363</c:v>
                </c:pt>
                <c:pt idx="584">
                  <c:v>268672</c:v>
                </c:pt>
                <c:pt idx="585">
                  <c:v>269874</c:v>
                </c:pt>
                <c:pt idx="586">
                  <c:v>271205</c:v>
                </c:pt>
                <c:pt idx="587">
                  <c:v>272356</c:v>
                </c:pt>
                <c:pt idx="588">
                  <c:v>272957</c:v>
                </c:pt>
                <c:pt idx="589">
                  <c:v>273860</c:v>
                </c:pt>
                <c:pt idx="590">
                  <c:v>275077</c:v>
                </c:pt>
                <c:pt idx="591">
                  <c:v>276666</c:v>
                </c:pt>
                <c:pt idx="592">
                  <c:v>278431</c:v>
                </c:pt>
                <c:pt idx="593">
                  <c:v>280294</c:v>
                </c:pt>
                <c:pt idx="594">
                  <c:v>281991</c:v>
                </c:pt>
                <c:pt idx="595">
                  <c:v>283183</c:v>
                </c:pt>
                <c:pt idx="596">
                  <c:v>284237</c:v>
                </c:pt>
                <c:pt idx="597">
                  <c:v>286303</c:v>
                </c:pt>
                <c:pt idx="598">
                  <c:v>288906</c:v>
                </c:pt>
                <c:pt idx="599">
                  <c:v>291052</c:v>
                </c:pt>
                <c:pt idx="600">
                  <c:v>293014</c:v>
                </c:pt>
                <c:pt idx="601">
                  <c:v>295368</c:v>
                </c:pt>
                <c:pt idx="602">
                  <c:v>296552</c:v>
                </c:pt>
                <c:pt idx="603">
                  <c:v>298069</c:v>
                </c:pt>
                <c:pt idx="604">
                  <c:v>300143</c:v>
                </c:pt>
                <c:pt idx="605">
                  <c:v>302450</c:v>
                </c:pt>
                <c:pt idx="606">
                  <c:v>304546</c:v>
                </c:pt>
                <c:pt idx="607">
                  <c:v>306739</c:v>
                </c:pt>
                <c:pt idx="608">
                  <c:v>308326</c:v>
                </c:pt>
                <c:pt idx="609">
                  <c:v>309397</c:v>
                </c:pt>
                <c:pt idx="610">
                  <c:v>310629</c:v>
                </c:pt>
                <c:pt idx="611">
                  <c:v>312674</c:v>
                </c:pt>
                <c:pt idx="612">
                  <c:v>315004</c:v>
                </c:pt>
                <c:pt idx="613">
                  <c:v>316839</c:v>
                </c:pt>
                <c:pt idx="614">
                  <c:v>319016</c:v>
                </c:pt>
                <c:pt idx="615">
                  <c:v>320433</c:v>
                </c:pt>
                <c:pt idx="616">
                  <c:v>321243</c:v>
                </c:pt>
                <c:pt idx="617">
                  <c:v>322364</c:v>
                </c:pt>
                <c:pt idx="618">
                  <c:v>324039</c:v>
                </c:pt>
                <c:pt idx="619">
                  <c:v>325521</c:v>
                </c:pt>
                <c:pt idx="620">
                  <c:v>326830</c:v>
                </c:pt>
                <c:pt idx="621">
                  <c:v>328081</c:v>
                </c:pt>
                <c:pt idx="622">
                  <c:v>328963</c:v>
                </c:pt>
                <c:pt idx="623">
                  <c:v>329341</c:v>
                </c:pt>
                <c:pt idx="624">
                  <c:v>329913</c:v>
                </c:pt>
                <c:pt idx="625">
                  <c:v>330895</c:v>
                </c:pt>
                <c:pt idx="626">
                  <c:v>331914</c:v>
                </c:pt>
                <c:pt idx="627">
                  <c:v>332713</c:v>
                </c:pt>
                <c:pt idx="628">
                  <c:v>333583</c:v>
                </c:pt>
                <c:pt idx="629">
                  <c:v>334075</c:v>
                </c:pt>
                <c:pt idx="630">
                  <c:v>334347</c:v>
                </c:pt>
                <c:pt idx="631">
                  <c:v>334878</c:v>
                </c:pt>
                <c:pt idx="632">
                  <c:v>335738</c:v>
                </c:pt>
                <c:pt idx="633">
                  <c:v>336330</c:v>
                </c:pt>
                <c:pt idx="634">
                  <c:v>337005</c:v>
                </c:pt>
                <c:pt idx="635">
                  <c:v>337522</c:v>
                </c:pt>
                <c:pt idx="636">
                  <c:v>337931</c:v>
                </c:pt>
                <c:pt idx="637">
                  <c:v>338120</c:v>
                </c:pt>
                <c:pt idx="638">
                  <c:v>338518</c:v>
                </c:pt>
                <c:pt idx="639">
                  <c:v>339020</c:v>
                </c:pt>
                <c:pt idx="640">
                  <c:v>339578</c:v>
                </c:pt>
                <c:pt idx="641">
                  <c:v>339977</c:v>
                </c:pt>
                <c:pt idx="642">
                  <c:v>340396</c:v>
                </c:pt>
                <c:pt idx="643">
                  <c:v>340723</c:v>
                </c:pt>
                <c:pt idx="644">
                  <c:v>340818</c:v>
                </c:pt>
                <c:pt idx="645">
                  <c:v>341058</c:v>
                </c:pt>
                <c:pt idx="646">
                  <c:v>341468</c:v>
                </c:pt>
                <c:pt idx="647">
                  <c:v>341768</c:v>
                </c:pt>
                <c:pt idx="648">
                  <c:v>342115</c:v>
                </c:pt>
                <c:pt idx="649">
                  <c:v>342405</c:v>
                </c:pt>
                <c:pt idx="650">
                  <c:v>342538</c:v>
                </c:pt>
                <c:pt idx="651">
                  <c:v>342604</c:v>
                </c:pt>
                <c:pt idx="652">
                  <c:v>342765</c:v>
                </c:pt>
                <c:pt idx="653">
                  <c:v>342977</c:v>
                </c:pt>
                <c:pt idx="654">
                  <c:v>343157</c:v>
                </c:pt>
                <c:pt idx="655">
                  <c:v>343350</c:v>
                </c:pt>
                <c:pt idx="656">
                  <c:v>343506</c:v>
                </c:pt>
                <c:pt idx="657">
                  <c:v>343636</c:v>
                </c:pt>
                <c:pt idx="658">
                  <c:v>343708</c:v>
                </c:pt>
                <c:pt idx="659">
                  <c:v>343845</c:v>
                </c:pt>
                <c:pt idx="660">
                  <c:v>343997</c:v>
                </c:pt>
                <c:pt idx="661">
                  <c:v>344126</c:v>
                </c:pt>
                <c:pt idx="662">
                  <c:v>344261</c:v>
                </c:pt>
                <c:pt idx="663">
                  <c:v>344379</c:v>
                </c:pt>
                <c:pt idx="664">
                  <c:v>344481</c:v>
                </c:pt>
                <c:pt idx="665">
                  <c:v>344540</c:v>
                </c:pt>
                <c:pt idx="666">
                  <c:v>344649</c:v>
                </c:pt>
                <c:pt idx="667">
                  <c:v>344737</c:v>
                </c:pt>
                <c:pt idx="668">
                  <c:v>344826</c:v>
                </c:pt>
                <c:pt idx="669">
                  <c:v>344930</c:v>
                </c:pt>
                <c:pt idx="670">
                  <c:v>344980</c:v>
                </c:pt>
                <c:pt idx="671">
                  <c:v>345007</c:v>
                </c:pt>
                <c:pt idx="672">
                  <c:v>345036</c:v>
                </c:pt>
                <c:pt idx="673">
                  <c:v>345126</c:v>
                </c:pt>
                <c:pt idx="674">
                  <c:v>345255</c:v>
                </c:pt>
                <c:pt idx="675">
                  <c:v>345389</c:v>
                </c:pt>
                <c:pt idx="676">
                  <c:v>345518</c:v>
                </c:pt>
                <c:pt idx="677">
                  <c:v>345713</c:v>
                </c:pt>
                <c:pt idx="678">
                  <c:v>345855</c:v>
                </c:pt>
                <c:pt idx="679">
                  <c:v>345981</c:v>
                </c:pt>
                <c:pt idx="680">
                  <c:v>346224</c:v>
                </c:pt>
                <c:pt idx="681">
                  <c:v>346513</c:v>
                </c:pt>
                <c:pt idx="682">
                  <c:v>346811</c:v>
                </c:pt>
                <c:pt idx="683">
                  <c:v>347084</c:v>
                </c:pt>
                <c:pt idx="684">
                  <c:v>347377</c:v>
                </c:pt>
                <c:pt idx="685">
                  <c:v>347617</c:v>
                </c:pt>
                <c:pt idx="686">
                  <c:v>347785</c:v>
                </c:pt>
                <c:pt idx="687">
                  <c:v>348145</c:v>
                </c:pt>
                <c:pt idx="688">
                  <c:v>348708</c:v>
                </c:pt>
                <c:pt idx="689">
                  <c:v>349329</c:v>
                </c:pt>
                <c:pt idx="690">
                  <c:v>349957</c:v>
                </c:pt>
                <c:pt idx="691">
                  <c:v>350897</c:v>
                </c:pt>
                <c:pt idx="692">
                  <c:v>351711</c:v>
                </c:pt>
                <c:pt idx="693">
                  <c:v>352399</c:v>
                </c:pt>
                <c:pt idx="694">
                  <c:v>353731</c:v>
                </c:pt>
                <c:pt idx="695">
                  <c:v>355662</c:v>
                </c:pt>
                <c:pt idx="696">
                  <c:v>358218</c:v>
                </c:pt>
                <c:pt idx="697">
                  <c:v>361754</c:v>
                </c:pt>
                <c:pt idx="698">
                  <c:v>364348</c:v>
                </c:pt>
                <c:pt idx="699">
                  <c:v>366433</c:v>
                </c:pt>
                <c:pt idx="700">
                  <c:v>367795</c:v>
                </c:pt>
                <c:pt idx="701">
                  <c:v>370922</c:v>
                </c:pt>
                <c:pt idx="702">
                  <c:v>374878</c:v>
                </c:pt>
                <c:pt idx="703">
                  <c:v>379266</c:v>
                </c:pt>
                <c:pt idx="704">
                  <c:v>383458</c:v>
                </c:pt>
                <c:pt idx="705">
                  <c:v>387490</c:v>
                </c:pt>
                <c:pt idx="706">
                  <c:v>389957</c:v>
                </c:pt>
                <c:pt idx="707">
                  <c:v>391588</c:v>
                </c:pt>
                <c:pt idx="708">
                  <c:v>394074</c:v>
                </c:pt>
                <c:pt idx="709">
                  <c:v>396885</c:v>
                </c:pt>
                <c:pt idx="710">
                  <c:v>399727</c:v>
                </c:pt>
                <c:pt idx="711">
                  <c:v>402403</c:v>
                </c:pt>
                <c:pt idx="712">
                  <c:v>404805</c:v>
                </c:pt>
                <c:pt idx="713">
                  <c:v>406379</c:v>
                </c:pt>
                <c:pt idx="714">
                  <c:v>407074</c:v>
                </c:pt>
                <c:pt idx="715">
                  <c:v>408381</c:v>
                </c:pt>
                <c:pt idx="716">
                  <c:v>410155</c:v>
                </c:pt>
                <c:pt idx="717">
                  <c:v>411878</c:v>
                </c:pt>
                <c:pt idx="718">
                  <c:v>413295</c:v>
                </c:pt>
                <c:pt idx="719">
                  <c:v>414764</c:v>
                </c:pt>
                <c:pt idx="720">
                  <c:v>415464</c:v>
                </c:pt>
                <c:pt idx="721">
                  <c:v>415757</c:v>
                </c:pt>
                <c:pt idx="722">
                  <c:v>416510</c:v>
                </c:pt>
                <c:pt idx="723">
                  <c:v>417456</c:v>
                </c:pt>
                <c:pt idx="724">
                  <c:v>418220</c:v>
                </c:pt>
                <c:pt idx="725">
                  <c:v>418792</c:v>
                </c:pt>
                <c:pt idx="726">
                  <c:v>419423</c:v>
                </c:pt>
                <c:pt idx="727">
                  <c:v>419693</c:v>
                </c:pt>
                <c:pt idx="728">
                  <c:v>419832</c:v>
                </c:pt>
                <c:pt idx="729">
                  <c:v>420156</c:v>
                </c:pt>
                <c:pt idx="730">
                  <c:v>420498</c:v>
                </c:pt>
                <c:pt idx="731">
                  <c:v>420757</c:v>
                </c:pt>
                <c:pt idx="732">
                  <c:v>421008</c:v>
                </c:pt>
                <c:pt idx="733">
                  <c:v>421226</c:v>
                </c:pt>
                <c:pt idx="734">
                  <c:v>421341</c:v>
                </c:pt>
                <c:pt idx="735">
                  <c:v>421401</c:v>
                </c:pt>
                <c:pt idx="736">
                  <c:v>421541</c:v>
                </c:pt>
                <c:pt idx="737">
                  <c:v>421592</c:v>
                </c:pt>
                <c:pt idx="738">
                  <c:v>421714</c:v>
                </c:pt>
                <c:pt idx="739">
                  <c:v>421842</c:v>
                </c:pt>
                <c:pt idx="740">
                  <c:v>421953</c:v>
                </c:pt>
                <c:pt idx="741">
                  <c:v>422004</c:v>
                </c:pt>
                <c:pt idx="742">
                  <c:v>422021</c:v>
                </c:pt>
                <c:pt idx="743">
                  <c:v>422076</c:v>
                </c:pt>
                <c:pt idx="744">
                  <c:v>422155</c:v>
                </c:pt>
                <c:pt idx="745">
                  <c:v>422202</c:v>
                </c:pt>
                <c:pt idx="746">
                  <c:v>422254</c:v>
                </c:pt>
                <c:pt idx="747">
                  <c:v>422286</c:v>
                </c:pt>
                <c:pt idx="748">
                  <c:v>422307</c:v>
                </c:pt>
                <c:pt idx="749">
                  <c:v>422328</c:v>
                </c:pt>
                <c:pt idx="750">
                  <c:v>422354</c:v>
                </c:pt>
                <c:pt idx="751">
                  <c:v>422382</c:v>
                </c:pt>
                <c:pt idx="752">
                  <c:v>422401</c:v>
                </c:pt>
                <c:pt idx="753">
                  <c:v>422423</c:v>
                </c:pt>
                <c:pt idx="754">
                  <c:v>422444</c:v>
                </c:pt>
                <c:pt idx="755">
                  <c:v>422458</c:v>
                </c:pt>
                <c:pt idx="756">
                  <c:v>422468</c:v>
                </c:pt>
                <c:pt idx="757">
                  <c:v>422484</c:v>
                </c:pt>
                <c:pt idx="758">
                  <c:v>422498</c:v>
                </c:pt>
                <c:pt idx="759">
                  <c:v>422519</c:v>
                </c:pt>
                <c:pt idx="760">
                  <c:v>422540</c:v>
                </c:pt>
                <c:pt idx="761">
                  <c:v>422552</c:v>
                </c:pt>
                <c:pt idx="762">
                  <c:v>422574</c:v>
                </c:pt>
                <c:pt idx="763">
                  <c:v>422581</c:v>
                </c:pt>
                <c:pt idx="764">
                  <c:v>422594</c:v>
                </c:pt>
                <c:pt idx="765">
                  <c:v>422610</c:v>
                </c:pt>
                <c:pt idx="766">
                  <c:v>422629</c:v>
                </c:pt>
                <c:pt idx="767">
                  <c:v>422643</c:v>
                </c:pt>
                <c:pt idx="768">
                  <c:v>422662</c:v>
                </c:pt>
                <c:pt idx="769">
                  <c:v>422677</c:v>
                </c:pt>
                <c:pt idx="770">
                  <c:v>422678</c:v>
                </c:pt>
                <c:pt idx="771">
                  <c:v>422691</c:v>
                </c:pt>
                <c:pt idx="772">
                  <c:v>422711</c:v>
                </c:pt>
                <c:pt idx="773">
                  <c:v>422721</c:v>
                </c:pt>
                <c:pt idx="774">
                  <c:v>422729</c:v>
                </c:pt>
                <c:pt idx="775">
                  <c:v>422747</c:v>
                </c:pt>
                <c:pt idx="776">
                  <c:v>422762</c:v>
                </c:pt>
                <c:pt idx="777">
                  <c:v>422770</c:v>
                </c:pt>
                <c:pt idx="778">
                  <c:v>422784</c:v>
                </c:pt>
                <c:pt idx="779">
                  <c:v>422799</c:v>
                </c:pt>
                <c:pt idx="780">
                  <c:v>422805</c:v>
                </c:pt>
                <c:pt idx="781">
                  <c:v>422814</c:v>
                </c:pt>
                <c:pt idx="782">
                  <c:v>422822</c:v>
                </c:pt>
                <c:pt idx="783">
                  <c:v>422825</c:v>
                </c:pt>
                <c:pt idx="784">
                  <c:v>422828</c:v>
                </c:pt>
                <c:pt idx="785">
                  <c:v>422838</c:v>
                </c:pt>
                <c:pt idx="786">
                  <c:v>422855</c:v>
                </c:pt>
                <c:pt idx="787">
                  <c:v>422858</c:v>
                </c:pt>
                <c:pt idx="788">
                  <c:v>422865</c:v>
                </c:pt>
                <c:pt idx="789">
                  <c:v>422867</c:v>
                </c:pt>
                <c:pt idx="790">
                  <c:v>422871</c:v>
                </c:pt>
                <c:pt idx="791">
                  <c:v>422874</c:v>
                </c:pt>
                <c:pt idx="792">
                  <c:v>422874</c:v>
                </c:pt>
                <c:pt idx="793">
                  <c:v>422877</c:v>
                </c:pt>
              </c:numCache>
            </c:numRef>
          </c:val>
          <c:smooth val="0"/>
          <c:extLst xmlns:c16r2="http://schemas.microsoft.com/office/drawing/2015/06/chart">
            <c:ext xmlns:c16="http://schemas.microsoft.com/office/drawing/2014/chart" uri="{C3380CC4-5D6E-409C-BE32-E72D297353CC}">
              <c16:uniqueId val="{00000001-EC96-4A0E-AF16-219459A533FD}"/>
            </c:ext>
          </c:extLst>
        </c:ser>
        <c:dLbls>
          <c:showLegendKey val="0"/>
          <c:showVal val="0"/>
          <c:showCatName val="0"/>
          <c:showSerName val="0"/>
          <c:showPercent val="0"/>
          <c:showBubbleSize val="0"/>
        </c:dLbls>
        <c:marker val="1"/>
        <c:smooth val="0"/>
        <c:axId val="296621952"/>
        <c:axId val="296620416"/>
      </c:lineChart>
      <c:valAx>
        <c:axId val="296379520"/>
        <c:scaling>
          <c:orientation val="minMax"/>
        </c:scaling>
        <c:delete val="0"/>
        <c:axPos val="r"/>
        <c:numFmt formatCode="General" sourceLinked="1"/>
        <c:majorTickMark val="out"/>
        <c:minorTickMark val="none"/>
        <c:tickLblPos val="nextTo"/>
        <c:txPr>
          <a:bodyPr/>
          <a:lstStyle/>
          <a:p>
            <a:pPr>
              <a:defRPr sz="600" baseline="0">
                <a:latin typeface="GHEA Grapalat" pitchFamily="50" charset="0"/>
              </a:defRPr>
            </a:pPr>
            <a:endParaRPr lang="en-US"/>
          </a:p>
        </c:txPr>
        <c:crossAx val="296381056"/>
        <c:crosses val="max"/>
        <c:crossBetween val="between"/>
        <c:majorUnit val="500"/>
      </c:valAx>
      <c:catAx>
        <c:axId val="296381056"/>
        <c:scaling>
          <c:orientation val="minMax"/>
        </c:scaling>
        <c:delete val="0"/>
        <c:axPos val="b"/>
        <c:numFmt formatCode="General" sourceLinked="1"/>
        <c:majorTickMark val="out"/>
        <c:minorTickMark val="none"/>
        <c:tickLblPos val="nextTo"/>
        <c:txPr>
          <a:bodyPr/>
          <a:lstStyle/>
          <a:p>
            <a:pPr>
              <a:defRPr sz="500" baseline="0">
                <a:latin typeface="GHEA Grapalat" pitchFamily="50" charset="0"/>
              </a:defRPr>
            </a:pPr>
            <a:endParaRPr lang="en-US"/>
          </a:p>
        </c:txPr>
        <c:crossAx val="296379520"/>
        <c:crosses val="autoZero"/>
        <c:auto val="1"/>
        <c:lblAlgn val="ctr"/>
        <c:lblOffset val="100"/>
        <c:noMultiLvlLbl val="0"/>
      </c:catAx>
      <c:valAx>
        <c:axId val="296620416"/>
        <c:scaling>
          <c:orientation val="minMax"/>
        </c:scaling>
        <c:delete val="0"/>
        <c:axPos val="l"/>
        <c:numFmt formatCode="General" sourceLinked="1"/>
        <c:majorTickMark val="out"/>
        <c:minorTickMark val="none"/>
        <c:tickLblPos val="nextTo"/>
        <c:txPr>
          <a:bodyPr/>
          <a:lstStyle/>
          <a:p>
            <a:pPr>
              <a:defRPr sz="600" baseline="0">
                <a:latin typeface="GHEA Grapalat" pitchFamily="50" charset="0"/>
              </a:defRPr>
            </a:pPr>
            <a:endParaRPr lang="en-US"/>
          </a:p>
        </c:txPr>
        <c:crossAx val="296621952"/>
        <c:crosses val="autoZero"/>
        <c:crossBetween val="between"/>
      </c:valAx>
      <c:catAx>
        <c:axId val="296621952"/>
        <c:scaling>
          <c:orientation val="minMax"/>
        </c:scaling>
        <c:delete val="1"/>
        <c:axPos val="t"/>
        <c:numFmt formatCode="General" sourceLinked="1"/>
        <c:majorTickMark val="out"/>
        <c:minorTickMark val="none"/>
        <c:tickLblPos val="nextTo"/>
        <c:crossAx val="296620416"/>
        <c:crosses val="max"/>
        <c:auto val="1"/>
        <c:lblAlgn val="ctr"/>
        <c:lblOffset val="100"/>
        <c:noMultiLvlLbl val="0"/>
      </c:catAx>
      <c:spPr>
        <a:solidFill>
          <a:srgbClr val="4F81BD">
            <a:lumMod val="20000"/>
            <a:lumOff val="80000"/>
          </a:srgbClr>
        </a:solidFill>
        <a:ln>
          <a:solidFill>
            <a:schemeClr val="bg1">
              <a:lumMod val="75000"/>
            </a:schemeClr>
          </a:solidFill>
        </a:ln>
        <a:effectLst/>
      </c:spPr>
    </c:plotArea>
    <c:legend>
      <c:legendPos val="b"/>
      <c:layout>
        <c:manualLayout>
          <c:xMode val="edge"/>
          <c:yMode val="edge"/>
          <c:x val="4.1173017110141534E-2"/>
          <c:y val="0.842208797176215"/>
          <c:w val="0.89999987670045511"/>
          <c:h val="0.15172129345970894"/>
        </c:manualLayout>
      </c:layout>
      <c:overlay val="0"/>
      <c:txPr>
        <a:bodyPr/>
        <a:lstStyle/>
        <a:p>
          <a:pPr>
            <a:defRPr sz="900" baseline="0">
              <a:latin typeface="GHEA Grapalat" pitchFamily="50"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4F81BD">
        <a:lumMod val="20000"/>
        <a:lumOff val="80000"/>
      </a:srgbClr>
    </a:solidFill>
    <a:ln w="9525" cap="flat" cmpd="sng" algn="ctr">
      <a:solidFill>
        <a:sysClr val="window" lastClr="FFFFFF">
          <a:lumMod val="65000"/>
        </a:sysClr>
      </a:solidFill>
      <a:round/>
    </a:ln>
    <a:effectLst/>
  </c:spPr>
  <c:txPr>
    <a:bodyPr/>
    <a:lstStyle/>
    <a:p>
      <a:pPr>
        <a:defRPr sz="1000"/>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38401449818773"/>
          <c:y val="7.3548873665592263E-2"/>
          <c:w val="0.83207381685985082"/>
          <c:h val="0.61130698940410222"/>
        </c:manualLayout>
      </c:layout>
      <c:lineChart>
        <c:grouping val="standard"/>
        <c:varyColors val="0"/>
        <c:ser>
          <c:idx val="0"/>
          <c:order val="0"/>
          <c:tx>
            <c:strRef>
              <c:f>Sheet1!$A$2</c:f>
              <c:strCache>
                <c:ptCount val="1"/>
                <c:pt idx="0">
                  <c:v>Իրական փոփոխություն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6.6828885972586766E-2"/>
                  <c:y val="4.125457436100057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802-4975-ADAF-E85A35632D68}"/>
                </c:ext>
              </c:extLst>
            </c:dLbl>
            <c:dLbl>
              <c:idx val="1"/>
              <c:layout>
                <c:manualLayout>
                  <c:x val="-5.1400554097404488E-2"/>
                  <c:y val="3.16966293191845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802-4975-ADAF-E85A35632D68}"/>
                </c:ext>
              </c:extLst>
            </c:dLbl>
            <c:dLbl>
              <c:idx val="3"/>
              <c:layout>
                <c:manualLayout>
                  <c:x val="-1.6885839527348963E-2"/>
                  <c:y val="5.393348087927978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802-4975-ADAF-E85A35632D68}"/>
                </c:ext>
              </c:extLst>
            </c:dLbl>
            <c:dLbl>
              <c:idx val="4"/>
              <c:layout>
                <c:manualLayout>
                  <c:x val="-5.0019133543127009E-2"/>
                  <c:y val="5.95325850226168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802-4975-ADAF-E85A35632D68}"/>
                </c:ext>
              </c:extLst>
            </c:dLbl>
            <c:dLbl>
              <c:idx val="5"/>
              <c:layout>
                <c:manualLayout>
                  <c:x val="-5.4526546102834916E-2"/>
                  <c:y val="4.8334376735942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802-4975-ADAF-E85A35632D68}"/>
                </c:ext>
              </c:extLst>
            </c:dLbl>
            <c:dLbl>
              <c:idx val="6"/>
              <c:layout>
                <c:manualLayout>
                  <c:x val="-5.0019133543127009E-2"/>
                  <c:y val="4.27352725926056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802-4975-ADAF-E85A35632D68}"/>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հունվար</c:v>
                </c:pt>
                <c:pt idx="1">
                  <c:v>փետրվար</c:v>
                </c:pt>
                <c:pt idx="2">
                  <c:v>մարտ</c:v>
                </c:pt>
              </c:strCache>
            </c:strRef>
          </c:cat>
          <c:val>
            <c:numRef>
              <c:f>Sheet1!$B$2:$D$2</c:f>
              <c:numCache>
                <c:formatCode>0.0</c:formatCode>
                <c:ptCount val="3"/>
                <c:pt idx="0">
                  <c:v>37.709448974290979</c:v>
                </c:pt>
                <c:pt idx="1">
                  <c:v>29.180712241821226</c:v>
                </c:pt>
                <c:pt idx="2">
                  <c:v>18.365371181571845</c:v>
                </c:pt>
              </c:numCache>
            </c:numRef>
          </c:val>
          <c:smooth val="0"/>
          <c:extLst xmlns:c16r2="http://schemas.microsoft.com/office/drawing/2015/06/chart">
            <c:ext xmlns:c16="http://schemas.microsoft.com/office/drawing/2014/chart" uri="{C3380CC4-5D6E-409C-BE32-E72D297353CC}">
              <c16:uniqueId val="{00000006-4802-4975-ADAF-E85A35632D68}"/>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dLbls>
            <c:dLbl>
              <c:idx val="0"/>
              <c:layout>
                <c:manualLayout>
                  <c:x val="-9.3415209891216433E-2"/>
                  <c:y val="-3.62509553940257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802-4975-ADAF-E85A35632D68}"/>
                </c:ext>
              </c:extLst>
            </c:dLbl>
            <c:dLbl>
              <c:idx val="1"/>
              <c:layout>
                <c:manualLayout>
                  <c:x val="-5.5298190642121638E-2"/>
                  <c:y val="-5.902351446035097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802-4975-ADAF-E85A35632D68}"/>
                </c:ext>
              </c:extLst>
            </c:dLbl>
            <c:dLbl>
              <c:idx val="2"/>
              <c:layout>
                <c:manualLayout>
                  <c:x val="-6.4170151972856027E-2"/>
                  <c:y val="-5.902351446035097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802-4975-ADAF-E85A35632D68}"/>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հունվար</c:v>
                </c:pt>
                <c:pt idx="1">
                  <c:v>փետրվար</c:v>
                </c:pt>
                <c:pt idx="2">
                  <c:v>մարտ</c:v>
                </c:pt>
              </c:strCache>
            </c:strRef>
          </c:cat>
          <c:val>
            <c:numRef>
              <c:f>Sheet1!$B$3:$D$3</c:f>
              <c:numCache>
                <c:formatCode>0.0</c:formatCode>
                <c:ptCount val="3"/>
                <c:pt idx="0">
                  <c:v>3.0137601746589979</c:v>
                </c:pt>
                <c:pt idx="1">
                  <c:v>0.34687877439499459</c:v>
                </c:pt>
                <c:pt idx="2">
                  <c:v>-0.48894063361730389</c:v>
                </c:pt>
              </c:numCache>
            </c:numRef>
          </c:val>
          <c:smooth val="0"/>
          <c:extLst xmlns:c16r2="http://schemas.microsoft.com/office/drawing/2015/06/chart">
            <c:ext xmlns:c16="http://schemas.microsoft.com/office/drawing/2014/chart" uri="{C3380CC4-5D6E-409C-BE32-E72D297353CC}">
              <c16:uniqueId val="{0000000A-4802-4975-ADAF-E85A35632D68}"/>
            </c:ext>
          </c:extLst>
        </c:ser>
        <c:ser>
          <c:idx val="2"/>
          <c:order val="2"/>
          <c:tx>
            <c:strRef>
              <c:f>Sheet1!$A$4</c:f>
              <c:strCache>
                <c:ptCount val="1"/>
                <c:pt idx="0">
                  <c:v>Փոխարժեքի փոփոխություն (կուտակային)</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հունվար</c:v>
                </c:pt>
                <c:pt idx="1">
                  <c:v>փետրվար</c:v>
                </c:pt>
                <c:pt idx="2">
                  <c:v>մարտ</c:v>
                </c:pt>
              </c:strCache>
            </c:strRef>
          </c:cat>
          <c:val>
            <c:numRef>
              <c:f>Sheet1!$B$4:$D$4</c:f>
              <c:numCache>
                <c:formatCode>0.0</c:formatCode>
                <c:ptCount val="3"/>
                <c:pt idx="0">
                  <c:v>8.1350235482064051</c:v>
                </c:pt>
                <c:pt idx="1">
                  <c:v>8.5748729513733792</c:v>
                </c:pt>
                <c:pt idx="2">
                  <c:v>7.7590992262830554</c:v>
                </c:pt>
              </c:numCache>
            </c:numRef>
          </c:val>
          <c:smooth val="0"/>
          <c:extLst xmlns:c16r2="http://schemas.microsoft.com/office/drawing/2015/06/chart">
            <c:ext xmlns:c16="http://schemas.microsoft.com/office/drawing/2014/chart" uri="{C3380CC4-5D6E-409C-BE32-E72D297353CC}">
              <c16:uniqueId val="{0000000B-4802-4975-ADAF-E85A35632D68}"/>
            </c:ext>
          </c:extLst>
        </c:ser>
        <c:dLbls>
          <c:showLegendKey val="0"/>
          <c:showVal val="0"/>
          <c:showCatName val="0"/>
          <c:showSerName val="0"/>
          <c:showPercent val="0"/>
          <c:showBubbleSize val="0"/>
        </c:dLbls>
        <c:marker val="1"/>
        <c:smooth val="0"/>
        <c:axId val="308098944"/>
        <c:axId val="308100480"/>
      </c:lineChart>
      <c:catAx>
        <c:axId val="3080989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08100480"/>
        <c:crosses val="autoZero"/>
        <c:auto val="1"/>
        <c:lblAlgn val="ctr"/>
        <c:lblOffset val="100"/>
        <c:noMultiLvlLbl val="0"/>
      </c:catAx>
      <c:valAx>
        <c:axId val="308100480"/>
        <c:scaling>
          <c:orientation val="minMax"/>
          <c:max val="45"/>
          <c:min val="-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08098944"/>
        <c:crosses val="autoZero"/>
        <c:crossBetween val="between"/>
        <c:majorUnit val="5"/>
      </c:valAx>
      <c:spPr>
        <a:solidFill>
          <a:sysClr val="window" lastClr="FFFFFF"/>
        </a:solidFill>
        <a:ln>
          <a:noFill/>
        </a:ln>
        <a:effectLst/>
      </c:spPr>
    </c:plotArea>
    <c:legend>
      <c:legendPos val="b"/>
      <c:layout>
        <c:manualLayout>
          <c:xMode val="edge"/>
          <c:yMode val="edge"/>
          <c:x val="4.3469909314508927E-2"/>
          <c:y val="0.83799655273662943"/>
          <c:w val="0.83833333333333337"/>
          <c:h val="0.1620028039608151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2378893389791"/>
          <c:y val="7.7192982456140549E-2"/>
          <c:w val="0.85358700104683449"/>
          <c:h val="0.61816358201585386"/>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0.14294776533215039"/>
                  <c:y val="2.058001428432868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DE2-412F-8950-300AFFD16309}"/>
                </c:ext>
              </c:extLst>
            </c:dLbl>
            <c:spPr>
              <a:noFill/>
              <a:ln>
                <a:noFill/>
              </a:ln>
              <a:effectLst/>
            </c:spPr>
            <c:txPr>
              <a:bodyPr wrap="square" lIns="38100" tIns="19050" rIns="38100" bIns="19050" anchor="ctr">
                <a:spAutoFit/>
              </a:bodyPr>
              <a:lstStyle/>
              <a:p>
                <a:pPr>
                  <a:defRPr sz="800"/>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հունվար</c:v>
                </c:pt>
                <c:pt idx="1">
                  <c:v>փետրվար</c:v>
                </c:pt>
                <c:pt idx="2">
                  <c:v>մարտ</c:v>
                </c:pt>
              </c:strCache>
            </c:strRef>
          </c:cat>
          <c:val>
            <c:numRef>
              <c:f>Sheet1!$B$2:$D$2</c:f>
              <c:numCache>
                <c:formatCode>0.0</c:formatCode>
                <c:ptCount val="3"/>
                <c:pt idx="0">
                  <c:v>53.4</c:v>
                </c:pt>
                <c:pt idx="1">
                  <c:v>30.3</c:v>
                </c:pt>
                <c:pt idx="2">
                  <c:v>4</c:v>
                </c:pt>
              </c:numCache>
            </c:numRef>
          </c:val>
          <c:smooth val="0"/>
          <c:extLst xmlns:c16r2="http://schemas.microsoft.com/office/drawing/2015/06/chart">
            <c:ext xmlns:c16="http://schemas.microsoft.com/office/drawing/2014/chart" uri="{C3380CC4-5D6E-409C-BE32-E72D297353CC}">
              <c16:uniqueId val="{00000001-6DE2-412F-8950-300AFFD16309}"/>
            </c:ext>
          </c:extLst>
        </c:ser>
        <c:ser>
          <c:idx val="1"/>
          <c:order val="1"/>
          <c:tx>
            <c:strRef>
              <c:f>Sheet1!$A$3</c:f>
              <c:strCache>
                <c:ptCount val="1"/>
                <c:pt idx="0">
                  <c:v>Կուտակային փոփոխություն, %</c:v>
                </c:pt>
              </c:strCache>
            </c:strRef>
          </c:tx>
          <c:spPr>
            <a:ln>
              <a:solidFill>
                <a:srgbClr val="C00000"/>
              </a:solidFill>
            </a:ln>
          </c:spPr>
          <c:marker>
            <c:spPr>
              <a:solidFill>
                <a:srgbClr val="C00000"/>
              </a:solidFill>
              <a:ln>
                <a:solidFill>
                  <a:srgbClr val="C00000"/>
                </a:solidFill>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DE2-412F-8950-300AFFD16309}"/>
                </c:ext>
              </c:extLst>
            </c:dLbl>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հունվար</c:v>
                </c:pt>
                <c:pt idx="1">
                  <c:v>փետրվար</c:v>
                </c:pt>
                <c:pt idx="2">
                  <c:v>մարտ</c:v>
                </c:pt>
              </c:strCache>
            </c:strRef>
          </c:cat>
          <c:val>
            <c:numRef>
              <c:f>Sheet1!$B$3:$D$3</c:f>
              <c:numCache>
                <c:formatCode>0.0</c:formatCode>
                <c:ptCount val="3"/>
                <c:pt idx="0">
                  <c:v>53.400000000000006</c:v>
                </c:pt>
                <c:pt idx="1">
                  <c:v>40.744318711730557</c:v>
                </c:pt>
                <c:pt idx="2">
                  <c:v>26.925816654057883</c:v>
                </c:pt>
              </c:numCache>
            </c:numRef>
          </c:val>
          <c:smooth val="0"/>
          <c:extLst xmlns:c16r2="http://schemas.microsoft.com/office/drawing/2015/06/chart">
            <c:ext xmlns:c16="http://schemas.microsoft.com/office/drawing/2014/chart" uri="{C3380CC4-5D6E-409C-BE32-E72D297353CC}">
              <c16:uniqueId val="{00000003-6DE2-412F-8950-300AFFD16309}"/>
            </c:ext>
          </c:extLst>
        </c:ser>
        <c:dLbls>
          <c:showLegendKey val="0"/>
          <c:showVal val="0"/>
          <c:showCatName val="0"/>
          <c:showSerName val="0"/>
          <c:showPercent val="0"/>
          <c:showBubbleSize val="0"/>
        </c:dLbls>
        <c:marker val="1"/>
        <c:smooth val="0"/>
        <c:axId val="309435776"/>
        <c:axId val="309458048"/>
      </c:lineChart>
      <c:catAx>
        <c:axId val="3094357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09458048"/>
        <c:crosses val="autoZero"/>
        <c:auto val="1"/>
        <c:lblAlgn val="ctr"/>
        <c:lblOffset val="100"/>
        <c:noMultiLvlLbl val="0"/>
      </c:catAx>
      <c:valAx>
        <c:axId val="309458048"/>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09435776"/>
        <c:crosses val="autoZero"/>
        <c:crossBetween val="between"/>
        <c:majorUnit val="10"/>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0572382037678292"/>
          <c:w val="0.97802150537634414"/>
          <c:h val="0.15218409149024345"/>
        </c:manualLayout>
      </c:layout>
      <c:overlay val="0"/>
      <c:spPr>
        <a:solidFill>
          <a:srgbClr val="1F497D">
            <a:lumMod val="20000"/>
            <a:lumOff val="80000"/>
          </a:srgbClr>
        </a:solid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0070C0"/>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06797735188761"/>
          <c:y val="3.7666528526039522E-2"/>
          <c:w val="0.81581042935670778"/>
          <c:h val="0.66671955838600605"/>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8.9602449286388719E-2"/>
                  <c:y val="-4.60958961762433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221-4DD4-B0B9-8258C35CCD4A}"/>
                </c:ext>
              </c:extLst>
            </c:dLbl>
            <c:dLbl>
              <c:idx val="1"/>
              <c:layout>
                <c:manualLayout>
                  <c:x val="-8.1151978427181498E-2"/>
                  <c:y val="7.71773027612822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221-4DD4-B0B9-8258C35CCD4A}"/>
                </c:ext>
              </c:extLst>
            </c:dLbl>
            <c:dLbl>
              <c:idx val="2"/>
              <c:layout>
                <c:manualLayout>
                  <c:x val="-6.1338338710759527E-2"/>
                  <c:y val="-5.163681550428345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221-4DD4-B0B9-8258C35CCD4A}"/>
                </c:ext>
              </c:extLst>
            </c:dLbl>
            <c:dLbl>
              <c:idx val="3"/>
              <c:layout>
                <c:manualLayout>
                  <c:x val="-6.9360246377871512E-2"/>
                  <c:y val="5.99480533683290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221-4DD4-B0B9-8258C35CCD4A}"/>
                </c:ext>
              </c:extLst>
            </c:dLbl>
            <c:dLbl>
              <c:idx val="4"/>
              <c:layout>
                <c:manualLayout>
                  <c:x val="-6.4375807513224928E-2"/>
                  <c:y val="6.689249781277345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221-4DD4-B0B9-8258C35CCD4A}"/>
                </c:ext>
              </c:extLst>
            </c:dLbl>
            <c:dLbl>
              <c:idx val="5"/>
              <c:layout>
                <c:manualLayout>
                  <c:x val="-6.9256884685079997E-2"/>
                  <c:y val="6.030785214348206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221-4DD4-B0B9-8258C35CCD4A}"/>
                </c:ext>
              </c:extLst>
            </c:dLbl>
            <c:dLbl>
              <c:idx val="6"/>
              <c:layout>
                <c:manualLayout>
                  <c:x val="-6.56967569456295E-2"/>
                  <c:y val="5.96669947506562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221-4DD4-B0B9-8258C35CCD4A}"/>
                </c:ext>
              </c:extLst>
            </c:dLbl>
            <c:dLbl>
              <c:idx val="7"/>
              <c:layout>
                <c:manualLayout>
                  <c:x val="-6.56967569456295E-2"/>
                  <c:y val="6.04144794400699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221-4DD4-B0B9-8258C35CCD4A}"/>
                </c:ext>
              </c:extLst>
            </c:dLbl>
            <c:dLbl>
              <c:idx val="8"/>
              <c:layout>
                <c:manualLayout>
                  <c:x val="-5.6255298645376532E-2"/>
                  <c:y val="-3.57205501057436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221-4DD4-B0B9-8258C35CCD4A}"/>
                </c:ext>
              </c:extLst>
            </c:dLbl>
            <c:spPr>
              <a:noFill/>
              <a:ln>
                <a:noFill/>
              </a:ln>
              <a:effectLst/>
            </c:spPr>
            <c:txPr>
              <a:bodyPr/>
              <a:lstStyle/>
              <a:p>
                <a:pPr>
                  <a:defRPr b="0"/>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հունվար</c:v>
                </c:pt>
                <c:pt idx="1">
                  <c:v>փետրվար</c:v>
                </c:pt>
                <c:pt idx="2">
                  <c:v>մարտ</c:v>
                </c:pt>
              </c:strCache>
            </c:strRef>
          </c:cat>
          <c:val>
            <c:numRef>
              <c:f>Sheet1!$B$2:$D$2</c:f>
              <c:numCache>
                <c:formatCode>0.0</c:formatCode>
                <c:ptCount val="3"/>
                <c:pt idx="0">
                  <c:v>39.847853096099129</c:v>
                </c:pt>
                <c:pt idx="1">
                  <c:v>37.985892509050274</c:v>
                </c:pt>
                <c:pt idx="2">
                  <c:v>25.609252305882805</c:v>
                </c:pt>
              </c:numCache>
            </c:numRef>
          </c:val>
          <c:smooth val="0"/>
          <c:extLst xmlns:c16r2="http://schemas.microsoft.com/office/drawing/2015/06/chart">
            <c:ext xmlns:c16="http://schemas.microsoft.com/office/drawing/2014/chart" uri="{C3380CC4-5D6E-409C-BE32-E72D297353CC}">
              <c16:uniqueId val="{00000009-7221-4DD4-B0B9-8258C35CCD4A}"/>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dLbls>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հունվար</c:v>
                </c:pt>
                <c:pt idx="1">
                  <c:v>փետրվար</c:v>
                </c:pt>
                <c:pt idx="2">
                  <c:v>մարտ</c:v>
                </c:pt>
              </c:strCache>
            </c:strRef>
          </c:cat>
          <c:val>
            <c:numRef>
              <c:f>Sheet1!$B$3:$D$3</c:f>
              <c:numCache>
                <c:formatCode>0.0</c:formatCode>
                <c:ptCount val="3"/>
                <c:pt idx="0">
                  <c:v>10.69634230785627</c:v>
                </c:pt>
                <c:pt idx="1">
                  <c:v>7.1384761608398435</c:v>
                </c:pt>
                <c:pt idx="2">
                  <c:v>7.6338267677303406</c:v>
                </c:pt>
              </c:numCache>
            </c:numRef>
          </c:val>
          <c:smooth val="0"/>
          <c:extLst xmlns:c16r2="http://schemas.microsoft.com/office/drawing/2015/06/chart">
            <c:ext xmlns:c16="http://schemas.microsoft.com/office/drawing/2014/chart" uri="{C3380CC4-5D6E-409C-BE32-E72D297353CC}">
              <c16:uniqueId val="{0000000A-7221-4DD4-B0B9-8258C35CCD4A}"/>
            </c:ext>
          </c:extLst>
        </c:ser>
        <c:ser>
          <c:idx val="2"/>
          <c:order val="2"/>
          <c:tx>
            <c:strRef>
              <c:f>Sheet1!$A$4</c:f>
              <c:strCache>
                <c:ptCount val="1"/>
                <c:pt idx="0">
                  <c:v>Փոխարժեքի փոփոխություն (կուտակային)</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հունվար</c:v>
                </c:pt>
                <c:pt idx="1">
                  <c:v>փետրվար</c:v>
                </c:pt>
                <c:pt idx="2">
                  <c:v>մարտ</c:v>
                </c:pt>
              </c:strCache>
            </c:strRef>
          </c:cat>
          <c:val>
            <c:numRef>
              <c:f>Sheet1!$B$4:$D$4</c:f>
              <c:numCache>
                <c:formatCode>0.0</c:formatCode>
                <c:ptCount val="3"/>
                <c:pt idx="0">
                  <c:v>8.1350235482064051</c:v>
                </c:pt>
                <c:pt idx="1">
                  <c:v>8.5748729513733792</c:v>
                </c:pt>
                <c:pt idx="2">
                  <c:v>7.7590992262830554</c:v>
                </c:pt>
              </c:numCache>
            </c:numRef>
          </c:val>
          <c:smooth val="0"/>
          <c:extLst xmlns:c16r2="http://schemas.microsoft.com/office/drawing/2015/06/chart">
            <c:ext xmlns:c16="http://schemas.microsoft.com/office/drawing/2014/chart" uri="{C3380CC4-5D6E-409C-BE32-E72D297353CC}">
              <c16:uniqueId val="{0000000B-7221-4DD4-B0B9-8258C35CCD4A}"/>
            </c:ext>
          </c:extLst>
        </c:ser>
        <c:dLbls>
          <c:showLegendKey val="0"/>
          <c:showVal val="0"/>
          <c:showCatName val="0"/>
          <c:showSerName val="0"/>
          <c:showPercent val="0"/>
          <c:showBubbleSize val="0"/>
        </c:dLbls>
        <c:marker val="1"/>
        <c:smooth val="0"/>
        <c:axId val="309855360"/>
        <c:axId val="309856896"/>
      </c:lineChart>
      <c:catAx>
        <c:axId val="3098553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09856896"/>
        <c:crosses val="autoZero"/>
        <c:auto val="1"/>
        <c:lblAlgn val="ctr"/>
        <c:lblOffset val="100"/>
        <c:noMultiLvlLbl val="0"/>
      </c:catAx>
      <c:valAx>
        <c:axId val="309856896"/>
        <c:scaling>
          <c:orientation val="minMax"/>
          <c:max val="45"/>
          <c:min val="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09855360"/>
        <c:crosses val="autoZero"/>
        <c:crossBetween val="between"/>
        <c:majorUnit val="10"/>
      </c:valAx>
      <c:spPr>
        <a:solidFill>
          <a:sysClr val="window" lastClr="FFFFFF"/>
        </a:solidFill>
        <a:ln>
          <a:noFill/>
        </a:ln>
        <a:effectLst/>
      </c:spPr>
    </c:plotArea>
    <c:legend>
      <c:legendPos val="b"/>
      <c:layout>
        <c:manualLayout>
          <c:xMode val="edge"/>
          <c:yMode val="edge"/>
          <c:x val="1.290348140444713E-2"/>
          <c:y val="0.85506697095336526"/>
          <c:w val="0.91998447807528139"/>
          <c:h val="0.1449330290466347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28633547672212"/>
          <c:y val="3.5226779206556015E-2"/>
          <c:w val="0.85358700104683449"/>
          <c:h val="0.62381606525802979"/>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հունվար</c:v>
                </c:pt>
                <c:pt idx="1">
                  <c:v>փետրվար</c:v>
                </c:pt>
                <c:pt idx="2">
                  <c:v>մարտ</c:v>
                </c:pt>
              </c:strCache>
            </c:strRef>
          </c:cat>
          <c:val>
            <c:numRef>
              <c:f>Sheet1!$B$2:$D$2</c:f>
              <c:numCache>
                <c:formatCode>0.0</c:formatCode>
                <c:ptCount val="3"/>
                <c:pt idx="0">
                  <c:v>67.400000000000006</c:v>
                </c:pt>
                <c:pt idx="1">
                  <c:v>55.1</c:v>
                </c:pt>
                <c:pt idx="2">
                  <c:v>22.5</c:v>
                </c:pt>
              </c:numCache>
            </c:numRef>
          </c:val>
          <c:smooth val="0"/>
          <c:extLst xmlns:c16r2="http://schemas.microsoft.com/office/drawing/2015/06/chart">
            <c:ext xmlns:c16="http://schemas.microsoft.com/office/drawing/2014/chart" uri="{C3380CC4-5D6E-409C-BE32-E72D297353CC}">
              <c16:uniqueId val="{00000000-0B9B-40F2-8FBA-DA8CE5B77002}"/>
            </c:ext>
          </c:extLst>
        </c:ser>
        <c:ser>
          <c:idx val="1"/>
          <c:order val="1"/>
          <c:tx>
            <c:strRef>
              <c:f>Sheet1!$A$3</c:f>
              <c:strCache>
                <c:ptCount val="1"/>
                <c:pt idx="0">
                  <c:v>Կուտակային փոփոխություն, %</c:v>
                </c:pt>
              </c:strCache>
            </c:strRef>
          </c:tx>
          <c:spPr>
            <a:ln>
              <a:solidFill>
                <a:srgbClr val="C00000"/>
              </a:solidFill>
            </a:ln>
          </c:spPr>
          <c:marker>
            <c:spPr>
              <a:solidFill>
                <a:srgbClr val="C00000"/>
              </a:solidFill>
              <a:ln>
                <a:solidFill>
                  <a:srgbClr val="C00000"/>
                </a:solidFill>
              </a:ln>
            </c:spPr>
          </c:marker>
          <c:dLbls>
            <c:dLbl>
              <c:idx val="1"/>
              <c:layout>
                <c:manualLayout>
                  <c:x val="-6.5506804865131343E-2"/>
                  <c:y val="-5.39568345323740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B9B-40F2-8FBA-DA8CE5B77002}"/>
                </c:ext>
              </c:extLst>
            </c:dLbl>
            <c:dLbl>
              <c:idx val="2"/>
              <c:layout>
                <c:manualLayout>
                  <c:x val="-7.4879005117576045E-2"/>
                  <c:y val="-0.10791366906474821"/>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B9B-40F2-8FBA-DA8CE5B77002}"/>
                </c:ext>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հունվար</c:v>
                </c:pt>
                <c:pt idx="1">
                  <c:v>փետրվար</c:v>
                </c:pt>
                <c:pt idx="2">
                  <c:v>մարտ</c:v>
                </c:pt>
              </c:strCache>
            </c:strRef>
          </c:cat>
          <c:val>
            <c:numRef>
              <c:f>Sheet1!$B$3:$D$3</c:f>
              <c:numCache>
                <c:formatCode>0.0</c:formatCode>
                <c:ptCount val="3"/>
                <c:pt idx="0">
                  <c:v>67.400000000000006</c:v>
                </c:pt>
                <c:pt idx="1">
                  <c:v>60.512730231304914</c:v>
                </c:pt>
                <c:pt idx="2">
                  <c:v>45.688195497117391</c:v>
                </c:pt>
              </c:numCache>
            </c:numRef>
          </c:val>
          <c:smooth val="0"/>
          <c:extLst xmlns:c16r2="http://schemas.microsoft.com/office/drawing/2015/06/chart">
            <c:ext xmlns:c16="http://schemas.microsoft.com/office/drawing/2014/chart" uri="{C3380CC4-5D6E-409C-BE32-E72D297353CC}">
              <c16:uniqueId val="{00000003-0B9B-40F2-8FBA-DA8CE5B77002}"/>
            </c:ext>
          </c:extLst>
        </c:ser>
        <c:dLbls>
          <c:dLblPos val="t"/>
          <c:showLegendKey val="0"/>
          <c:showVal val="1"/>
          <c:showCatName val="0"/>
          <c:showSerName val="0"/>
          <c:showPercent val="0"/>
          <c:showBubbleSize val="0"/>
        </c:dLbls>
        <c:marker val="1"/>
        <c:smooth val="0"/>
        <c:axId val="311732864"/>
        <c:axId val="311742848"/>
      </c:lineChart>
      <c:catAx>
        <c:axId val="3117328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11742848"/>
        <c:crosses val="autoZero"/>
        <c:auto val="1"/>
        <c:lblAlgn val="ctr"/>
        <c:lblOffset val="100"/>
        <c:noMultiLvlLbl val="0"/>
      </c:catAx>
      <c:valAx>
        <c:axId val="311742848"/>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11732864"/>
        <c:crosses val="autoZero"/>
        <c:crossBetween val="between"/>
        <c:majorUnit val="10"/>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7289438282580267"/>
          <c:w val="0.97802150537634414"/>
          <c:h val="0.10889509779019559"/>
        </c:manualLayout>
      </c:layout>
      <c:overlay val="0"/>
      <c:spPr>
        <a:noFill/>
        <a:ln>
          <a:noFill/>
        </a:ln>
        <a:effectLst/>
      </c:spPr>
      <c:txPr>
        <a:bodyPr rot="0" spcFirstLastPara="1" vertOverflow="ellipsis" vert="horz" wrap="square" anchor="ctr" anchorCtr="1"/>
        <a:lstStyle/>
        <a:p>
          <a:pPr>
            <a:defRPr>
              <a:solidFill>
                <a:sysClr val="windowText" lastClr="000000"/>
              </a:solidFill>
              <a:latin typeface="+mn-lt"/>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0070C0"/>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23429940506834"/>
          <c:y val="2.9632272528433975E-2"/>
          <c:w val="0.8273693116774532"/>
          <c:h val="0.76708949537302062"/>
        </c:manualLayout>
      </c:layout>
      <c:barChart>
        <c:barDir val="bar"/>
        <c:grouping val="clustered"/>
        <c:varyColors val="0"/>
        <c:ser>
          <c:idx val="0"/>
          <c:order val="0"/>
          <c:tx>
            <c:strRef>
              <c:f>Sheet1!$A$2</c:f>
              <c:strCache>
                <c:ptCount val="1"/>
                <c:pt idx="0">
                  <c:v>Ներմուծման ծածկման գործակից  (%)</c:v>
                </c:pt>
              </c:strCache>
            </c:strRef>
          </c:tx>
          <c:invertIfNegative val="0"/>
          <c:dLbls>
            <c:spPr>
              <a:noFill/>
              <a:ln w="25401">
                <a:noFill/>
              </a:ln>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Sheet1!$B$1:$AB$1</c:f>
              <c:strCache>
                <c:ptCount val="5"/>
                <c:pt idx="0">
                  <c:v>2018</c:v>
                </c:pt>
                <c:pt idx="1">
                  <c:v>2019</c:v>
                </c:pt>
                <c:pt idx="2">
                  <c:v>2020</c:v>
                </c:pt>
                <c:pt idx="3">
                  <c:v>2021</c:v>
                </c:pt>
                <c:pt idx="4">
                  <c:v>2022</c:v>
                </c:pt>
              </c:strCache>
            </c:strRef>
          </c:cat>
          <c:val>
            <c:numRef>
              <c:f>Sheet1!$B$2:$AB$2</c:f>
              <c:numCache>
                <c:formatCode>0.0</c:formatCode>
                <c:ptCount val="5"/>
                <c:pt idx="0">
                  <c:v>66.141064834144274</c:v>
                </c:pt>
                <c:pt idx="1">
                  <c:v>63.570408563112103</c:v>
                </c:pt>
                <c:pt idx="2">
                  <c:v>65.094783811268016</c:v>
                </c:pt>
                <c:pt idx="3">
                  <c:v>72.790297505199675</c:v>
                </c:pt>
                <c:pt idx="4">
                  <c:v>63.998605965932796</c:v>
                </c:pt>
              </c:numCache>
            </c:numRef>
          </c:val>
          <c:extLst xmlns:c16r2="http://schemas.microsoft.com/office/drawing/2015/06/chart">
            <c:ext xmlns:c16="http://schemas.microsoft.com/office/drawing/2014/chart" uri="{C3380CC4-5D6E-409C-BE32-E72D297353CC}">
              <c16:uniqueId val="{00000000-B0FE-49B1-B5CC-65A2D2A26058}"/>
            </c:ext>
          </c:extLst>
        </c:ser>
        <c:dLbls>
          <c:showLegendKey val="0"/>
          <c:showVal val="0"/>
          <c:showCatName val="0"/>
          <c:showSerName val="0"/>
          <c:showPercent val="0"/>
          <c:showBubbleSize val="0"/>
        </c:dLbls>
        <c:gapWidth val="150"/>
        <c:axId val="312836864"/>
        <c:axId val="312838400"/>
      </c:barChart>
      <c:catAx>
        <c:axId val="312836864"/>
        <c:scaling>
          <c:orientation val="minMax"/>
        </c:scaling>
        <c:delete val="0"/>
        <c:axPos val="l"/>
        <c:numFmt formatCode="General" sourceLinked="1"/>
        <c:majorTickMark val="out"/>
        <c:minorTickMark val="none"/>
        <c:tickLblPos val="nextTo"/>
        <c:crossAx val="312838400"/>
        <c:crosses val="autoZero"/>
        <c:auto val="1"/>
        <c:lblAlgn val="ctr"/>
        <c:lblOffset val="100"/>
        <c:tickLblSkip val="1"/>
        <c:noMultiLvlLbl val="0"/>
      </c:catAx>
      <c:valAx>
        <c:axId val="312838400"/>
        <c:scaling>
          <c:orientation val="minMax"/>
        </c:scaling>
        <c:delete val="0"/>
        <c:axPos val="b"/>
        <c:majorGridlines/>
        <c:numFmt formatCode="0.0" sourceLinked="1"/>
        <c:majorTickMark val="out"/>
        <c:minorTickMark val="none"/>
        <c:tickLblPos val="nextTo"/>
        <c:crossAx val="312836864"/>
        <c:crossesAt val="1"/>
        <c:crossBetween val="between"/>
      </c:valAx>
    </c:plotArea>
    <c:legend>
      <c:legendPos val="r"/>
      <c:layout>
        <c:manualLayout>
          <c:xMode val="edge"/>
          <c:yMode val="edge"/>
          <c:x val="0.23309608540925275"/>
          <c:y val="0.9248366013071897"/>
          <c:w val="0.53202846975088969"/>
          <c:h val="7.8431372549019607E-2"/>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80962686681708"/>
          <c:y val="6.2146892655367263E-2"/>
          <c:w val="0.80331873409440868"/>
          <c:h val="0.5938454990423494"/>
        </c:manualLayout>
      </c:layout>
      <c:lineChart>
        <c:grouping val="standard"/>
        <c:varyColors val="0"/>
        <c:ser>
          <c:idx val="0"/>
          <c:order val="0"/>
          <c:tx>
            <c:strRef>
              <c:f>Sheet1!$B$1</c:f>
              <c:strCache>
                <c:ptCount val="1"/>
                <c:pt idx="0">
                  <c:v>USD</c:v>
                </c:pt>
              </c:strCache>
            </c:strRef>
          </c:tx>
          <c:spPr>
            <a:ln w="28575" cap="rnd">
              <a:solidFill>
                <a:srgbClr val="0070C0"/>
              </a:solidFill>
              <a:round/>
            </a:ln>
            <a:effectLst/>
          </c:spPr>
          <c:marker>
            <c:symbol val="none"/>
          </c:marker>
          <c:cat>
            <c:numRef>
              <c:f>Sheet1!$A$2:$A$312</c:f>
              <c:numCache>
                <c:formatCode>m/d/yyyy</c:formatCode>
                <c:ptCount val="311"/>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pt idx="250">
                  <c:v>44564</c:v>
                </c:pt>
                <c:pt idx="251">
                  <c:v>44565</c:v>
                </c:pt>
                <c:pt idx="252">
                  <c:v>44566</c:v>
                </c:pt>
                <c:pt idx="253">
                  <c:v>44568</c:v>
                </c:pt>
                <c:pt idx="254">
                  <c:v>44571</c:v>
                </c:pt>
                <c:pt idx="255">
                  <c:v>44572</c:v>
                </c:pt>
                <c:pt idx="256">
                  <c:v>44573</c:v>
                </c:pt>
                <c:pt idx="257">
                  <c:v>44574</c:v>
                </c:pt>
                <c:pt idx="258">
                  <c:v>44575</c:v>
                </c:pt>
                <c:pt idx="259">
                  <c:v>44578</c:v>
                </c:pt>
                <c:pt idx="260">
                  <c:v>44579</c:v>
                </c:pt>
                <c:pt idx="261">
                  <c:v>44580</c:v>
                </c:pt>
                <c:pt idx="262">
                  <c:v>44581</c:v>
                </c:pt>
                <c:pt idx="263">
                  <c:v>44582</c:v>
                </c:pt>
                <c:pt idx="264">
                  <c:v>44585</c:v>
                </c:pt>
                <c:pt idx="265">
                  <c:v>44586</c:v>
                </c:pt>
                <c:pt idx="266">
                  <c:v>44587</c:v>
                </c:pt>
                <c:pt idx="267">
                  <c:v>44588</c:v>
                </c:pt>
                <c:pt idx="268">
                  <c:v>44592</c:v>
                </c:pt>
                <c:pt idx="269">
                  <c:v>44593</c:v>
                </c:pt>
                <c:pt idx="270">
                  <c:v>44594</c:v>
                </c:pt>
                <c:pt idx="271">
                  <c:v>44595</c:v>
                </c:pt>
                <c:pt idx="272">
                  <c:v>44596</c:v>
                </c:pt>
                <c:pt idx="273">
                  <c:v>44599</c:v>
                </c:pt>
                <c:pt idx="274">
                  <c:v>44600</c:v>
                </c:pt>
                <c:pt idx="275">
                  <c:v>44601</c:v>
                </c:pt>
                <c:pt idx="276">
                  <c:v>44602</c:v>
                </c:pt>
                <c:pt idx="277">
                  <c:v>44603</c:v>
                </c:pt>
                <c:pt idx="278">
                  <c:v>44606</c:v>
                </c:pt>
                <c:pt idx="279">
                  <c:v>44607</c:v>
                </c:pt>
                <c:pt idx="280">
                  <c:v>44608</c:v>
                </c:pt>
                <c:pt idx="281">
                  <c:v>44609</c:v>
                </c:pt>
                <c:pt idx="282">
                  <c:v>44610</c:v>
                </c:pt>
                <c:pt idx="283">
                  <c:v>44613</c:v>
                </c:pt>
                <c:pt idx="284">
                  <c:v>44614</c:v>
                </c:pt>
                <c:pt idx="285">
                  <c:v>44615</c:v>
                </c:pt>
                <c:pt idx="286">
                  <c:v>44616</c:v>
                </c:pt>
                <c:pt idx="287">
                  <c:v>44617</c:v>
                </c:pt>
                <c:pt idx="288">
                  <c:v>44620</c:v>
                </c:pt>
                <c:pt idx="289">
                  <c:v>44621</c:v>
                </c:pt>
                <c:pt idx="290">
                  <c:v>44622</c:v>
                </c:pt>
                <c:pt idx="291">
                  <c:v>44623</c:v>
                </c:pt>
                <c:pt idx="292">
                  <c:v>44624</c:v>
                </c:pt>
                <c:pt idx="293">
                  <c:v>44627</c:v>
                </c:pt>
                <c:pt idx="294">
                  <c:v>44629</c:v>
                </c:pt>
                <c:pt idx="295">
                  <c:v>44630</c:v>
                </c:pt>
                <c:pt idx="296">
                  <c:v>44631</c:v>
                </c:pt>
                <c:pt idx="297">
                  <c:v>44634</c:v>
                </c:pt>
                <c:pt idx="298">
                  <c:v>44635</c:v>
                </c:pt>
                <c:pt idx="299">
                  <c:v>44636</c:v>
                </c:pt>
                <c:pt idx="300">
                  <c:v>44637</c:v>
                </c:pt>
                <c:pt idx="301">
                  <c:v>44638</c:v>
                </c:pt>
                <c:pt idx="302">
                  <c:v>44641</c:v>
                </c:pt>
                <c:pt idx="303">
                  <c:v>44642</c:v>
                </c:pt>
                <c:pt idx="304">
                  <c:v>44643</c:v>
                </c:pt>
                <c:pt idx="305">
                  <c:v>44644</c:v>
                </c:pt>
                <c:pt idx="306">
                  <c:v>44645</c:v>
                </c:pt>
                <c:pt idx="307">
                  <c:v>44648</c:v>
                </c:pt>
                <c:pt idx="308">
                  <c:v>44649</c:v>
                </c:pt>
                <c:pt idx="309">
                  <c:v>44650</c:v>
                </c:pt>
                <c:pt idx="310">
                  <c:v>44651</c:v>
                </c:pt>
              </c:numCache>
            </c:numRef>
          </c:cat>
          <c:val>
            <c:numRef>
              <c:f>Sheet1!$B$2:$B$312</c:f>
              <c:numCache>
                <c:formatCode>_(* #,##0_);_(* \(#,##0\);_(* "-"??_);_(@_)</c:formatCode>
                <c:ptCount val="311"/>
                <c:pt idx="0">
                  <c:v>100</c:v>
                </c:pt>
                <c:pt idx="1">
                  <c:v>99.814800672063527</c:v>
                </c:pt>
                <c:pt idx="2">
                  <c:v>99.495660779537133</c:v>
                </c:pt>
                <c:pt idx="3">
                  <c:v>99.221848962781607</c:v>
                </c:pt>
                <c:pt idx="4">
                  <c:v>99.493767247121497</c:v>
                </c:pt>
                <c:pt idx="5">
                  <c:v>100.04975790863681</c:v>
                </c:pt>
                <c:pt idx="6">
                  <c:v>100.1149007066393</c:v>
                </c:pt>
                <c:pt idx="7">
                  <c:v>100.67011996687911</c:v>
                </c:pt>
                <c:pt idx="8">
                  <c:v>100.69338777711432</c:v>
                </c:pt>
                <c:pt idx="9">
                  <c:v>100.75160438628609</c:v>
                </c:pt>
                <c:pt idx="10">
                  <c:v>100.83905562842369</c:v>
                </c:pt>
                <c:pt idx="11">
                  <c:v>100.85461841191447</c:v>
                </c:pt>
                <c:pt idx="12">
                  <c:v>100.87407864778295</c:v>
                </c:pt>
                <c:pt idx="13">
                  <c:v>100.89354639493592</c:v>
                </c:pt>
                <c:pt idx="14">
                  <c:v>100.87213228626005</c:v>
                </c:pt>
                <c:pt idx="15">
                  <c:v>100.75354609929077</c:v>
                </c:pt>
                <c:pt idx="16">
                  <c:v>100.69144838212634</c:v>
                </c:pt>
                <c:pt idx="17">
                  <c:v>100.50754590022109</c:v>
                </c:pt>
                <c:pt idx="18">
                  <c:v>100.42066845946982</c:v>
                </c:pt>
                <c:pt idx="19">
                  <c:v>100.31853856043595</c:v>
                </c:pt>
                <c:pt idx="20">
                  <c:v>100.18972786508239</c:v>
                </c:pt>
                <c:pt idx="21">
                  <c:v>100.03635667814768</c:v>
                </c:pt>
                <c:pt idx="22">
                  <c:v>99.935006594919003</c:v>
                </c:pt>
                <c:pt idx="23">
                  <c:v>99.755757818611968</c:v>
                </c:pt>
                <c:pt idx="24">
                  <c:v>99.715800717173991</c:v>
                </c:pt>
                <c:pt idx="25">
                  <c:v>99.654975219214592</c:v>
                </c:pt>
                <c:pt idx="26">
                  <c:v>99.594223881734322</c:v>
                </c:pt>
                <c:pt idx="27">
                  <c:v>99.7062918391089</c:v>
                </c:pt>
                <c:pt idx="28">
                  <c:v>99.704390281115252</c:v>
                </c:pt>
                <c:pt idx="29">
                  <c:v>99.677776082977374</c:v>
                </c:pt>
                <c:pt idx="30">
                  <c:v>99.560083793563081</c:v>
                </c:pt>
                <c:pt idx="31">
                  <c:v>99.435103469263495</c:v>
                </c:pt>
                <c:pt idx="32">
                  <c:v>99.304777281793093</c:v>
                </c:pt>
                <c:pt idx="33">
                  <c:v>99.206785965045398</c:v>
                </c:pt>
                <c:pt idx="34">
                  <c:v>99.020759148420282</c:v>
                </c:pt>
                <c:pt idx="35">
                  <c:v>98.94392187292992</c:v>
                </c:pt>
                <c:pt idx="36">
                  <c:v>99.133419296116472</c:v>
                </c:pt>
                <c:pt idx="37">
                  <c:v>99.391623414893786</c:v>
                </c:pt>
                <c:pt idx="38">
                  <c:v>99.582841251095232</c:v>
                </c:pt>
                <c:pt idx="39">
                  <c:v>99.491873786777248</c:v>
                </c:pt>
                <c:pt idx="40">
                  <c:v>99.524072417140985</c:v>
                </c:pt>
                <c:pt idx="41">
                  <c:v>99.402962371418226</c:v>
                </c:pt>
                <c:pt idx="42">
                  <c:v>99.317983206048837</c:v>
                </c:pt>
                <c:pt idx="43">
                  <c:v>99.22373215912539</c:v>
                </c:pt>
                <c:pt idx="44">
                  <c:v>99.191727540081573</c:v>
                </c:pt>
                <c:pt idx="45">
                  <c:v>99.071424510602782</c:v>
                </c:pt>
                <c:pt idx="46">
                  <c:v>99.071424510602782</c:v>
                </c:pt>
                <c:pt idx="47">
                  <c:v>99.122141746615583</c:v>
                </c:pt>
                <c:pt idx="48">
                  <c:v>99.037641843635726</c:v>
                </c:pt>
                <c:pt idx="49">
                  <c:v>99.058284068515974</c:v>
                </c:pt>
                <c:pt idx="50">
                  <c:v>98.990759675831228</c:v>
                </c:pt>
                <c:pt idx="51">
                  <c:v>98.953285887340968</c:v>
                </c:pt>
                <c:pt idx="52">
                  <c:v>98.885904516910017</c:v>
                </c:pt>
                <c:pt idx="53">
                  <c:v>98.734631437798612</c:v>
                </c:pt>
                <c:pt idx="54">
                  <c:v>98.624735888922402</c:v>
                </c:pt>
                <c:pt idx="55">
                  <c:v>98.509515733936283</c:v>
                </c:pt>
                <c:pt idx="56">
                  <c:v>98.422350659864051</c:v>
                </c:pt>
                <c:pt idx="57">
                  <c:v>98.242943586274265</c:v>
                </c:pt>
                <c:pt idx="58">
                  <c:v>98.053153778344594</c:v>
                </c:pt>
                <c:pt idx="59">
                  <c:v>97.930091413157456</c:v>
                </c:pt>
                <c:pt idx="60">
                  <c:v>97.697669638018311</c:v>
                </c:pt>
                <c:pt idx="61">
                  <c:v>97.430019754742958</c:v>
                </c:pt>
                <c:pt idx="62">
                  <c:v>97.288596099449123</c:v>
                </c:pt>
                <c:pt idx="63">
                  <c:v>98.124929614474979</c:v>
                </c:pt>
                <c:pt idx="64">
                  <c:v>98.994508615792427</c:v>
                </c:pt>
                <c:pt idx="65">
                  <c:v>100.64686290741773</c:v>
                </c:pt>
                <c:pt idx="66">
                  <c:v>100.66430469441981</c:v>
                </c:pt>
                <c:pt idx="67">
                  <c:v>100.30506523407517</c:v>
                </c:pt>
                <c:pt idx="68">
                  <c:v>100.11298353121406</c:v>
                </c:pt>
                <c:pt idx="69">
                  <c:v>100.11106642921426</c:v>
                </c:pt>
                <c:pt idx="70">
                  <c:v>100.17245013316979</c:v>
                </c:pt>
                <c:pt idx="71">
                  <c:v>100.10723244547417</c:v>
                </c:pt>
                <c:pt idx="72">
                  <c:v>100.10531556372544</c:v>
                </c:pt>
                <c:pt idx="73">
                  <c:v>100.17245013316978</c:v>
                </c:pt>
                <c:pt idx="74">
                  <c:v>100.44768089766738</c:v>
                </c:pt>
                <c:pt idx="75">
                  <c:v>100.48050125891325</c:v>
                </c:pt>
                <c:pt idx="76">
                  <c:v>100.57328639310514</c:v>
                </c:pt>
                <c:pt idx="77">
                  <c:v>100.41488196992101</c:v>
                </c:pt>
                <c:pt idx="78">
                  <c:v>100.40331099118471</c:v>
                </c:pt>
                <c:pt idx="79">
                  <c:v>100.414881969921</c:v>
                </c:pt>
                <c:pt idx="80">
                  <c:v>100.36668714483177</c:v>
                </c:pt>
                <c:pt idx="81">
                  <c:v>100.33586672808225</c:v>
                </c:pt>
                <c:pt idx="82">
                  <c:v>100.25697574072292</c:v>
                </c:pt>
                <c:pt idx="83">
                  <c:v>100.1340765002202</c:v>
                </c:pt>
                <c:pt idx="84">
                  <c:v>100.08040277963889</c:v>
                </c:pt>
                <c:pt idx="85">
                  <c:v>100.13215859030829</c:v>
                </c:pt>
                <c:pt idx="86">
                  <c:v>100.09956535891391</c:v>
                </c:pt>
                <c:pt idx="87">
                  <c:v>99.9407379086216</c:v>
                </c:pt>
                <c:pt idx="88">
                  <c:v>100.05933241463781</c:v>
                </c:pt>
                <c:pt idx="89">
                  <c:v>100.1686114464179</c:v>
                </c:pt>
                <c:pt idx="90">
                  <c:v>100.23775285207547</c:v>
                </c:pt>
                <c:pt idx="91">
                  <c:v>100.39752650176669</c:v>
                </c:pt>
                <c:pt idx="92">
                  <c:v>100.39367054576171</c:v>
                </c:pt>
                <c:pt idx="93">
                  <c:v>100.43224343950504</c:v>
                </c:pt>
                <c:pt idx="94">
                  <c:v>100.42452648968448</c:v>
                </c:pt>
                <c:pt idx="95">
                  <c:v>100.42645561595933</c:v>
                </c:pt>
                <c:pt idx="96">
                  <c:v>100.40523930245055</c:v>
                </c:pt>
                <c:pt idx="97">
                  <c:v>100.38595952225498</c:v>
                </c:pt>
                <c:pt idx="98">
                  <c:v>100.4187395555213</c:v>
                </c:pt>
                <c:pt idx="99">
                  <c:v>100.4071676877868</c:v>
                </c:pt>
                <c:pt idx="100">
                  <c:v>100.4071676877868</c:v>
                </c:pt>
                <c:pt idx="101">
                  <c:v>100.49402176002449</c:v>
                </c:pt>
                <c:pt idx="102">
                  <c:v>100.5288054765017</c:v>
                </c:pt>
                <c:pt idx="103">
                  <c:v>100.53073861123387</c:v>
                </c:pt>
                <c:pt idx="104">
                  <c:v>100.56941692476374</c:v>
                </c:pt>
                <c:pt idx="105">
                  <c:v>100.61974324922521</c:v>
                </c:pt>
                <c:pt idx="106">
                  <c:v>100.67593591126166</c:v>
                </c:pt>
                <c:pt idx="107">
                  <c:v>100.80600065559852</c:v>
                </c:pt>
                <c:pt idx="108">
                  <c:v>101.12187856631648</c:v>
                </c:pt>
                <c:pt idx="109">
                  <c:v>101.37876202295992</c:v>
                </c:pt>
                <c:pt idx="110">
                  <c:v>101.53825237438569</c:v>
                </c:pt>
                <c:pt idx="111">
                  <c:v>101.68835463227707</c:v>
                </c:pt>
                <c:pt idx="112">
                  <c:v>101.76357230451787</c:v>
                </c:pt>
                <c:pt idx="113">
                  <c:v>101.85080558748459</c:v>
                </c:pt>
                <c:pt idx="114">
                  <c:v>101.89447833628931</c:v>
                </c:pt>
                <c:pt idx="115">
                  <c:v>102.10542762836656</c:v>
                </c:pt>
                <c:pt idx="116">
                  <c:v>102.93167946446144</c:v>
                </c:pt>
                <c:pt idx="117">
                  <c:v>104.68781288798102</c:v>
                </c:pt>
                <c:pt idx="118">
                  <c:v>105.22512730712711</c:v>
                </c:pt>
                <c:pt idx="119">
                  <c:v>105.53525647495805</c:v>
                </c:pt>
                <c:pt idx="120">
                  <c:v>105.43096841850516</c:v>
                </c:pt>
                <c:pt idx="121">
                  <c:v>105.43522103904479</c:v>
                </c:pt>
                <c:pt idx="122">
                  <c:v>105.50969747119008</c:v>
                </c:pt>
                <c:pt idx="123">
                  <c:v>105.4884077564115</c:v>
                </c:pt>
                <c:pt idx="124">
                  <c:v>105.56935441529852</c:v>
                </c:pt>
                <c:pt idx="125">
                  <c:v>105.5331260850256</c:v>
                </c:pt>
                <c:pt idx="126">
                  <c:v>105.45010791294347</c:v>
                </c:pt>
                <c:pt idx="127">
                  <c:v>105.42671614100182</c:v>
                </c:pt>
                <c:pt idx="128">
                  <c:v>105.36722025153172</c:v>
                </c:pt>
                <c:pt idx="129">
                  <c:v>105.4841508444139</c:v>
                </c:pt>
                <c:pt idx="130">
                  <c:v>105.52034555142899</c:v>
                </c:pt>
                <c:pt idx="131">
                  <c:v>105.66110190387644</c:v>
                </c:pt>
                <c:pt idx="132">
                  <c:v>106.06195857255885</c:v>
                </c:pt>
                <c:pt idx="133">
                  <c:v>106.44202382164306</c:v>
                </c:pt>
                <c:pt idx="134">
                  <c:v>107.22357815288058</c:v>
                </c:pt>
                <c:pt idx="135">
                  <c:v>107.9208125180628</c:v>
                </c:pt>
                <c:pt idx="136">
                  <c:v>108.14405692772326</c:v>
                </c:pt>
                <c:pt idx="137">
                  <c:v>108.34576805106521</c:v>
                </c:pt>
                <c:pt idx="138">
                  <c:v>108.39968483038895</c:v>
                </c:pt>
                <c:pt idx="139">
                  <c:v>108.39069497429088</c:v>
                </c:pt>
                <c:pt idx="140">
                  <c:v>107.9341811875464</c:v>
                </c:pt>
                <c:pt idx="141">
                  <c:v>107.51686410003285</c:v>
                </c:pt>
                <c:pt idx="142">
                  <c:v>107.08740449415181</c:v>
                </c:pt>
                <c:pt idx="143">
                  <c:v>106.48972358584722</c:v>
                </c:pt>
                <c:pt idx="144">
                  <c:v>106.19337802153153</c:v>
                </c:pt>
                <c:pt idx="145">
                  <c:v>105.96736596736591</c:v>
                </c:pt>
                <c:pt idx="146">
                  <c:v>106.12439608623275</c:v>
                </c:pt>
                <c:pt idx="147">
                  <c:v>106.41169166887171</c:v>
                </c:pt>
                <c:pt idx="148">
                  <c:v>106.55266590575573</c:v>
                </c:pt>
                <c:pt idx="149">
                  <c:v>106.45936424542325</c:v>
                </c:pt>
                <c:pt idx="150">
                  <c:v>106.31215048296897</c:v>
                </c:pt>
                <c:pt idx="151">
                  <c:v>106.20200706943484</c:v>
                </c:pt>
                <c:pt idx="152">
                  <c:v>106.14594331194671</c:v>
                </c:pt>
                <c:pt idx="153">
                  <c:v>106.22790262933309</c:v>
                </c:pt>
                <c:pt idx="154">
                  <c:v>106.45719638348127</c:v>
                </c:pt>
                <c:pt idx="155">
                  <c:v>106.54180847378178</c:v>
                </c:pt>
                <c:pt idx="156">
                  <c:v>106.66789088163878</c:v>
                </c:pt>
                <c:pt idx="157">
                  <c:v>106.57004240052183</c:v>
                </c:pt>
                <c:pt idx="158">
                  <c:v>106.47887897674036</c:v>
                </c:pt>
                <c:pt idx="159">
                  <c:v>106.1976923701958</c:v>
                </c:pt>
                <c:pt idx="160">
                  <c:v>106.02969212671883</c:v>
                </c:pt>
                <c:pt idx="161">
                  <c:v>105.8900974256142</c:v>
                </c:pt>
                <c:pt idx="162">
                  <c:v>105.93730369409712</c:v>
                </c:pt>
                <c:pt idx="163">
                  <c:v>106.0167910447761</c:v>
                </c:pt>
                <c:pt idx="164">
                  <c:v>105.91369529983791</c:v>
                </c:pt>
                <c:pt idx="165">
                  <c:v>105.92657130121164</c:v>
                </c:pt>
                <c:pt idx="166">
                  <c:v>105.90296768965867</c:v>
                </c:pt>
                <c:pt idx="167">
                  <c:v>105.93945043365486</c:v>
                </c:pt>
                <c:pt idx="168">
                  <c:v>105.90296768965867</c:v>
                </c:pt>
                <c:pt idx="169">
                  <c:v>105.900822428392</c:v>
                </c:pt>
                <c:pt idx="170">
                  <c:v>106.0060425411116</c:v>
                </c:pt>
                <c:pt idx="171">
                  <c:v>106.07487065029929</c:v>
                </c:pt>
                <c:pt idx="172">
                  <c:v>106.28405302106206</c:v>
                </c:pt>
                <c:pt idx="173">
                  <c:v>106.65048246598259</c:v>
                </c:pt>
                <c:pt idx="174">
                  <c:v>107.34907597535937</c:v>
                </c:pt>
                <c:pt idx="175">
                  <c:v>107.48812632358083</c:v>
                </c:pt>
                <c:pt idx="176">
                  <c:v>107.8073123956035</c:v>
                </c:pt>
                <c:pt idx="177">
                  <c:v>107.96315800342813</c:v>
                </c:pt>
                <c:pt idx="178">
                  <c:v>108.07028423772611</c:v>
                </c:pt>
                <c:pt idx="179">
                  <c:v>108.40867617783677</c:v>
                </c:pt>
                <c:pt idx="180">
                  <c:v>108.72883823468243</c:v>
                </c:pt>
                <c:pt idx="181">
                  <c:v>108.62265993475867</c:v>
                </c:pt>
                <c:pt idx="182">
                  <c:v>108.32556308406375</c:v>
                </c:pt>
                <c:pt idx="183">
                  <c:v>108.12839976007777</c:v>
                </c:pt>
                <c:pt idx="184">
                  <c:v>107.96984717059067</c:v>
                </c:pt>
                <c:pt idx="185">
                  <c:v>107.72067913953681</c:v>
                </c:pt>
                <c:pt idx="186">
                  <c:v>107.73843871074109</c:v>
                </c:pt>
                <c:pt idx="187">
                  <c:v>107.86514535663443</c:v>
                </c:pt>
                <c:pt idx="188">
                  <c:v>108.23585433013811</c:v>
                </c:pt>
                <c:pt idx="189">
                  <c:v>108.71753280512407</c:v>
                </c:pt>
                <c:pt idx="190">
                  <c:v>109.07364907156273</c:v>
                </c:pt>
                <c:pt idx="191">
                  <c:v>109.20808004846361</c:v>
                </c:pt>
                <c:pt idx="192">
                  <c:v>109.19211328794022</c:v>
                </c:pt>
                <c:pt idx="193">
                  <c:v>109.10096414708462</c:v>
                </c:pt>
                <c:pt idx="194">
                  <c:v>109.19667474308633</c:v>
                </c:pt>
                <c:pt idx="195">
                  <c:v>109.27427783119438</c:v>
                </c:pt>
                <c:pt idx="196">
                  <c:v>109.30854956405383</c:v>
                </c:pt>
                <c:pt idx="197">
                  <c:v>109.52151506263884</c:v>
                </c:pt>
                <c:pt idx="198">
                  <c:v>109.70307417899491</c:v>
                </c:pt>
                <c:pt idx="199">
                  <c:v>109.72149348332535</c:v>
                </c:pt>
                <c:pt idx="200">
                  <c:v>109.71919073203499</c:v>
                </c:pt>
                <c:pt idx="201">
                  <c:v>109.6110703428033</c:v>
                </c:pt>
                <c:pt idx="202">
                  <c:v>109.61336855788994</c:v>
                </c:pt>
                <c:pt idx="203">
                  <c:v>109.52839873457508</c:v>
                </c:pt>
                <c:pt idx="204">
                  <c:v>109.41836371627709</c:v>
                </c:pt>
                <c:pt idx="205">
                  <c:v>109.41607367099211</c:v>
                </c:pt>
                <c:pt idx="206">
                  <c:v>109.49628233322866</c:v>
                </c:pt>
                <c:pt idx="207">
                  <c:v>109.5513505584544</c:v>
                </c:pt>
                <c:pt idx="208">
                  <c:v>109.6340568312887</c:v>
                </c:pt>
                <c:pt idx="209">
                  <c:v>109.77909369619087</c:v>
                </c:pt>
                <c:pt idx="210">
                  <c:v>109.85060200458072</c:v>
                </c:pt>
                <c:pt idx="211">
                  <c:v>109.84829383089598</c:v>
                </c:pt>
                <c:pt idx="212">
                  <c:v>109.88523625357327</c:v>
                </c:pt>
                <c:pt idx="213">
                  <c:v>109.90371678439291</c:v>
                </c:pt>
                <c:pt idx="214">
                  <c:v>109.92913766637933</c:v>
                </c:pt>
                <c:pt idx="215">
                  <c:v>110.01704581325369</c:v>
                </c:pt>
                <c:pt idx="216">
                  <c:v>109.91064858614531</c:v>
                </c:pt>
                <c:pt idx="217">
                  <c:v>109.98695615585294</c:v>
                </c:pt>
                <c:pt idx="218">
                  <c:v>109.83213933065824</c:v>
                </c:pt>
                <c:pt idx="219">
                  <c:v>109.77448345372085</c:v>
                </c:pt>
                <c:pt idx="220">
                  <c:v>109.76526413034354</c:v>
                </c:pt>
                <c:pt idx="221">
                  <c:v>109.70998069336024</c:v>
                </c:pt>
                <c:pt idx="222">
                  <c:v>109.56512627056486</c:v>
                </c:pt>
                <c:pt idx="223">
                  <c:v>109.34512978184941</c:v>
                </c:pt>
                <c:pt idx="224">
                  <c:v>108.86468701844993</c:v>
                </c:pt>
                <c:pt idx="225">
                  <c:v>108.22241083072852</c:v>
                </c:pt>
                <c:pt idx="226">
                  <c:v>107.60095500761541</c:v>
                </c:pt>
                <c:pt idx="227">
                  <c:v>107.5080200707412</c:v>
                </c:pt>
                <c:pt idx="228">
                  <c:v>107.13348907742126</c:v>
                </c:pt>
                <c:pt idx="229">
                  <c:v>107.01944728761521</c:v>
                </c:pt>
                <c:pt idx="230">
                  <c:v>106.69401416355441</c:v>
                </c:pt>
                <c:pt idx="231">
                  <c:v>106.46803657617667</c:v>
                </c:pt>
                <c:pt idx="232">
                  <c:v>106.16965536849379</c:v>
                </c:pt>
                <c:pt idx="233">
                  <c:v>105.86865393572432</c:v>
                </c:pt>
                <c:pt idx="234">
                  <c:v>105.56295937323324</c:v>
                </c:pt>
                <c:pt idx="235">
                  <c:v>105.54590971493182</c:v>
                </c:pt>
                <c:pt idx="236">
                  <c:v>105.68459781268326</c:v>
                </c:pt>
                <c:pt idx="237">
                  <c:v>107.03040229296762</c:v>
                </c:pt>
                <c:pt idx="238">
                  <c:v>108.45815526326714</c:v>
                </c:pt>
                <c:pt idx="239">
                  <c:v>108.91004541477446</c:v>
                </c:pt>
                <c:pt idx="240">
                  <c:v>108.64523369147329</c:v>
                </c:pt>
                <c:pt idx="241">
                  <c:v>108.77634672603573</c:v>
                </c:pt>
                <c:pt idx="242">
                  <c:v>108.66329945334753</c:v>
                </c:pt>
                <c:pt idx="243">
                  <c:v>109.11007221271451</c:v>
                </c:pt>
                <c:pt idx="244">
                  <c:v>109.31997825268711</c:v>
                </c:pt>
                <c:pt idx="245">
                  <c:v>109.37715756219016</c:v>
                </c:pt>
                <c:pt idx="246">
                  <c:v>109.26057515465648</c:v>
                </c:pt>
                <c:pt idx="247">
                  <c:v>109.34284280097054</c:v>
                </c:pt>
                <c:pt idx="248">
                  <c:v>109.22405147919112</c:v>
                </c:pt>
                <c:pt idx="249">
                  <c:v>108.88282584246269</c:v>
                </c:pt>
                <c:pt idx="250">
                  <c:v>108.55499491268515</c:v>
                </c:pt>
                <c:pt idx="251">
                  <c:v>108.41991745992252</c:v>
                </c:pt>
                <c:pt idx="252">
                  <c:v>108.33903222464001</c:v>
                </c:pt>
                <c:pt idx="253">
                  <c:v>108.28517574929064</c:v>
                </c:pt>
                <c:pt idx="254">
                  <c:v>108.24705979791294</c:v>
                </c:pt>
                <c:pt idx="255">
                  <c:v>108.39069497429098</c:v>
                </c:pt>
                <c:pt idx="256">
                  <c:v>108.57754055120569</c:v>
                </c:pt>
                <c:pt idx="257">
                  <c:v>108.72657696067223</c:v>
                </c:pt>
                <c:pt idx="258">
                  <c:v>108.71527200133094</c:v>
                </c:pt>
                <c:pt idx="259">
                  <c:v>108.57754055120569</c:v>
                </c:pt>
                <c:pt idx="260">
                  <c:v>108.57077587639149</c:v>
                </c:pt>
                <c:pt idx="261">
                  <c:v>108.54147202325348</c:v>
                </c:pt>
                <c:pt idx="262">
                  <c:v>108.53921853589677</c:v>
                </c:pt>
                <c:pt idx="263">
                  <c:v>108.43565917199047</c:v>
                </c:pt>
                <c:pt idx="264">
                  <c:v>108.54597927869951</c:v>
                </c:pt>
                <c:pt idx="265">
                  <c:v>108.40418031767105</c:v>
                </c:pt>
                <c:pt idx="266">
                  <c:v>108.35699628992484</c:v>
                </c:pt>
                <c:pt idx="267">
                  <c:v>108.33454213896438</c:v>
                </c:pt>
                <c:pt idx="268">
                  <c:v>108.28741870002909</c:v>
                </c:pt>
                <c:pt idx="269">
                  <c:v>108.1530059166702</c:v>
                </c:pt>
                <c:pt idx="270">
                  <c:v>108.34576805106532</c:v>
                </c:pt>
                <c:pt idx="271">
                  <c:v>108.3951897159445</c:v>
                </c:pt>
                <c:pt idx="272">
                  <c:v>108.54597927869949</c:v>
                </c:pt>
                <c:pt idx="273">
                  <c:v>108.62943107675693</c:v>
                </c:pt>
                <c:pt idx="274">
                  <c:v>108.84882050427873</c:v>
                </c:pt>
                <c:pt idx="275">
                  <c:v>109.11690425998212</c:v>
                </c:pt>
                <c:pt idx="276">
                  <c:v>109.13284903139619</c:v>
                </c:pt>
                <c:pt idx="277">
                  <c:v>109.15563536142322</c:v>
                </c:pt>
                <c:pt idx="278">
                  <c:v>109.17159145488345</c:v>
                </c:pt>
                <c:pt idx="279">
                  <c:v>109.07592480544146</c:v>
                </c:pt>
                <c:pt idx="280">
                  <c:v>109.11234946674188</c:v>
                </c:pt>
                <c:pt idx="281">
                  <c:v>109.28341485848077</c:v>
                </c:pt>
                <c:pt idx="282">
                  <c:v>109.14196242171195</c:v>
                </c:pt>
                <c:pt idx="283">
                  <c:v>109.21036139544606</c:v>
                </c:pt>
                <c:pt idx="284">
                  <c:v>109.27199381309705</c:v>
                </c:pt>
                <c:pt idx="285">
                  <c:v>109.19211328794023</c:v>
                </c:pt>
                <c:pt idx="286">
                  <c:v>108.96452540747848</c:v>
                </c:pt>
                <c:pt idx="287">
                  <c:v>108.43565917199042</c:v>
                </c:pt>
                <c:pt idx="288">
                  <c:v>108.03231939163503</c:v>
                </c:pt>
                <c:pt idx="289">
                  <c:v>107.82287670667827</c:v>
                </c:pt>
                <c:pt idx="290">
                  <c:v>106.83137158737949</c:v>
                </c:pt>
                <c:pt idx="291">
                  <c:v>105.29930712213992</c:v>
                </c:pt>
                <c:pt idx="292">
                  <c:v>103.9178659457741</c:v>
                </c:pt>
                <c:pt idx="293">
                  <c:v>102.47167666313855</c:v>
                </c:pt>
                <c:pt idx="294">
                  <c:v>102.02572159013296</c:v>
                </c:pt>
                <c:pt idx="295">
                  <c:v>101.31392802465074</c:v>
                </c:pt>
                <c:pt idx="296">
                  <c:v>100.87018599984569</c:v>
                </c:pt>
                <c:pt idx="297">
                  <c:v>101.51853506029481</c:v>
                </c:pt>
                <c:pt idx="298">
                  <c:v>102.92357365043118</c:v>
                </c:pt>
                <c:pt idx="299">
                  <c:v>104.75913754408468</c:v>
                </c:pt>
                <c:pt idx="300">
                  <c:v>106.58525148321071</c:v>
                </c:pt>
                <c:pt idx="301">
                  <c:v>106.99754400327471</c:v>
                </c:pt>
                <c:pt idx="302">
                  <c:v>106.96032898909513</c:v>
                </c:pt>
                <c:pt idx="303">
                  <c:v>106.94063740130103</c:v>
                </c:pt>
                <c:pt idx="304">
                  <c:v>106.8772360216703</c:v>
                </c:pt>
                <c:pt idx="305">
                  <c:v>106.73322308650297</c:v>
                </c:pt>
                <c:pt idx="306">
                  <c:v>106.62655517030393</c:v>
                </c:pt>
                <c:pt idx="307">
                  <c:v>106.6113342985909</c:v>
                </c:pt>
                <c:pt idx="308">
                  <c:v>106.60481239804247</c:v>
                </c:pt>
                <c:pt idx="309">
                  <c:v>107.17961334235405</c:v>
                </c:pt>
                <c:pt idx="310">
                  <c:v>107.5898829001256</c:v>
                </c:pt>
              </c:numCache>
            </c:numRef>
          </c:val>
          <c:smooth val="0"/>
          <c:extLst xmlns:c16r2="http://schemas.microsoft.com/office/drawing/2015/06/chart">
            <c:ext xmlns:c16="http://schemas.microsoft.com/office/drawing/2014/chart" uri="{C3380CC4-5D6E-409C-BE32-E72D297353CC}">
              <c16:uniqueId val="{00000000-F0B3-48D5-9F31-A27621577FEE}"/>
            </c:ext>
          </c:extLst>
        </c:ser>
        <c:ser>
          <c:idx val="1"/>
          <c:order val="1"/>
          <c:tx>
            <c:strRef>
              <c:f>Sheet1!$C$1</c:f>
              <c:strCache>
                <c:ptCount val="1"/>
                <c:pt idx="0">
                  <c:v>RUB</c:v>
                </c:pt>
              </c:strCache>
            </c:strRef>
          </c:tx>
          <c:spPr>
            <a:ln w="28575" cap="rnd">
              <a:solidFill>
                <a:srgbClr val="FFC000"/>
              </a:solidFill>
              <a:round/>
            </a:ln>
            <a:effectLst/>
          </c:spPr>
          <c:marker>
            <c:symbol val="none"/>
          </c:marker>
          <c:cat>
            <c:numRef>
              <c:f>Sheet1!$A$2:$A$312</c:f>
              <c:numCache>
                <c:formatCode>m/d/yyyy</c:formatCode>
                <c:ptCount val="311"/>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pt idx="250">
                  <c:v>44564</c:v>
                </c:pt>
                <c:pt idx="251">
                  <c:v>44565</c:v>
                </c:pt>
                <c:pt idx="252">
                  <c:v>44566</c:v>
                </c:pt>
                <c:pt idx="253">
                  <c:v>44568</c:v>
                </c:pt>
                <c:pt idx="254">
                  <c:v>44571</c:v>
                </c:pt>
                <c:pt idx="255">
                  <c:v>44572</c:v>
                </c:pt>
                <c:pt idx="256">
                  <c:v>44573</c:v>
                </c:pt>
                <c:pt idx="257">
                  <c:v>44574</c:v>
                </c:pt>
                <c:pt idx="258">
                  <c:v>44575</c:v>
                </c:pt>
                <c:pt idx="259">
                  <c:v>44578</c:v>
                </c:pt>
                <c:pt idx="260">
                  <c:v>44579</c:v>
                </c:pt>
                <c:pt idx="261">
                  <c:v>44580</c:v>
                </c:pt>
                <c:pt idx="262">
                  <c:v>44581</c:v>
                </c:pt>
                <c:pt idx="263">
                  <c:v>44582</c:v>
                </c:pt>
                <c:pt idx="264">
                  <c:v>44585</c:v>
                </c:pt>
                <c:pt idx="265">
                  <c:v>44586</c:v>
                </c:pt>
                <c:pt idx="266">
                  <c:v>44587</c:v>
                </c:pt>
                <c:pt idx="267">
                  <c:v>44588</c:v>
                </c:pt>
                <c:pt idx="268">
                  <c:v>44592</c:v>
                </c:pt>
                <c:pt idx="269">
                  <c:v>44593</c:v>
                </c:pt>
                <c:pt idx="270">
                  <c:v>44594</c:v>
                </c:pt>
                <c:pt idx="271">
                  <c:v>44595</c:v>
                </c:pt>
                <c:pt idx="272">
                  <c:v>44596</c:v>
                </c:pt>
                <c:pt idx="273">
                  <c:v>44599</c:v>
                </c:pt>
                <c:pt idx="274">
                  <c:v>44600</c:v>
                </c:pt>
                <c:pt idx="275">
                  <c:v>44601</c:v>
                </c:pt>
                <c:pt idx="276">
                  <c:v>44602</c:v>
                </c:pt>
                <c:pt idx="277">
                  <c:v>44603</c:v>
                </c:pt>
                <c:pt idx="278">
                  <c:v>44606</c:v>
                </c:pt>
                <c:pt idx="279">
                  <c:v>44607</c:v>
                </c:pt>
                <c:pt idx="280">
                  <c:v>44608</c:v>
                </c:pt>
                <c:pt idx="281">
                  <c:v>44609</c:v>
                </c:pt>
                <c:pt idx="282">
                  <c:v>44610</c:v>
                </c:pt>
                <c:pt idx="283">
                  <c:v>44613</c:v>
                </c:pt>
                <c:pt idx="284">
                  <c:v>44614</c:v>
                </c:pt>
                <c:pt idx="285">
                  <c:v>44615</c:v>
                </c:pt>
                <c:pt idx="286">
                  <c:v>44616</c:v>
                </c:pt>
                <c:pt idx="287">
                  <c:v>44617</c:v>
                </c:pt>
                <c:pt idx="288">
                  <c:v>44620</c:v>
                </c:pt>
                <c:pt idx="289">
                  <c:v>44621</c:v>
                </c:pt>
                <c:pt idx="290">
                  <c:v>44622</c:v>
                </c:pt>
                <c:pt idx="291">
                  <c:v>44623</c:v>
                </c:pt>
                <c:pt idx="292">
                  <c:v>44624</c:v>
                </c:pt>
                <c:pt idx="293">
                  <c:v>44627</c:v>
                </c:pt>
                <c:pt idx="294">
                  <c:v>44629</c:v>
                </c:pt>
                <c:pt idx="295">
                  <c:v>44630</c:v>
                </c:pt>
                <c:pt idx="296">
                  <c:v>44631</c:v>
                </c:pt>
                <c:pt idx="297">
                  <c:v>44634</c:v>
                </c:pt>
                <c:pt idx="298">
                  <c:v>44635</c:v>
                </c:pt>
                <c:pt idx="299">
                  <c:v>44636</c:v>
                </c:pt>
                <c:pt idx="300">
                  <c:v>44637</c:v>
                </c:pt>
                <c:pt idx="301">
                  <c:v>44638</c:v>
                </c:pt>
                <c:pt idx="302">
                  <c:v>44641</c:v>
                </c:pt>
                <c:pt idx="303">
                  <c:v>44642</c:v>
                </c:pt>
                <c:pt idx="304">
                  <c:v>44643</c:v>
                </c:pt>
                <c:pt idx="305">
                  <c:v>44644</c:v>
                </c:pt>
                <c:pt idx="306">
                  <c:v>44645</c:v>
                </c:pt>
                <c:pt idx="307">
                  <c:v>44648</c:v>
                </c:pt>
                <c:pt idx="308">
                  <c:v>44649</c:v>
                </c:pt>
                <c:pt idx="309">
                  <c:v>44650</c:v>
                </c:pt>
                <c:pt idx="310">
                  <c:v>44651</c:v>
                </c:pt>
              </c:numCache>
            </c:numRef>
          </c:cat>
          <c:val>
            <c:numRef>
              <c:f>Sheet1!$C$2:$C$312</c:f>
              <c:numCache>
                <c:formatCode>_(* #,##0_);_(* \(#,##0\);_(* "-"??_);_(@_)</c:formatCode>
                <c:ptCount val="311"/>
                <c:pt idx="0">
                  <c:v>100</c:v>
                </c:pt>
                <c:pt idx="1">
                  <c:v>99.857752489331432</c:v>
                </c:pt>
                <c:pt idx="2">
                  <c:v>99.012693935119884</c:v>
                </c:pt>
                <c:pt idx="3">
                  <c:v>98.319327731092443</c:v>
                </c:pt>
                <c:pt idx="4">
                  <c:v>98.044692737430168</c:v>
                </c:pt>
                <c:pt idx="5">
                  <c:v>98.457223001402539</c:v>
                </c:pt>
                <c:pt idx="6">
                  <c:v>99.857752489331446</c:v>
                </c:pt>
                <c:pt idx="7">
                  <c:v>99.715909090909108</c:v>
                </c:pt>
                <c:pt idx="8">
                  <c:v>99.152542372881371</c:v>
                </c:pt>
                <c:pt idx="9">
                  <c:v>99.574468085106403</c:v>
                </c:pt>
                <c:pt idx="10">
                  <c:v>101.00719424460434</c:v>
                </c:pt>
                <c:pt idx="11">
                  <c:v>102.03488372093027</c:v>
                </c:pt>
                <c:pt idx="12">
                  <c:v>102.33236151603501</c:v>
                </c:pt>
                <c:pt idx="13">
                  <c:v>101.88679245283022</c:v>
                </c:pt>
                <c:pt idx="14">
                  <c:v>103.23529411764709</c:v>
                </c:pt>
                <c:pt idx="15">
                  <c:v>102.18340611353715</c:v>
                </c:pt>
                <c:pt idx="16">
                  <c:v>102.63157894736847</c:v>
                </c:pt>
                <c:pt idx="17">
                  <c:v>102.63157894736847</c:v>
                </c:pt>
                <c:pt idx="18">
                  <c:v>101.73913043478265</c:v>
                </c:pt>
                <c:pt idx="19">
                  <c:v>101.00719424460436</c:v>
                </c:pt>
                <c:pt idx="20">
                  <c:v>100.14265335235383</c:v>
                </c:pt>
                <c:pt idx="21">
                  <c:v>99.433427762039713</c:v>
                </c:pt>
                <c:pt idx="22">
                  <c:v>99.012693935119941</c:v>
                </c:pt>
                <c:pt idx="23">
                  <c:v>98.734177215189916</c:v>
                </c:pt>
                <c:pt idx="24">
                  <c:v>99.433427762039727</c:v>
                </c:pt>
                <c:pt idx="25">
                  <c:v>98.044692737430225</c:v>
                </c:pt>
                <c:pt idx="26">
                  <c:v>98.044692737430225</c:v>
                </c:pt>
                <c:pt idx="27">
                  <c:v>98.734177215189931</c:v>
                </c:pt>
                <c:pt idx="28">
                  <c:v>98.595505617977594</c:v>
                </c:pt>
                <c:pt idx="29">
                  <c:v>98.873239436619784</c:v>
                </c:pt>
                <c:pt idx="30">
                  <c:v>99.857752489331489</c:v>
                </c:pt>
                <c:pt idx="31">
                  <c:v>99.152542372881399</c:v>
                </c:pt>
                <c:pt idx="32">
                  <c:v>98.044692737430211</c:v>
                </c:pt>
                <c:pt idx="33">
                  <c:v>98.044692737430211</c:v>
                </c:pt>
                <c:pt idx="34">
                  <c:v>99.152542372881413</c:v>
                </c:pt>
                <c:pt idx="35">
                  <c:v>98.457223001402582</c:v>
                </c:pt>
                <c:pt idx="36">
                  <c:v>99.292786421499329</c:v>
                </c:pt>
                <c:pt idx="37">
                  <c:v>98.319327731092471</c:v>
                </c:pt>
                <c:pt idx="38">
                  <c:v>98.734177215189902</c:v>
                </c:pt>
                <c:pt idx="39">
                  <c:v>99.857752489331475</c:v>
                </c:pt>
                <c:pt idx="40">
                  <c:v>98.87323943661977</c:v>
                </c:pt>
                <c:pt idx="41">
                  <c:v>98.734177215189916</c:v>
                </c:pt>
                <c:pt idx="42">
                  <c:v>98.044692737430211</c:v>
                </c:pt>
                <c:pt idx="43">
                  <c:v>98.181818181818215</c:v>
                </c:pt>
                <c:pt idx="44">
                  <c:v>97.364771151178957</c:v>
                </c:pt>
                <c:pt idx="45">
                  <c:v>96.961325966850865</c:v>
                </c:pt>
                <c:pt idx="46">
                  <c:v>97.229916897506953</c:v>
                </c:pt>
                <c:pt idx="47">
                  <c:v>98.044692737430182</c:v>
                </c:pt>
                <c:pt idx="48">
                  <c:v>98.595505617977537</c:v>
                </c:pt>
                <c:pt idx="49">
                  <c:v>99.012693935119898</c:v>
                </c:pt>
                <c:pt idx="50">
                  <c:v>101.2987012987013</c:v>
                </c:pt>
                <c:pt idx="51">
                  <c:v>100.71736011477762</c:v>
                </c:pt>
                <c:pt idx="52">
                  <c:v>100.86206896551724</c:v>
                </c:pt>
                <c:pt idx="53">
                  <c:v>100.57306590257879</c:v>
                </c:pt>
                <c:pt idx="54">
                  <c:v>100.57306590257879</c:v>
                </c:pt>
                <c:pt idx="55">
                  <c:v>100.42918454935622</c:v>
                </c:pt>
                <c:pt idx="56">
                  <c:v>100.00000000000001</c:v>
                </c:pt>
                <c:pt idx="57">
                  <c:v>100.14265335235379</c:v>
                </c:pt>
                <c:pt idx="58">
                  <c:v>100.28571428571429</c:v>
                </c:pt>
                <c:pt idx="59">
                  <c:v>100.42918454935622</c:v>
                </c:pt>
                <c:pt idx="60">
                  <c:v>100.28571428571428</c:v>
                </c:pt>
                <c:pt idx="61">
                  <c:v>101.44508670520231</c:v>
                </c:pt>
                <c:pt idx="62">
                  <c:v>100.71736011477762</c:v>
                </c:pt>
                <c:pt idx="63">
                  <c:v>101.7391304347826</c:v>
                </c:pt>
                <c:pt idx="64">
                  <c:v>102.7818448023426</c:v>
                </c:pt>
                <c:pt idx="65">
                  <c:v>104.30906389301634</c:v>
                </c:pt>
                <c:pt idx="66">
                  <c:v>102.33236151603499</c:v>
                </c:pt>
                <c:pt idx="67">
                  <c:v>103.38733431516937</c:v>
                </c:pt>
                <c:pt idx="68">
                  <c:v>101.88679245283019</c:v>
                </c:pt>
                <c:pt idx="69">
                  <c:v>102.1834061135371</c:v>
                </c:pt>
                <c:pt idx="70">
                  <c:v>102.48175182481751</c:v>
                </c:pt>
                <c:pt idx="71">
                  <c:v>103.38733431516935</c:v>
                </c:pt>
                <c:pt idx="72">
                  <c:v>102.33236151603498</c:v>
                </c:pt>
                <c:pt idx="73">
                  <c:v>101.15273775216139</c:v>
                </c:pt>
                <c:pt idx="74">
                  <c:v>101.00719424460432</c:v>
                </c:pt>
                <c:pt idx="75">
                  <c:v>101.15273775216139</c:v>
                </c:pt>
                <c:pt idx="76">
                  <c:v>101.00719424460432</c:v>
                </c:pt>
                <c:pt idx="77">
                  <c:v>100.14265335235379</c:v>
                </c:pt>
                <c:pt idx="78">
                  <c:v>101.00719424460431</c:v>
                </c:pt>
                <c:pt idx="79">
                  <c:v>102.18340611353712</c:v>
                </c:pt>
                <c:pt idx="80">
                  <c:v>101.2987012987013</c:v>
                </c:pt>
                <c:pt idx="81">
                  <c:v>100.71736011477762</c:v>
                </c:pt>
                <c:pt idx="82">
                  <c:v>100.42918454935622</c:v>
                </c:pt>
                <c:pt idx="83">
                  <c:v>99.574468085106389</c:v>
                </c:pt>
                <c:pt idx="84">
                  <c:v>99.43342776203967</c:v>
                </c:pt>
                <c:pt idx="85">
                  <c:v>99.43342776203967</c:v>
                </c:pt>
                <c:pt idx="86">
                  <c:v>99.857752489331432</c:v>
                </c:pt>
                <c:pt idx="87">
                  <c:v>99.857752489331432</c:v>
                </c:pt>
                <c:pt idx="88">
                  <c:v>99.43342776203967</c:v>
                </c:pt>
                <c:pt idx="89">
                  <c:v>99.43342776203967</c:v>
                </c:pt>
                <c:pt idx="90">
                  <c:v>99.152542372881356</c:v>
                </c:pt>
                <c:pt idx="91">
                  <c:v>99.292786421499287</c:v>
                </c:pt>
                <c:pt idx="92">
                  <c:v>99.292786421499287</c:v>
                </c:pt>
                <c:pt idx="93">
                  <c:v>99.012693935119898</c:v>
                </c:pt>
                <c:pt idx="94">
                  <c:v>99.292786421499287</c:v>
                </c:pt>
                <c:pt idx="95">
                  <c:v>98.873239436619727</c:v>
                </c:pt>
                <c:pt idx="96">
                  <c:v>99.152542372881356</c:v>
                </c:pt>
                <c:pt idx="97">
                  <c:v>99.012693935119884</c:v>
                </c:pt>
                <c:pt idx="98">
                  <c:v>99.012693935119884</c:v>
                </c:pt>
                <c:pt idx="99">
                  <c:v>99.152542372881356</c:v>
                </c:pt>
                <c:pt idx="100">
                  <c:v>99.152542372881356</c:v>
                </c:pt>
                <c:pt idx="101">
                  <c:v>98.734177215189874</c:v>
                </c:pt>
                <c:pt idx="102">
                  <c:v>98.873239436619713</c:v>
                </c:pt>
                <c:pt idx="103">
                  <c:v>98.319327731092429</c:v>
                </c:pt>
                <c:pt idx="104">
                  <c:v>98.181818181818159</c:v>
                </c:pt>
                <c:pt idx="105">
                  <c:v>97.499999999999986</c:v>
                </c:pt>
                <c:pt idx="106">
                  <c:v>97.635605006954094</c:v>
                </c:pt>
                <c:pt idx="107">
                  <c:v>96.961325966850822</c:v>
                </c:pt>
                <c:pt idx="108">
                  <c:v>98.181818181818173</c:v>
                </c:pt>
                <c:pt idx="109">
                  <c:v>97.771587743732582</c:v>
                </c:pt>
                <c:pt idx="110">
                  <c:v>98.044692737430168</c:v>
                </c:pt>
                <c:pt idx="111">
                  <c:v>99.012693935119884</c:v>
                </c:pt>
                <c:pt idx="112">
                  <c:v>98.595505617977523</c:v>
                </c:pt>
                <c:pt idx="113">
                  <c:v>99.857752489331432</c:v>
                </c:pt>
                <c:pt idx="114">
                  <c:v>100.14265335235378</c:v>
                </c:pt>
                <c:pt idx="115">
                  <c:v>99.574468085106375</c:v>
                </c:pt>
                <c:pt idx="116">
                  <c:v>99.857752489331418</c:v>
                </c:pt>
                <c:pt idx="117">
                  <c:v>101.44508670520229</c:v>
                </c:pt>
                <c:pt idx="118">
                  <c:v>101.88679245283018</c:v>
                </c:pt>
                <c:pt idx="119">
                  <c:v>102.63157894736841</c:v>
                </c:pt>
                <c:pt idx="120">
                  <c:v>103.53982300884955</c:v>
                </c:pt>
                <c:pt idx="121">
                  <c:v>103.23529411764706</c:v>
                </c:pt>
                <c:pt idx="122">
                  <c:v>104.46428571428571</c:v>
                </c:pt>
                <c:pt idx="123">
                  <c:v>103.99999999999999</c:v>
                </c:pt>
                <c:pt idx="124">
                  <c:v>105.24737631184408</c:v>
                </c:pt>
                <c:pt idx="125">
                  <c:v>106.36363636363637</c:v>
                </c:pt>
                <c:pt idx="126">
                  <c:v>105.24737631184409</c:v>
                </c:pt>
                <c:pt idx="127">
                  <c:v>105.72289156626508</c:v>
                </c:pt>
                <c:pt idx="128">
                  <c:v>104.77611940298507</c:v>
                </c:pt>
                <c:pt idx="129">
                  <c:v>104.93273542600897</c:v>
                </c:pt>
                <c:pt idx="130">
                  <c:v>104.93273542600897</c:v>
                </c:pt>
                <c:pt idx="131">
                  <c:v>105.08982035928146</c:v>
                </c:pt>
                <c:pt idx="132">
                  <c:v>106.20272314674736</c:v>
                </c:pt>
                <c:pt idx="133">
                  <c:v>106.52503793626708</c:v>
                </c:pt>
                <c:pt idx="134">
                  <c:v>107.01219512195124</c:v>
                </c:pt>
                <c:pt idx="135">
                  <c:v>106.84931506849315</c:v>
                </c:pt>
                <c:pt idx="136">
                  <c:v>106.84931506849315</c:v>
                </c:pt>
                <c:pt idx="137">
                  <c:v>107.66871165644173</c:v>
                </c:pt>
                <c:pt idx="138">
                  <c:v>107.50382848392037</c:v>
                </c:pt>
                <c:pt idx="139">
                  <c:v>107.01219512195124</c:v>
                </c:pt>
                <c:pt idx="140">
                  <c:v>106.04229607250757</c:v>
                </c:pt>
                <c:pt idx="141">
                  <c:v>105.40540540540542</c:v>
                </c:pt>
                <c:pt idx="142">
                  <c:v>104.93273542600897</c:v>
                </c:pt>
                <c:pt idx="143">
                  <c:v>104.15430267062315</c:v>
                </c:pt>
                <c:pt idx="144">
                  <c:v>103.84615384615387</c:v>
                </c:pt>
                <c:pt idx="145">
                  <c:v>104.00000000000001</c:v>
                </c:pt>
                <c:pt idx="146">
                  <c:v>104.30906389301636</c:v>
                </c:pt>
                <c:pt idx="147">
                  <c:v>104.93273542600899</c:v>
                </c:pt>
                <c:pt idx="148">
                  <c:v>105.24737631184409</c:v>
                </c:pt>
                <c:pt idx="149">
                  <c:v>105.88235294117648</c:v>
                </c:pt>
                <c:pt idx="150">
                  <c:v>104.93273542600897</c:v>
                </c:pt>
                <c:pt idx="151">
                  <c:v>104.77611940298509</c:v>
                </c:pt>
                <c:pt idx="152">
                  <c:v>104.6199701937407</c:v>
                </c:pt>
                <c:pt idx="153">
                  <c:v>104.77611940298509</c:v>
                </c:pt>
                <c:pt idx="154">
                  <c:v>105.08982035928145</c:v>
                </c:pt>
                <c:pt idx="155">
                  <c:v>106.04229607250757</c:v>
                </c:pt>
                <c:pt idx="156">
                  <c:v>106.68693009118542</c:v>
                </c:pt>
                <c:pt idx="157">
                  <c:v>106.04229607250755</c:v>
                </c:pt>
                <c:pt idx="158">
                  <c:v>105.72289156626508</c:v>
                </c:pt>
                <c:pt idx="159">
                  <c:v>105.08982035928145</c:v>
                </c:pt>
                <c:pt idx="160">
                  <c:v>105.40540540540542</c:v>
                </c:pt>
                <c:pt idx="161">
                  <c:v>105.24737631184409</c:v>
                </c:pt>
                <c:pt idx="162">
                  <c:v>104.77611940298509</c:v>
                </c:pt>
                <c:pt idx="163">
                  <c:v>104.30906389301636</c:v>
                </c:pt>
                <c:pt idx="164">
                  <c:v>104.00000000000001</c:v>
                </c:pt>
                <c:pt idx="165">
                  <c:v>103.53982300884957</c:v>
                </c:pt>
                <c:pt idx="166">
                  <c:v>103.53982300884957</c:v>
                </c:pt>
                <c:pt idx="167">
                  <c:v>103.84615384615387</c:v>
                </c:pt>
                <c:pt idx="168">
                  <c:v>104.15430267062317</c:v>
                </c:pt>
                <c:pt idx="169">
                  <c:v>104.46428571428574</c:v>
                </c:pt>
                <c:pt idx="170">
                  <c:v>104.00000000000001</c:v>
                </c:pt>
                <c:pt idx="171">
                  <c:v>103.69276218611523</c:v>
                </c:pt>
                <c:pt idx="172">
                  <c:v>104.15430267062315</c:v>
                </c:pt>
                <c:pt idx="173">
                  <c:v>104.46428571428572</c:v>
                </c:pt>
                <c:pt idx="174">
                  <c:v>104.61997019374068</c:v>
                </c:pt>
                <c:pt idx="175">
                  <c:v>104.46428571428571</c:v>
                </c:pt>
                <c:pt idx="176">
                  <c:v>105.08982035928142</c:v>
                </c:pt>
                <c:pt idx="177">
                  <c:v>105.56390977443606</c:v>
                </c:pt>
                <c:pt idx="178">
                  <c:v>105.40540540540538</c:v>
                </c:pt>
                <c:pt idx="179">
                  <c:v>106.20272314674733</c:v>
                </c:pt>
                <c:pt idx="180">
                  <c:v>106.36363636363636</c:v>
                </c:pt>
                <c:pt idx="181">
                  <c:v>105.88235294117646</c:v>
                </c:pt>
                <c:pt idx="182">
                  <c:v>105.72289156626505</c:v>
                </c:pt>
                <c:pt idx="183">
                  <c:v>105.56390977443607</c:v>
                </c:pt>
                <c:pt idx="184">
                  <c:v>105.40540540540539</c:v>
                </c:pt>
                <c:pt idx="185">
                  <c:v>105.72289156626505</c:v>
                </c:pt>
                <c:pt idx="186">
                  <c:v>105.56390977443607</c:v>
                </c:pt>
                <c:pt idx="187">
                  <c:v>105.24737631184406</c:v>
                </c:pt>
                <c:pt idx="188">
                  <c:v>105.72289156626505</c:v>
                </c:pt>
                <c:pt idx="189">
                  <c:v>105.40540540540539</c:v>
                </c:pt>
                <c:pt idx="190">
                  <c:v>105.56390977443606</c:v>
                </c:pt>
                <c:pt idx="191">
                  <c:v>105.0898203592814</c:v>
                </c:pt>
                <c:pt idx="192">
                  <c:v>105.40540540540538</c:v>
                </c:pt>
                <c:pt idx="193">
                  <c:v>105.0898203592814</c:v>
                </c:pt>
                <c:pt idx="194">
                  <c:v>104.93273542600893</c:v>
                </c:pt>
                <c:pt idx="195">
                  <c:v>104.46428571428569</c:v>
                </c:pt>
                <c:pt idx="196">
                  <c:v>104.61997019374066</c:v>
                </c:pt>
                <c:pt idx="197">
                  <c:v>104.15430267062311</c:v>
                </c:pt>
                <c:pt idx="198">
                  <c:v>104.61997019374066</c:v>
                </c:pt>
                <c:pt idx="199">
                  <c:v>104.77611940298505</c:v>
                </c:pt>
                <c:pt idx="200">
                  <c:v>103.99999999999997</c:v>
                </c:pt>
                <c:pt idx="201">
                  <c:v>103.23529411764703</c:v>
                </c:pt>
                <c:pt idx="202">
                  <c:v>102.0348837209302</c:v>
                </c:pt>
                <c:pt idx="203">
                  <c:v>103.53982300884951</c:v>
                </c:pt>
                <c:pt idx="204">
                  <c:v>103.38733431516933</c:v>
                </c:pt>
                <c:pt idx="205">
                  <c:v>103.69276218611517</c:v>
                </c:pt>
                <c:pt idx="206">
                  <c:v>104.1543026706231</c:v>
                </c:pt>
                <c:pt idx="207">
                  <c:v>105.72289156626503</c:v>
                </c:pt>
                <c:pt idx="208">
                  <c:v>105.72289156626503</c:v>
                </c:pt>
                <c:pt idx="209">
                  <c:v>105.56390977443606</c:v>
                </c:pt>
                <c:pt idx="210">
                  <c:v>105.72289156626503</c:v>
                </c:pt>
                <c:pt idx="211">
                  <c:v>105.24737631184405</c:v>
                </c:pt>
                <c:pt idx="212">
                  <c:v>104.77611940298505</c:v>
                </c:pt>
                <c:pt idx="213">
                  <c:v>104.30906389301632</c:v>
                </c:pt>
                <c:pt idx="214">
                  <c:v>104.77611940298505</c:v>
                </c:pt>
                <c:pt idx="215">
                  <c:v>106.52503793626704</c:v>
                </c:pt>
                <c:pt idx="216">
                  <c:v>106.84931506849311</c:v>
                </c:pt>
                <c:pt idx="217">
                  <c:v>107.17557251908394</c:v>
                </c:pt>
                <c:pt idx="218">
                  <c:v>107.33944954128437</c:v>
                </c:pt>
                <c:pt idx="219">
                  <c:v>107.33944954128437</c:v>
                </c:pt>
                <c:pt idx="220">
                  <c:v>107.99999999999997</c:v>
                </c:pt>
                <c:pt idx="221">
                  <c:v>109.17573872472781</c:v>
                </c:pt>
                <c:pt idx="222">
                  <c:v>110.20408163265301</c:v>
                </c:pt>
                <c:pt idx="223">
                  <c:v>109.68749999999994</c:v>
                </c:pt>
                <c:pt idx="224">
                  <c:v>109.00621118012417</c:v>
                </c:pt>
                <c:pt idx="225">
                  <c:v>110.03134796238241</c:v>
                </c:pt>
                <c:pt idx="226">
                  <c:v>108.3333333333333</c:v>
                </c:pt>
                <c:pt idx="227">
                  <c:v>107.99999999999997</c:v>
                </c:pt>
                <c:pt idx="228">
                  <c:v>106.36363636363633</c:v>
                </c:pt>
                <c:pt idx="229">
                  <c:v>106.2027231467473</c:v>
                </c:pt>
                <c:pt idx="230">
                  <c:v>105.56390977443604</c:v>
                </c:pt>
                <c:pt idx="231">
                  <c:v>105.40540540540536</c:v>
                </c:pt>
                <c:pt idx="232">
                  <c:v>106.0422960725075</c:v>
                </c:pt>
                <c:pt idx="233">
                  <c:v>104.77611940298502</c:v>
                </c:pt>
                <c:pt idx="234">
                  <c:v>104.46428571428565</c:v>
                </c:pt>
                <c:pt idx="235">
                  <c:v>104.15430267062307</c:v>
                </c:pt>
                <c:pt idx="236">
                  <c:v>104.15430267062307</c:v>
                </c:pt>
                <c:pt idx="237">
                  <c:v>105.72289156626501</c:v>
                </c:pt>
                <c:pt idx="238">
                  <c:v>107.50382848392032</c:v>
                </c:pt>
                <c:pt idx="239">
                  <c:v>107.50382848392032</c:v>
                </c:pt>
                <c:pt idx="240">
                  <c:v>107.50382848392032</c:v>
                </c:pt>
                <c:pt idx="241">
                  <c:v>108.50077279752699</c:v>
                </c:pt>
                <c:pt idx="242">
                  <c:v>107.83410138248843</c:v>
                </c:pt>
                <c:pt idx="243">
                  <c:v>108.16640986132505</c:v>
                </c:pt>
                <c:pt idx="244">
                  <c:v>107.66871165644167</c:v>
                </c:pt>
                <c:pt idx="245">
                  <c:v>107.83410138248844</c:v>
                </c:pt>
                <c:pt idx="246">
                  <c:v>107.83410138248844</c:v>
                </c:pt>
                <c:pt idx="247">
                  <c:v>108.16640986132506</c:v>
                </c:pt>
                <c:pt idx="248">
                  <c:v>107.99999999999996</c:v>
                </c:pt>
                <c:pt idx="249">
                  <c:v>109.34579439252332</c:v>
                </c:pt>
                <c:pt idx="250">
                  <c:v>108.33333333333329</c:v>
                </c:pt>
                <c:pt idx="251">
                  <c:v>109.00621118012417</c:v>
                </c:pt>
                <c:pt idx="252">
                  <c:v>110.204081632653</c:v>
                </c:pt>
                <c:pt idx="253">
                  <c:v>110.03134796238238</c:v>
                </c:pt>
                <c:pt idx="254">
                  <c:v>109.00621118012415</c:v>
                </c:pt>
                <c:pt idx="255">
                  <c:v>109.00621118012415</c:v>
                </c:pt>
                <c:pt idx="256">
                  <c:v>108.50077279752699</c:v>
                </c:pt>
                <c:pt idx="257">
                  <c:v>109.00621118012415</c:v>
                </c:pt>
                <c:pt idx="258">
                  <c:v>111.07594936708855</c:v>
                </c:pt>
                <c:pt idx="259">
                  <c:v>111.42857142857137</c:v>
                </c:pt>
                <c:pt idx="260">
                  <c:v>111.78343949044579</c:v>
                </c:pt>
                <c:pt idx="261">
                  <c:v>111.42857142857137</c:v>
                </c:pt>
                <c:pt idx="262">
                  <c:v>111.60572337042919</c:v>
                </c:pt>
                <c:pt idx="263">
                  <c:v>111.42857142857136</c:v>
                </c:pt>
                <c:pt idx="264">
                  <c:v>113.77633711507286</c:v>
                </c:pt>
                <c:pt idx="265">
                  <c:v>114.33224755700319</c:v>
                </c:pt>
                <c:pt idx="266">
                  <c:v>115.08196721311467</c:v>
                </c:pt>
                <c:pt idx="267">
                  <c:v>114.51876019575847</c:v>
                </c:pt>
                <c:pt idx="268">
                  <c:v>112.68057784911707</c:v>
                </c:pt>
                <c:pt idx="269">
                  <c:v>111.78343949044576</c:v>
                </c:pt>
                <c:pt idx="270">
                  <c:v>111.0759493670885</c:v>
                </c:pt>
                <c:pt idx="271">
                  <c:v>111.42857142857132</c:v>
                </c:pt>
                <c:pt idx="272">
                  <c:v>110.72555205047308</c:v>
                </c:pt>
                <c:pt idx="273">
                  <c:v>110.20408163265296</c:v>
                </c:pt>
                <c:pt idx="274">
                  <c:v>110.20408163265296</c:v>
                </c:pt>
                <c:pt idx="275">
                  <c:v>109.51638065522611</c:v>
                </c:pt>
                <c:pt idx="276">
                  <c:v>109.51638065522611</c:v>
                </c:pt>
                <c:pt idx="277">
                  <c:v>110.03134796238236</c:v>
                </c:pt>
                <c:pt idx="278">
                  <c:v>113.4087237479805</c:v>
                </c:pt>
                <c:pt idx="279">
                  <c:v>110.72555205047308</c:v>
                </c:pt>
                <c:pt idx="280">
                  <c:v>110.03134796238234</c:v>
                </c:pt>
                <c:pt idx="281">
                  <c:v>111.42857142857132</c:v>
                </c:pt>
                <c:pt idx="282">
                  <c:v>111.07594936708848</c:v>
                </c:pt>
                <c:pt idx="283">
                  <c:v>112.86173633440502</c:v>
                </c:pt>
                <c:pt idx="284">
                  <c:v>117.19532554257081</c:v>
                </c:pt>
                <c:pt idx="285">
                  <c:v>116.41791044776106</c:v>
                </c:pt>
                <c:pt idx="286">
                  <c:v>123.37434094903325</c:v>
                </c:pt>
                <c:pt idx="287">
                  <c:v>121.4532871972317</c:v>
                </c:pt>
                <c:pt idx="288">
                  <c:v>146.55532359081406</c:v>
                </c:pt>
                <c:pt idx="289">
                  <c:v>147.16981132075458</c:v>
                </c:pt>
                <c:pt idx="290">
                  <c:v>153.61050328227554</c:v>
                </c:pt>
                <c:pt idx="291">
                  <c:v>164.78873239436604</c:v>
                </c:pt>
                <c:pt idx="292">
                  <c:v>153.61050328227554</c:v>
                </c:pt>
                <c:pt idx="293">
                  <c:v>187.70053475935808</c:v>
                </c:pt>
                <c:pt idx="294">
                  <c:v>161.75115207373256</c:v>
                </c:pt>
                <c:pt idx="295">
                  <c:v>160.64073226544605</c:v>
                </c:pt>
                <c:pt idx="296">
                  <c:v>154.28571428571411</c:v>
                </c:pt>
                <c:pt idx="297">
                  <c:v>150.64377682403415</c:v>
                </c:pt>
                <c:pt idx="298">
                  <c:v>152.2776572668111</c:v>
                </c:pt>
                <c:pt idx="299">
                  <c:v>150.9677419354837</c:v>
                </c:pt>
                <c:pt idx="300">
                  <c:v>150.9677419354837</c:v>
                </c:pt>
                <c:pt idx="301">
                  <c:v>146.55532359081403</c:v>
                </c:pt>
                <c:pt idx="302">
                  <c:v>149.68017057569278</c:v>
                </c:pt>
                <c:pt idx="303">
                  <c:v>149.99999999999986</c:v>
                </c:pt>
                <c:pt idx="304">
                  <c:v>147.16981132075458</c:v>
                </c:pt>
                <c:pt idx="305">
                  <c:v>136.57587548638119</c:v>
                </c:pt>
                <c:pt idx="306">
                  <c:v>134.2256214149138</c:v>
                </c:pt>
                <c:pt idx="307">
                  <c:v>134.2256214149138</c:v>
                </c:pt>
                <c:pt idx="308">
                  <c:v>121.66377816291148</c:v>
                </c:pt>
                <c:pt idx="309">
                  <c:v>120.41166380789009</c:v>
                </c:pt>
                <c:pt idx="310">
                  <c:v>117.39130434782595</c:v>
                </c:pt>
              </c:numCache>
            </c:numRef>
          </c:val>
          <c:smooth val="0"/>
          <c:extLst xmlns:c16r2="http://schemas.microsoft.com/office/drawing/2015/06/chart">
            <c:ext xmlns:c16="http://schemas.microsoft.com/office/drawing/2014/chart" uri="{C3380CC4-5D6E-409C-BE32-E72D297353CC}">
              <c16:uniqueId val="{00000001-F0B3-48D5-9F31-A27621577FEE}"/>
            </c:ext>
          </c:extLst>
        </c:ser>
        <c:ser>
          <c:idx val="2"/>
          <c:order val="2"/>
          <c:tx>
            <c:strRef>
              <c:f>Sheet1!$D$1</c:f>
              <c:strCache>
                <c:ptCount val="1"/>
                <c:pt idx="0">
                  <c:v>EUR</c:v>
                </c:pt>
              </c:strCache>
            </c:strRef>
          </c:tx>
          <c:spPr>
            <a:ln w="28575" cap="rnd">
              <a:solidFill>
                <a:srgbClr val="C00000"/>
              </a:solidFill>
              <a:round/>
            </a:ln>
            <a:effectLst/>
          </c:spPr>
          <c:marker>
            <c:symbol val="none"/>
          </c:marker>
          <c:cat>
            <c:numRef>
              <c:f>Sheet1!$A$2:$A$312</c:f>
              <c:numCache>
                <c:formatCode>m/d/yyyy</c:formatCode>
                <c:ptCount val="311"/>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pt idx="250">
                  <c:v>44564</c:v>
                </c:pt>
                <c:pt idx="251">
                  <c:v>44565</c:v>
                </c:pt>
                <c:pt idx="252">
                  <c:v>44566</c:v>
                </c:pt>
                <c:pt idx="253">
                  <c:v>44568</c:v>
                </c:pt>
                <c:pt idx="254">
                  <c:v>44571</c:v>
                </c:pt>
                <c:pt idx="255">
                  <c:v>44572</c:v>
                </c:pt>
                <c:pt idx="256">
                  <c:v>44573</c:v>
                </c:pt>
                <c:pt idx="257">
                  <c:v>44574</c:v>
                </c:pt>
                <c:pt idx="258">
                  <c:v>44575</c:v>
                </c:pt>
                <c:pt idx="259">
                  <c:v>44578</c:v>
                </c:pt>
                <c:pt idx="260">
                  <c:v>44579</c:v>
                </c:pt>
                <c:pt idx="261">
                  <c:v>44580</c:v>
                </c:pt>
                <c:pt idx="262">
                  <c:v>44581</c:v>
                </c:pt>
                <c:pt idx="263">
                  <c:v>44582</c:v>
                </c:pt>
                <c:pt idx="264">
                  <c:v>44585</c:v>
                </c:pt>
                <c:pt idx="265">
                  <c:v>44586</c:v>
                </c:pt>
                <c:pt idx="266">
                  <c:v>44587</c:v>
                </c:pt>
                <c:pt idx="267">
                  <c:v>44588</c:v>
                </c:pt>
                <c:pt idx="268">
                  <c:v>44592</c:v>
                </c:pt>
                <c:pt idx="269">
                  <c:v>44593</c:v>
                </c:pt>
                <c:pt idx="270">
                  <c:v>44594</c:v>
                </c:pt>
                <c:pt idx="271">
                  <c:v>44595</c:v>
                </c:pt>
                <c:pt idx="272">
                  <c:v>44596</c:v>
                </c:pt>
                <c:pt idx="273">
                  <c:v>44599</c:v>
                </c:pt>
                <c:pt idx="274">
                  <c:v>44600</c:v>
                </c:pt>
                <c:pt idx="275">
                  <c:v>44601</c:v>
                </c:pt>
                <c:pt idx="276">
                  <c:v>44602</c:v>
                </c:pt>
                <c:pt idx="277">
                  <c:v>44603</c:v>
                </c:pt>
                <c:pt idx="278">
                  <c:v>44606</c:v>
                </c:pt>
                <c:pt idx="279">
                  <c:v>44607</c:v>
                </c:pt>
                <c:pt idx="280">
                  <c:v>44608</c:v>
                </c:pt>
                <c:pt idx="281">
                  <c:v>44609</c:v>
                </c:pt>
                <c:pt idx="282">
                  <c:v>44610</c:v>
                </c:pt>
                <c:pt idx="283">
                  <c:v>44613</c:v>
                </c:pt>
                <c:pt idx="284">
                  <c:v>44614</c:v>
                </c:pt>
                <c:pt idx="285">
                  <c:v>44615</c:v>
                </c:pt>
                <c:pt idx="286">
                  <c:v>44616</c:v>
                </c:pt>
                <c:pt idx="287">
                  <c:v>44617</c:v>
                </c:pt>
                <c:pt idx="288">
                  <c:v>44620</c:v>
                </c:pt>
                <c:pt idx="289">
                  <c:v>44621</c:v>
                </c:pt>
                <c:pt idx="290">
                  <c:v>44622</c:v>
                </c:pt>
                <c:pt idx="291">
                  <c:v>44623</c:v>
                </c:pt>
                <c:pt idx="292">
                  <c:v>44624</c:v>
                </c:pt>
                <c:pt idx="293">
                  <c:v>44627</c:v>
                </c:pt>
                <c:pt idx="294">
                  <c:v>44629</c:v>
                </c:pt>
                <c:pt idx="295">
                  <c:v>44630</c:v>
                </c:pt>
                <c:pt idx="296">
                  <c:v>44631</c:v>
                </c:pt>
                <c:pt idx="297">
                  <c:v>44634</c:v>
                </c:pt>
                <c:pt idx="298">
                  <c:v>44635</c:v>
                </c:pt>
                <c:pt idx="299">
                  <c:v>44636</c:v>
                </c:pt>
                <c:pt idx="300">
                  <c:v>44637</c:v>
                </c:pt>
                <c:pt idx="301">
                  <c:v>44638</c:v>
                </c:pt>
                <c:pt idx="302">
                  <c:v>44641</c:v>
                </c:pt>
                <c:pt idx="303">
                  <c:v>44642</c:v>
                </c:pt>
                <c:pt idx="304">
                  <c:v>44643</c:v>
                </c:pt>
                <c:pt idx="305">
                  <c:v>44644</c:v>
                </c:pt>
                <c:pt idx="306">
                  <c:v>44645</c:v>
                </c:pt>
                <c:pt idx="307">
                  <c:v>44648</c:v>
                </c:pt>
                <c:pt idx="308">
                  <c:v>44649</c:v>
                </c:pt>
                <c:pt idx="309">
                  <c:v>44650</c:v>
                </c:pt>
                <c:pt idx="310">
                  <c:v>44651</c:v>
                </c:pt>
              </c:numCache>
            </c:numRef>
          </c:cat>
          <c:val>
            <c:numRef>
              <c:f>Sheet1!$D$2:$D$312</c:f>
              <c:numCache>
                <c:formatCode>_(* #,##0_);_(* \(#,##0\);_(* "-"??_);_(@_)</c:formatCode>
                <c:ptCount val="311"/>
                <c:pt idx="0">
                  <c:v>100</c:v>
                </c:pt>
                <c:pt idx="1">
                  <c:v>100.45537340619308</c:v>
                </c:pt>
                <c:pt idx="2">
                  <c:v>100.10953930896345</c:v>
                </c:pt>
                <c:pt idx="3">
                  <c:v>99.596780471097404</c:v>
                </c:pt>
                <c:pt idx="4">
                  <c:v>100.06569480072575</c:v>
                </c:pt>
                <c:pt idx="5">
                  <c:v>100.84968865768109</c:v>
                </c:pt>
                <c:pt idx="6">
                  <c:v>101.55892811785624</c:v>
                </c:pt>
                <c:pt idx="7">
                  <c:v>101.64283444550367</c:v>
                </c:pt>
                <c:pt idx="8">
                  <c:v>101.61538828089013</c:v>
                </c:pt>
                <c:pt idx="9">
                  <c:v>101.54925553192165</c:v>
                </c:pt>
                <c:pt idx="10">
                  <c:v>101.36903818729203</c:v>
                </c:pt>
                <c:pt idx="11">
                  <c:v>101.64444938750219</c:v>
                </c:pt>
                <c:pt idx="12">
                  <c:v>101.79000461423412</c:v>
                </c:pt>
                <c:pt idx="13">
                  <c:v>101.85969493360508</c:v>
                </c:pt>
                <c:pt idx="14">
                  <c:v>101.89701033719319</c:v>
                </c:pt>
                <c:pt idx="15">
                  <c:v>101.95384713457003</c:v>
                </c:pt>
                <c:pt idx="16">
                  <c:v>102.11006831386068</c:v>
                </c:pt>
                <c:pt idx="17">
                  <c:v>102.2634994724895</c:v>
                </c:pt>
                <c:pt idx="18">
                  <c:v>102.53229477193315</c:v>
                </c:pt>
                <c:pt idx="19">
                  <c:v>102.48794476217934</c:v>
                </c:pt>
                <c:pt idx="20">
                  <c:v>101.92298500804559</c:v>
                </c:pt>
                <c:pt idx="21">
                  <c:v>101.10310386244385</c:v>
                </c:pt>
                <c:pt idx="22">
                  <c:v>100.89104070400094</c:v>
                </c:pt>
                <c:pt idx="23">
                  <c:v>100.65293664154559</c:v>
                </c:pt>
                <c:pt idx="24">
                  <c:v>100.7781978575929</c:v>
                </c:pt>
                <c:pt idx="25">
                  <c:v>100.49324536600686</c:v>
                </c:pt>
                <c:pt idx="26">
                  <c:v>100.25858421225841</c:v>
                </c:pt>
                <c:pt idx="27">
                  <c:v>101.12867530825162</c:v>
                </c:pt>
                <c:pt idx="28">
                  <c:v>101.07594836711797</c:v>
                </c:pt>
                <c:pt idx="29">
                  <c:v>100.52482715273409</c:v>
                </c:pt>
                <c:pt idx="30">
                  <c:v>100.62127432013712</c:v>
                </c:pt>
                <c:pt idx="31">
                  <c:v>100.15499021526415</c:v>
                </c:pt>
                <c:pt idx="32">
                  <c:v>99.901619376298029</c:v>
                </c:pt>
                <c:pt idx="33">
                  <c:v>99.344679793775967</c:v>
                </c:pt>
                <c:pt idx="34">
                  <c:v>99.928147453920602</c:v>
                </c:pt>
                <c:pt idx="35">
                  <c:v>100.57223706964309</c:v>
                </c:pt>
                <c:pt idx="36">
                  <c:v>101.03284902084644</c:v>
                </c:pt>
                <c:pt idx="37">
                  <c:v>100.51692984523524</c:v>
                </c:pt>
                <c:pt idx="38">
                  <c:v>101.27115290243935</c:v>
                </c:pt>
                <c:pt idx="39">
                  <c:v>102.06119779202956</c:v>
                </c:pt>
                <c:pt idx="40">
                  <c:v>102.29947550211074</c:v>
                </c:pt>
                <c:pt idx="41">
                  <c:v>102.20958284737418</c:v>
                </c:pt>
                <c:pt idx="42">
                  <c:v>101.60086395832668</c:v>
                </c:pt>
                <c:pt idx="43">
                  <c:v>101.9229850080456</c:v>
                </c:pt>
                <c:pt idx="44">
                  <c:v>101.78676552481261</c:v>
                </c:pt>
                <c:pt idx="45">
                  <c:v>101.62184486839384</c:v>
                </c:pt>
                <c:pt idx="46">
                  <c:v>101.80944348075174</c:v>
                </c:pt>
                <c:pt idx="47">
                  <c:v>101.57989170993503</c:v>
                </c:pt>
                <c:pt idx="48">
                  <c:v>101.90187957948389</c:v>
                </c:pt>
                <c:pt idx="49">
                  <c:v>101.87267110417525</c:v>
                </c:pt>
                <c:pt idx="50">
                  <c:v>101.88078288981252</c:v>
                </c:pt>
                <c:pt idx="51">
                  <c:v>102.3322029560432</c:v>
                </c:pt>
                <c:pt idx="52">
                  <c:v>102.46168137482577</c:v>
                </c:pt>
                <c:pt idx="53">
                  <c:v>102.46168137482577</c:v>
                </c:pt>
                <c:pt idx="54">
                  <c:v>102.50272383515984</c:v>
                </c:pt>
                <c:pt idx="55">
                  <c:v>102.69688894596584</c:v>
                </c:pt>
                <c:pt idx="56">
                  <c:v>102.69359188390901</c:v>
                </c:pt>
                <c:pt idx="57">
                  <c:v>102.41903206698359</c:v>
                </c:pt>
                <c:pt idx="58">
                  <c:v>101.86618260564944</c:v>
                </c:pt>
                <c:pt idx="59">
                  <c:v>102.0758540360282</c:v>
                </c:pt>
                <c:pt idx="60">
                  <c:v>101.21347319126039</c:v>
                </c:pt>
                <c:pt idx="61">
                  <c:v>100.32461931720164</c:v>
                </c:pt>
                <c:pt idx="62">
                  <c:v>100.33878101571561</c:v>
                </c:pt>
                <c:pt idx="63">
                  <c:v>100.97225291202366</c:v>
                </c:pt>
                <c:pt idx="64">
                  <c:v>101.79000461423404</c:v>
                </c:pt>
                <c:pt idx="65">
                  <c:v>103.53287695619096</c:v>
                </c:pt>
                <c:pt idx="66">
                  <c:v>103.03098627842549</c:v>
                </c:pt>
                <c:pt idx="67">
                  <c:v>102.47481138573411</c:v>
                </c:pt>
                <c:pt idx="68">
                  <c:v>102.27821388031774</c:v>
                </c:pt>
                <c:pt idx="69">
                  <c:v>101.75762299384424</c:v>
                </c:pt>
                <c:pt idx="70">
                  <c:v>101.66060163040878</c:v>
                </c:pt>
                <c:pt idx="71">
                  <c:v>102.04166267904412</c:v>
                </c:pt>
                <c:pt idx="72">
                  <c:v>101.70908917470855</c:v>
                </c:pt>
                <c:pt idx="73">
                  <c:v>101.66867967707064</c:v>
                </c:pt>
                <c:pt idx="74">
                  <c:v>101.610546378653</c:v>
                </c:pt>
                <c:pt idx="75">
                  <c:v>101.90512599955387</c:v>
                </c:pt>
                <c:pt idx="76">
                  <c:v>101.99936224489784</c:v>
                </c:pt>
                <c:pt idx="77">
                  <c:v>101.39313733259358</c:v>
                </c:pt>
                <c:pt idx="78">
                  <c:v>101.60731870016824</c:v>
                </c:pt>
                <c:pt idx="79">
                  <c:v>101.96522210356852</c:v>
                </c:pt>
                <c:pt idx="80">
                  <c:v>102.3158366119693</c:v>
                </c:pt>
                <c:pt idx="81">
                  <c:v>102.28311962395665</c:v>
                </c:pt>
                <c:pt idx="82">
                  <c:v>101.83861570543931</c:v>
                </c:pt>
                <c:pt idx="83">
                  <c:v>101.43654468193051</c:v>
                </c:pt>
                <c:pt idx="84">
                  <c:v>100.69729738238016</c:v>
                </c:pt>
                <c:pt idx="85">
                  <c:v>100.73376582477786</c:v>
                </c:pt>
                <c:pt idx="86">
                  <c:v>100.94198210707344</c:v>
                </c:pt>
                <c:pt idx="87">
                  <c:v>101.35779583947262</c:v>
                </c:pt>
                <c:pt idx="88">
                  <c:v>101.1174862092401</c:v>
                </c:pt>
                <c:pt idx="89">
                  <c:v>100.8369717699351</c:v>
                </c:pt>
                <c:pt idx="90">
                  <c:v>100.3938923151765</c:v>
                </c:pt>
                <c:pt idx="91">
                  <c:v>100.61177950774541</c:v>
                </c:pt>
                <c:pt idx="92">
                  <c:v>100.81472493184349</c:v>
                </c:pt>
                <c:pt idx="93">
                  <c:v>100.51535053263351</c:v>
                </c:pt>
                <c:pt idx="94">
                  <c:v>100.63077092476354</c:v>
                </c:pt>
                <c:pt idx="95">
                  <c:v>100.27115562451988</c:v>
                </c:pt>
                <c:pt idx="96">
                  <c:v>100.36396724294802</c:v>
                </c:pt>
                <c:pt idx="97">
                  <c:v>100.74011085915836</c:v>
                </c:pt>
                <c:pt idx="98">
                  <c:v>100.82266910420465</c:v>
                </c:pt>
                <c:pt idx="99">
                  <c:v>100.47272784382695</c:v>
                </c:pt>
                <c:pt idx="100">
                  <c:v>100.88626758342259</c:v>
                </c:pt>
                <c:pt idx="101">
                  <c:v>100.81631366616229</c:v>
                </c:pt>
                <c:pt idx="102">
                  <c:v>101.52508212591042</c:v>
                </c:pt>
                <c:pt idx="103">
                  <c:v>101.17665665032411</c:v>
                </c:pt>
                <c:pt idx="104">
                  <c:v>101.09831065598371</c:v>
                </c:pt>
                <c:pt idx="105">
                  <c:v>101.01689562608547</c:v>
                </c:pt>
                <c:pt idx="106">
                  <c:v>101.28077257975134</c:v>
                </c:pt>
                <c:pt idx="107">
                  <c:v>101.52024882569498</c:v>
                </c:pt>
                <c:pt idx="108">
                  <c:v>102.165511514261</c:v>
                </c:pt>
                <c:pt idx="109">
                  <c:v>102.33220295604318</c:v>
                </c:pt>
                <c:pt idx="110">
                  <c:v>102.49287064628786</c:v>
                </c:pt>
                <c:pt idx="111">
                  <c:v>104.13112832866715</c:v>
                </c:pt>
                <c:pt idx="112">
                  <c:v>104.50535807631982</c:v>
                </c:pt>
                <c:pt idx="113">
                  <c:v>104.75348365017757</c:v>
                </c:pt>
                <c:pt idx="114">
                  <c:v>104.92185065520796</c:v>
                </c:pt>
                <c:pt idx="115">
                  <c:v>104.64553276409191</c:v>
                </c:pt>
                <c:pt idx="116">
                  <c:v>105.45628379269409</c:v>
                </c:pt>
                <c:pt idx="117">
                  <c:v>107.27412972030307</c:v>
                </c:pt>
                <c:pt idx="118">
                  <c:v>107.86922285733546</c:v>
                </c:pt>
                <c:pt idx="119">
                  <c:v>108.45072810184941</c:v>
                </c:pt>
                <c:pt idx="120">
                  <c:v>108.48935015601676</c:v>
                </c:pt>
                <c:pt idx="121">
                  <c:v>108.86967768285618</c:v>
                </c:pt>
                <c:pt idx="122">
                  <c:v>109.23216145611001</c:v>
                </c:pt>
                <c:pt idx="123">
                  <c:v>109.04411263380369</c:v>
                </c:pt>
                <c:pt idx="124">
                  <c:v>109.22097212026009</c:v>
                </c:pt>
                <c:pt idx="125">
                  <c:v>109.15574665574655</c:v>
                </c:pt>
                <c:pt idx="126">
                  <c:v>108.84744955252313</c:v>
                </c:pt>
                <c:pt idx="127">
                  <c:v>108.85115361056275</c:v>
                </c:pt>
                <c:pt idx="128">
                  <c:v>108.88264828525223</c:v>
                </c:pt>
                <c:pt idx="129">
                  <c:v>109.43770634825587</c:v>
                </c:pt>
                <c:pt idx="130">
                  <c:v>109.0403954320776</c:v>
                </c:pt>
                <c:pt idx="131">
                  <c:v>109.39840623824334</c:v>
                </c:pt>
                <c:pt idx="132">
                  <c:v>110.18601446779182</c:v>
                </c:pt>
                <c:pt idx="133">
                  <c:v>110.3932632741453</c:v>
                </c:pt>
                <c:pt idx="134">
                  <c:v>111.44907842932292</c:v>
                </c:pt>
                <c:pt idx="135">
                  <c:v>111.96597651259243</c:v>
                </c:pt>
                <c:pt idx="136">
                  <c:v>112.45407723813028</c:v>
                </c:pt>
                <c:pt idx="137">
                  <c:v>112.37703766160753</c:v>
                </c:pt>
                <c:pt idx="138">
                  <c:v>112.60450953126913</c:v>
                </c:pt>
                <c:pt idx="139">
                  <c:v>112.23311871721538</c:v>
                </c:pt>
                <c:pt idx="140">
                  <c:v>111.24365305696587</c:v>
                </c:pt>
                <c:pt idx="141">
                  <c:v>110.61850500579243</c:v>
                </c:pt>
                <c:pt idx="142">
                  <c:v>110.16703977957626</c:v>
                </c:pt>
                <c:pt idx="143">
                  <c:v>109.67222107933884</c:v>
                </c:pt>
                <c:pt idx="144">
                  <c:v>109.58768007948325</c:v>
                </c:pt>
                <c:pt idx="145">
                  <c:v>109.58580287094442</c:v>
                </c:pt>
                <c:pt idx="146">
                  <c:v>109.97198012823807</c:v>
                </c:pt>
                <c:pt idx="147">
                  <c:v>110.71805610840923</c:v>
                </c:pt>
                <c:pt idx="148">
                  <c:v>111.23398188235691</c:v>
                </c:pt>
                <c:pt idx="149">
                  <c:v>111.24171868750965</c:v>
                </c:pt>
                <c:pt idx="150">
                  <c:v>110.81394744591282</c:v>
                </c:pt>
                <c:pt idx="151">
                  <c:v>110.62233058394274</c:v>
                </c:pt>
                <c:pt idx="152">
                  <c:v>110.24487756121925</c:v>
                </c:pt>
                <c:pt idx="153">
                  <c:v>110.43328154669415</c:v>
                </c:pt>
                <c:pt idx="154">
                  <c:v>111.19144868340993</c:v>
                </c:pt>
                <c:pt idx="155">
                  <c:v>111.48015195343797</c:v>
                </c:pt>
                <c:pt idx="156">
                  <c:v>111.81333566372442</c:v>
                </c:pt>
                <c:pt idx="157">
                  <c:v>111.22431238916501</c:v>
                </c:pt>
                <c:pt idx="158">
                  <c:v>111.07175720957676</c:v>
                </c:pt>
                <c:pt idx="159">
                  <c:v>110.59938108327702</c:v>
                </c:pt>
                <c:pt idx="160">
                  <c:v>110.21828644280951</c:v>
                </c:pt>
                <c:pt idx="161">
                  <c:v>110.21448875872153</c:v>
                </c:pt>
                <c:pt idx="162">
                  <c:v>109.8699915846599</c:v>
                </c:pt>
                <c:pt idx="163">
                  <c:v>109.71171820068241</c:v>
                </c:pt>
                <c:pt idx="164">
                  <c:v>109.66846093187492</c:v>
                </c:pt>
                <c:pt idx="165">
                  <c:v>109.37783172904292</c:v>
                </c:pt>
                <c:pt idx="166">
                  <c:v>109.15947172644425</c:v>
                </c:pt>
                <c:pt idx="167">
                  <c:v>109.30681565773047</c:v>
                </c:pt>
                <c:pt idx="168">
                  <c:v>109.19673642167054</c:v>
                </c:pt>
                <c:pt idx="169">
                  <c:v>109.69290650023129</c:v>
                </c:pt>
                <c:pt idx="170">
                  <c:v>109.63463120372892</c:v>
                </c:pt>
                <c:pt idx="171">
                  <c:v>109.65906169114982</c:v>
                </c:pt>
                <c:pt idx="172">
                  <c:v>110.30380357943358</c:v>
                </c:pt>
                <c:pt idx="173">
                  <c:v>110.45997651771512</c:v>
                </c:pt>
                <c:pt idx="174">
                  <c:v>111.10840946194708</c:v>
                </c:pt>
                <c:pt idx="175">
                  <c:v>111.75278622087113</c:v>
                </c:pt>
                <c:pt idx="176">
                  <c:v>111.96205743887693</c:v>
                </c:pt>
                <c:pt idx="177">
                  <c:v>112.64019720045759</c:v>
                </c:pt>
                <c:pt idx="178">
                  <c:v>112.81897539899462</c:v>
                </c:pt>
                <c:pt idx="179">
                  <c:v>113.06622364397926</c:v>
                </c:pt>
                <c:pt idx="180">
                  <c:v>113.39891872728865</c:v>
                </c:pt>
                <c:pt idx="181">
                  <c:v>113.6466993533715</c:v>
                </c:pt>
                <c:pt idx="182">
                  <c:v>113.52166660751656</c:v>
                </c:pt>
                <c:pt idx="183">
                  <c:v>113.43108920370908</c:v>
                </c:pt>
                <c:pt idx="184">
                  <c:v>113.94831056409507</c:v>
                </c:pt>
                <c:pt idx="185">
                  <c:v>113.8428685826139</c:v>
                </c:pt>
                <c:pt idx="186">
                  <c:v>113.57608251815273</c:v>
                </c:pt>
                <c:pt idx="187">
                  <c:v>113.77807814750901</c:v>
                </c:pt>
                <c:pt idx="188">
                  <c:v>114.76392078071163</c:v>
                </c:pt>
                <c:pt idx="189">
                  <c:v>115.09427173287258</c:v>
                </c:pt>
                <c:pt idx="190">
                  <c:v>115.39113652351131</c:v>
                </c:pt>
                <c:pt idx="191">
                  <c:v>115.64352856109888</c:v>
                </c:pt>
                <c:pt idx="192">
                  <c:v>115.60800187939336</c:v>
                </c:pt>
                <c:pt idx="193">
                  <c:v>115.50155268289141</c:v>
                </c:pt>
                <c:pt idx="194">
                  <c:v>115.08391948047257</c:v>
                </c:pt>
                <c:pt idx="195">
                  <c:v>115.25600835945647</c:v>
                </c:pt>
                <c:pt idx="196">
                  <c:v>115.50155268289143</c:v>
                </c:pt>
                <c:pt idx="197">
                  <c:v>114.89170647606031</c:v>
                </c:pt>
                <c:pt idx="198">
                  <c:v>115.48904213452704</c:v>
                </c:pt>
                <c:pt idx="199">
                  <c:v>115.34952489136495</c:v>
                </c:pt>
                <c:pt idx="200">
                  <c:v>115.31625718766321</c:v>
                </c:pt>
                <c:pt idx="201">
                  <c:v>115.37240757439119</c:v>
                </c:pt>
                <c:pt idx="202">
                  <c:v>115.4744499196764</c:v>
                </c:pt>
                <c:pt idx="203">
                  <c:v>115.61218035601323</c:v>
                </c:pt>
                <c:pt idx="204">
                  <c:v>115.49738219895274</c:v>
                </c:pt>
                <c:pt idx="205">
                  <c:v>114.91027966878003</c:v>
                </c:pt>
                <c:pt idx="206">
                  <c:v>115.85924624662678</c:v>
                </c:pt>
                <c:pt idx="207">
                  <c:v>115.59755700914299</c:v>
                </c:pt>
                <c:pt idx="208">
                  <c:v>115.76490174079822</c:v>
                </c:pt>
                <c:pt idx="209">
                  <c:v>116.29944735311211</c:v>
                </c:pt>
                <c:pt idx="210">
                  <c:v>116.47519344560749</c:v>
                </c:pt>
                <c:pt idx="211">
                  <c:v>116.29099105649661</c:v>
                </c:pt>
                <c:pt idx="212">
                  <c:v>115.9705605104777</c:v>
                </c:pt>
                <c:pt idx="213">
                  <c:v>116.16007553473491</c:v>
                </c:pt>
                <c:pt idx="214">
                  <c:v>117.35118774649163</c:v>
                </c:pt>
                <c:pt idx="215">
                  <c:v>117.67281021226486</c:v>
                </c:pt>
                <c:pt idx="216">
                  <c:v>117.48696099316813</c:v>
                </c:pt>
                <c:pt idx="217">
                  <c:v>118.487924136909</c:v>
                </c:pt>
                <c:pt idx="218">
                  <c:v>118.81360968724442</c:v>
                </c:pt>
                <c:pt idx="219">
                  <c:v>118.55160017048698</c:v>
                </c:pt>
                <c:pt idx="220">
                  <c:v>118.866592344853</c:v>
                </c:pt>
                <c:pt idx="221">
                  <c:v>119.02803877425697</c:v>
                </c:pt>
                <c:pt idx="222">
                  <c:v>119.092296809263</c:v>
                </c:pt>
                <c:pt idx="223">
                  <c:v>119.41685955349789</c:v>
                </c:pt>
                <c:pt idx="224">
                  <c:v>118.70117821690302</c:v>
                </c:pt>
                <c:pt idx="225">
                  <c:v>117.56036605534914</c:v>
                </c:pt>
                <c:pt idx="226">
                  <c:v>116.66849035270066</c:v>
                </c:pt>
                <c:pt idx="227">
                  <c:v>115.79842884552706</c:v>
                </c:pt>
                <c:pt idx="228">
                  <c:v>115.75023973656096</c:v>
                </c:pt>
                <c:pt idx="229">
                  <c:v>115.65816354202425</c:v>
                </c:pt>
                <c:pt idx="230">
                  <c:v>115.5933795894765</c:v>
                </c:pt>
                <c:pt idx="231">
                  <c:v>115.31625718766314</c:v>
                </c:pt>
                <c:pt idx="232">
                  <c:v>115.23939907050452</c:v>
                </c:pt>
                <c:pt idx="233">
                  <c:v>114.80923154229905</c:v>
                </c:pt>
                <c:pt idx="234">
                  <c:v>114.12516055373177</c:v>
                </c:pt>
                <c:pt idx="235">
                  <c:v>114.48051250849983</c:v>
                </c:pt>
                <c:pt idx="236">
                  <c:v>114.7639207807116</c:v>
                </c:pt>
                <c:pt idx="237">
                  <c:v>115.89492753623168</c:v>
                </c:pt>
                <c:pt idx="238">
                  <c:v>117.75511706670572</c:v>
                </c:pt>
                <c:pt idx="239">
                  <c:v>117.80499033238171</c:v>
                </c:pt>
                <c:pt idx="240">
                  <c:v>117.34257781690764</c:v>
                </c:pt>
                <c:pt idx="241">
                  <c:v>118.24701489778545</c:v>
                </c:pt>
                <c:pt idx="242">
                  <c:v>117.73561293409625</c:v>
                </c:pt>
                <c:pt idx="243">
                  <c:v>118.33669373485485</c:v>
                </c:pt>
                <c:pt idx="244">
                  <c:v>118.1749330377757</c:v>
                </c:pt>
                <c:pt idx="245">
                  <c:v>118.01796815909361</c:v>
                </c:pt>
                <c:pt idx="246">
                  <c:v>118.22734748941967</c:v>
                </c:pt>
                <c:pt idx="247">
                  <c:v>118.07460179767794</c:v>
                </c:pt>
                <c:pt idx="248">
                  <c:v>118.49011872349072</c:v>
                </c:pt>
                <c:pt idx="249">
                  <c:v>117.90051786734463</c:v>
                </c:pt>
                <c:pt idx="250">
                  <c:v>116.99707388441821</c:v>
                </c:pt>
                <c:pt idx="251">
                  <c:v>117.40071937165067</c:v>
                </c:pt>
                <c:pt idx="252">
                  <c:v>117.27159407537739</c:v>
                </c:pt>
                <c:pt idx="253">
                  <c:v>117.10844255693029</c:v>
                </c:pt>
                <c:pt idx="254">
                  <c:v>116.97568111172038</c:v>
                </c:pt>
                <c:pt idx="255">
                  <c:v>117.03774171712898</c:v>
                </c:pt>
                <c:pt idx="256">
                  <c:v>116.90941320516779</c:v>
                </c:pt>
                <c:pt idx="257">
                  <c:v>116.00841402821578</c:v>
                </c:pt>
                <c:pt idx="258">
                  <c:v>116.11790757614237</c:v>
                </c:pt>
                <c:pt idx="259">
                  <c:v>116.31424883183922</c:v>
                </c:pt>
                <c:pt idx="260">
                  <c:v>116.58344571199456</c:v>
                </c:pt>
                <c:pt idx="261">
                  <c:v>117.13846266525047</c:v>
                </c:pt>
                <c:pt idx="262">
                  <c:v>117.05273173052274</c:v>
                </c:pt>
                <c:pt idx="263">
                  <c:v>117.02275554254756</c:v>
                </c:pt>
                <c:pt idx="264">
                  <c:v>117.27804359383286</c:v>
                </c:pt>
                <c:pt idx="265">
                  <c:v>117.53876681119993</c:v>
                </c:pt>
                <c:pt idx="266">
                  <c:v>117.48696099316811</c:v>
                </c:pt>
                <c:pt idx="267">
                  <c:v>118.41774026358637</c:v>
                </c:pt>
                <c:pt idx="268">
                  <c:v>118.56917801871914</c:v>
                </c:pt>
                <c:pt idx="269">
                  <c:v>117.53660732330175</c:v>
                </c:pt>
                <c:pt idx="270">
                  <c:v>117.31030183005079</c:v>
                </c:pt>
                <c:pt idx="271">
                  <c:v>117.53876681119995</c:v>
                </c:pt>
                <c:pt idx="272">
                  <c:v>115.85504989224705</c:v>
                </c:pt>
                <c:pt idx="273">
                  <c:v>116.39043027381044</c:v>
                </c:pt>
                <c:pt idx="274">
                  <c:v>116.78989356846834</c:v>
                </c:pt>
                <c:pt idx="275">
                  <c:v>116.86242989971305</c:v>
                </c:pt>
                <c:pt idx="276">
                  <c:v>116.69615658233141</c:v>
                </c:pt>
                <c:pt idx="277">
                  <c:v>117.32536174739104</c:v>
                </c:pt>
                <c:pt idx="278">
                  <c:v>118.12038404726719</c:v>
                </c:pt>
                <c:pt idx="279">
                  <c:v>117.64251563074644</c:v>
                </c:pt>
                <c:pt idx="280">
                  <c:v>117.3705647084723</c:v>
                </c:pt>
                <c:pt idx="281">
                  <c:v>117.7204475195052</c:v>
                </c:pt>
                <c:pt idx="282">
                  <c:v>117.46538871139494</c:v>
                </c:pt>
                <c:pt idx="283">
                  <c:v>117.64251563074644</c:v>
                </c:pt>
                <c:pt idx="284">
                  <c:v>118.10293900457819</c:v>
                </c:pt>
                <c:pt idx="285">
                  <c:v>117.71611526147261</c:v>
                </c:pt>
                <c:pt idx="286">
                  <c:v>119.01032462096533</c:v>
                </c:pt>
                <c:pt idx="287">
                  <c:v>118.67695618298504</c:v>
                </c:pt>
                <c:pt idx="288">
                  <c:v>118.25794406344141</c:v>
                </c:pt>
                <c:pt idx="289">
                  <c:v>118.03756596184343</c:v>
                </c:pt>
                <c:pt idx="290">
                  <c:v>117.774627662512</c:v>
                </c:pt>
                <c:pt idx="291">
                  <c:v>116.23183139534866</c:v>
                </c:pt>
                <c:pt idx="292">
                  <c:v>115.58293736110842</c:v>
                </c:pt>
                <c:pt idx="293">
                  <c:v>115.72092686721035</c:v>
                </c:pt>
                <c:pt idx="294">
                  <c:v>113.94425149167317</c:v>
                </c:pt>
                <c:pt idx="295">
                  <c:v>112.3494081697164</c:v>
                </c:pt>
                <c:pt idx="296">
                  <c:v>112.41850738924894</c:v>
                </c:pt>
                <c:pt idx="297">
                  <c:v>113.31656511265395</c:v>
                </c:pt>
                <c:pt idx="298">
                  <c:v>114.53995309114983</c:v>
                </c:pt>
                <c:pt idx="299">
                  <c:v>116.55158592796354</c:v>
                </c:pt>
                <c:pt idx="300">
                  <c:v>118.05717027440978</c:v>
                </c:pt>
                <c:pt idx="301">
                  <c:v>118.61974338055312</c:v>
                </c:pt>
                <c:pt idx="302">
                  <c:v>118.52524316813323</c:v>
                </c:pt>
                <c:pt idx="303">
                  <c:v>118.92404357363256</c:v>
                </c:pt>
                <c:pt idx="304">
                  <c:v>118.87542738219101</c:v>
                </c:pt>
                <c:pt idx="305">
                  <c:v>118.86659234485303</c:v>
                </c:pt>
                <c:pt idx="306">
                  <c:v>118.45501509063622</c:v>
                </c:pt>
                <c:pt idx="307">
                  <c:v>118.70778594225472</c:v>
                </c:pt>
                <c:pt idx="308">
                  <c:v>118.12038404726718</c:v>
                </c:pt>
                <c:pt idx="309">
                  <c:v>117.87227770203026</c:v>
                </c:pt>
                <c:pt idx="310">
                  <c:v>118.64394206338883</c:v>
                </c:pt>
              </c:numCache>
            </c:numRef>
          </c:val>
          <c:smooth val="0"/>
          <c:extLst xmlns:c16r2="http://schemas.microsoft.com/office/drawing/2015/06/chart">
            <c:ext xmlns:c16="http://schemas.microsoft.com/office/drawing/2014/chart" uri="{C3380CC4-5D6E-409C-BE32-E72D297353CC}">
              <c16:uniqueId val="{00000002-F0B3-48D5-9F31-A27621577FEE}"/>
            </c:ext>
          </c:extLst>
        </c:ser>
        <c:dLbls>
          <c:showLegendKey val="0"/>
          <c:showVal val="0"/>
          <c:showCatName val="0"/>
          <c:showSerName val="0"/>
          <c:showPercent val="0"/>
          <c:showBubbleSize val="0"/>
        </c:dLbls>
        <c:marker val="1"/>
        <c:smooth val="0"/>
        <c:axId val="313468416"/>
        <c:axId val="313469952"/>
      </c:lineChart>
      <c:dateAx>
        <c:axId val="313468416"/>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13469952"/>
        <c:crosses val="autoZero"/>
        <c:auto val="1"/>
        <c:lblOffset val="100"/>
        <c:baseTimeUnit val="days"/>
      </c:dateAx>
      <c:valAx>
        <c:axId val="313469952"/>
        <c:scaling>
          <c:orientation val="minMax"/>
          <c:min val="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hy-AM" sz="700"/>
                  <a:t>Ինդեքս, 2021 </a:t>
                </a:r>
                <a:r>
                  <a:rPr lang="hy-AM" sz="700" b="0" i="0" u="none" strike="noStrike" kern="1200" baseline="0">
                    <a:solidFill>
                      <a:sysClr val="windowText" lastClr="000000">
                        <a:lumMod val="65000"/>
                        <a:lumOff val="35000"/>
                      </a:sysClr>
                    </a:solidFill>
                    <a:latin typeface="+mn-lt"/>
                    <a:ea typeface="+mn-ea"/>
                    <a:cs typeface="+mn-cs"/>
                  </a:rPr>
                  <a:t>թվական</a:t>
                </a:r>
                <a:r>
                  <a:rPr lang="hy-AM" sz="700"/>
                  <a:t> </a:t>
                </a:r>
                <a:r>
                  <a:rPr lang="en-US" sz="700"/>
                  <a:t>հունվար 8=100</a:t>
                </a:r>
              </a:p>
              <a:p>
                <a:pPr>
                  <a:defRPr sz="700" b="0" i="0" u="none" strike="noStrike" kern="1200" baseline="0">
                    <a:solidFill>
                      <a:schemeClr val="tx1">
                        <a:lumMod val="65000"/>
                        <a:lumOff val="35000"/>
                      </a:schemeClr>
                    </a:solidFill>
                    <a:latin typeface="+mn-lt"/>
                    <a:ea typeface="+mn-ea"/>
                    <a:cs typeface="+mn-cs"/>
                  </a:defRPr>
                </a:pPr>
                <a:endParaRPr lang="en-US" sz="700"/>
              </a:p>
            </c:rich>
          </c:tx>
          <c:layout>
            <c:manualLayout>
              <c:xMode val="edge"/>
              <c:yMode val="edge"/>
              <c:x val="7.7972709551656924E-3"/>
              <c:y val="6.2146892655367263E-2"/>
            </c:manualLayout>
          </c:layout>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468416"/>
        <c:crossesAt val="43838"/>
        <c:crossBetween val="between"/>
      </c:valAx>
      <c:spPr>
        <a:solidFill>
          <a:sysClr val="window" lastClr="FFFFFF"/>
        </a:solidFill>
        <a:ln>
          <a:noFill/>
        </a:ln>
        <a:effectLst/>
      </c:spPr>
    </c:plotArea>
    <c:legend>
      <c:legendPos val="b"/>
      <c:layout>
        <c:manualLayout>
          <c:xMode val="edge"/>
          <c:yMode val="edge"/>
          <c:x val="0"/>
          <c:y val="0.88503824118759367"/>
          <c:w val="1"/>
          <c:h val="0.1013520607221394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91089970058726"/>
          <c:y val="6.6066066066066062E-2"/>
          <c:w val="0.82107834761124066"/>
          <c:h val="0.64592895638934811"/>
        </c:manualLayout>
      </c:layout>
      <c:lineChart>
        <c:grouping val="standard"/>
        <c:varyColors val="0"/>
        <c:ser>
          <c:idx val="0"/>
          <c:order val="0"/>
          <c:tx>
            <c:strRef>
              <c:f>Sheet1!$B$1</c:f>
              <c:strCache>
                <c:ptCount val="1"/>
                <c:pt idx="0">
                  <c:v>Իրական</c:v>
                </c:pt>
              </c:strCache>
            </c:strRef>
          </c:tx>
          <c:spPr>
            <a:ln w="28575" cap="rnd">
              <a:solidFill>
                <a:srgbClr val="0070C0"/>
              </a:solidFill>
              <a:round/>
            </a:ln>
            <a:effectLst/>
          </c:spPr>
          <c:marker>
            <c:symbol val="none"/>
          </c:marker>
          <c:cat>
            <c:strRef>
              <c:f>Sheet1!$A$2:$A$63</c:f>
              <c:strCache>
                <c:ptCount val="26"/>
                <c:pt idx="0">
                  <c:v>20-M1</c:v>
                </c:pt>
                <c:pt idx="1">
                  <c:v>20-M2</c:v>
                </c:pt>
                <c:pt idx="2">
                  <c:v>20-M3</c:v>
                </c:pt>
                <c:pt idx="3">
                  <c:v>20-M4</c:v>
                </c:pt>
                <c:pt idx="4">
                  <c:v>20-M5</c:v>
                </c:pt>
                <c:pt idx="5">
                  <c:v>20-M6</c:v>
                </c:pt>
                <c:pt idx="6">
                  <c:v>20-M7</c:v>
                </c:pt>
                <c:pt idx="7">
                  <c:v>20-M8</c:v>
                </c:pt>
                <c:pt idx="8">
                  <c:v>20-M9</c:v>
                </c:pt>
                <c:pt idx="9">
                  <c:v>20-M10</c:v>
                </c:pt>
                <c:pt idx="10">
                  <c:v>20-M11</c:v>
                </c:pt>
                <c:pt idx="11">
                  <c:v>20-M12</c:v>
                </c:pt>
                <c:pt idx="12">
                  <c:v>21-M1</c:v>
                </c:pt>
                <c:pt idx="13">
                  <c:v>21-M2</c:v>
                </c:pt>
                <c:pt idx="14">
                  <c:v>21-M3</c:v>
                </c:pt>
                <c:pt idx="15">
                  <c:v>21-M4</c:v>
                </c:pt>
                <c:pt idx="16">
                  <c:v>21-M5</c:v>
                </c:pt>
                <c:pt idx="17">
                  <c:v>21-M6</c:v>
                </c:pt>
                <c:pt idx="18">
                  <c:v>21-M7</c:v>
                </c:pt>
                <c:pt idx="19">
                  <c:v>21-M8</c:v>
                </c:pt>
                <c:pt idx="20">
                  <c:v>21-M9</c:v>
                </c:pt>
                <c:pt idx="21">
                  <c:v>21-M10</c:v>
                </c:pt>
                <c:pt idx="22">
                  <c:v>21-M11</c:v>
                </c:pt>
                <c:pt idx="23">
                  <c:v>21-M12</c:v>
                </c:pt>
                <c:pt idx="24">
                  <c:v>22-M1</c:v>
                </c:pt>
                <c:pt idx="25">
                  <c:v>22-M2</c:v>
                </c:pt>
              </c:strCache>
            </c:strRef>
          </c:cat>
          <c:val>
            <c:numRef>
              <c:f>Sheet1!$B$2:$B$63</c:f>
              <c:numCache>
                <c:formatCode>0.0</c:formatCode>
                <c:ptCount val="26"/>
                <c:pt idx="0">
                  <c:v>-2.6246542068686409</c:v>
                </c:pt>
                <c:pt idx="1">
                  <c:v>-1.4553084915558543</c:v>
                </c:pt>
                <c:pt idx="2">
                  <c:v>-0.39762329711045652</c:v>
                </c:pt>
                <c:pt idx="3">
                  <c:v>0.76205314050565676</c:v>
                </c:pt>
                <c:pt idx="4">
                  <c:v>1.2758480875794191</c:v>
                </c:pt>
                <c:pt idx="5">
                  <c:v>1.5440919000124325</c:v>
                </c:pt>
                <c:pt idx="6">
                  <c:v>1.8000739889795625</c:v>
                </c:pt>
                <c:pt idx="7">
                  <c:v>1.872659176029984</c:v>
                </c:pt>
                <c:pt idx="8">
                  <c:v>2.0262389559304808</c:v>
                </c:pt>
                <c:pt idx="9">
                  <c:v>2.188254555710742</c:v>
                </c:pt>
                <c:pt idx="10">
                  <c:v>2.1130775254503078</c:v>
                </c:pt>
                <c:pt idx="11">
                  <c:v>1.7208775670906959</c:v>
                </c:pt>
                <c:pt idx="12">
                  <c:v>-2.9309866962305904</c:v>
                </c:pt>
                <c:pt idx="13">
                  <c:v>-3.9358450389806308</c:v>
                </c:pt>
                <c:pt idx="14">
                  <c:v>-4.6884569147367472</c:v>
                </c:pt>
                <c:pt idx="15">
                  <c:v>-5.3713382968353329</c:v>
                </c:pt>
                <c:pt idx="16">
                  <c:v>-6.1200523127018585</c:v>
                </c:pt>
                <c:pt idx="17">
                  <c:v>-6.0824489977530192</c:v>
                </c:pt>
                <c:pt idx="18">
                  <c:v>-5.1402450103761339</c:v>
                </c:pt>
                <c:pt idx="19">
                  <c:v>-4.3538477034649503</c:v>
                </c:pt>
                <c:pt idx="20">
                  <c:v>-3.8404925394323044</c:v>
                </c:pt>
                <c:pt idx="21">
                  <c:v>-3.2467619893906345</c:v>
                </c:pt>
                <c:pt idx="22">
                  <c:v>-2.3067767702671205</c:v>
                </c:pt>
                <c:pt idx="23">
                  <c:v>-1.4130910134041983</c:v>
                </c:pt>
                <c:pt idx="24">
                  <c:v>10.243414947533708</c:v>
                </c:pt>
                <c:pt idx="25">
                  <c:v>9.6242536913231334</c:v>
                </c:pt>
              </c:numCache>
            </c:numRef>
          </c:val>
          <c:smooth val="0"/>
          <c:extLst xmlns:c16r2="http://schemas.microsoft.com/office/drawing/2015/06/chart">
            <c:ext xmlns:c16="http://schemas.microsoft.com/office/drawing/2014/chart" uri="{C3380CC4-5D6E-409C-BE32-E72D297353CC}">
              <c16:uniqueId val="{00000000-9D1F-4F14-9469-2279187861F8}"/>
            </c:ext>
          </c:extLst>
        </c:ser>
        <c:ser>
          <c:idx val="1"/>
          <c:order val="1"/>
          <c:tx>
            <c:strRef>
              <c:f>Sheet1!$C$1</c:f>
              <c:strCache>
                <c:ptCount val="1"/>
                <c:pt idx="0">
                  <c:v>Անվանական</c:v>
                </c:pt>
              </c:strCache>
            </c:strRef>
          </c:tx>
          <c:spPr>
            <a:ln w="28575" cap="rnd">
              <a:solidFill>
                <a:srgbClr val="C00000"/>
              </a:solidFill>
              <a:round/>
            </a:ln>
            <a:effectLst/>
          </c:spPr>
          <c:marker>
            <c:symbol val="none"/>
          </c:marker>
          <c:cat>
            <c:strRef>
              <c:f>Sheet1!$A$2:$A$63</c:f>
              <c:strCache>
                <c:ptCount val="26"/>
                <c:pt idx="0">
                  <c:v>20-M1</c:v>
                </c:pt>
                <c:pt idx="1">
                  <c:v>20-M2</c:v>
                </c:pt>
                <c:pt idx="2">
                  <c:v>20-M3</c:v>
                </c:pt>
                <c:pt idx="3">
                  <c:v>20-M4</c:v>
                </c:pt>
                <c:pt idx="4">
                  <c:v>20-M5</c:v>
                </c:pt>
                <c:pt idx="5">
                  <c:v>20-M6</c:v>
                </c:pt>
                <c:pt idx="6">
                  <c:v>20-M7</c:v>
                </c:pt>
                <c:pt idx="7">
                  <c:v>20-M8</c:v>
                </c:pt>
                <c:pt idx="8">
                  <c:v>20-M9</c:v>
                </c:pt>
                <c:pt idx="9">
                  <c:v>20-M10</c:v>
                </c:pt>
                <c:pt idx="10">
                  <c:v>20-M11</c:v>
                </c:pt>
                <c:pt idx="11">
                  <c:v>20-M12</c:v>
                </c:pt>
                <c:pt idx="12">
                  <c:v>21-M1</c:v>
                </c:pt>
                <c:pt idx="13">
                  <c:v>21-M2</c:v>
                </c:pt>
                <c:pt idx="14">
                  <c:v>21-M3</c:v>
                </c:pt>
                <c:pt idx="15">
                  <c:v>21-M4</c:v>
                </c:pt>
                <c:pt idx="16">
                  <c:v>21-M5</c:v>
                </c:pt>
                <c:pt idx="17">
                  <c:v>21-M6</c:v>
                </c:pt>
                <c:pt idx="18">
                  <c:v>21-M7</c:v>
                </c:pt>
                <c:pt idx="19">
                  <c:v>21-M8</c:v>
                </c:pt>
                <c:pt idx="20">
                  <c:v>21-M9</c:v>
                </c:pt>
                <c:pt idx="21">
                  <c:v>21-M10</c:v>
                </c:pt>
                <c:pt idx="22">
                  <c:v>21-M11</c:v>
                </c:pt>
                <c:pt idx="23">
                  <c:v>21-M12</c:v>
                </c:pt>
                <c:pt idx="24">
                  <c:v>22-M1</c:v>
                </c:pt>
                <c:pt idx="25">
                  <c:v>22-M2</c:v>
                </c:pt>
              </c:strCache>
            </c:strRef>
          </c:cat>
          <c:val>
            <c:numRef>
              <c:f>Sheet1!$C$2:$C$63</c:f>
              <c:numCache>
                <c:formatCode>0.0</c:formatCode>
                <c:ptCount val="26"/>
                <c:pt idx="0">
                  <c:v>1.3423724240277863</c:v>
                </c:pt>
                <c:pt idx="1">
                  <c:v>2.8146367883013994</c:v>
                </c:pt>
                <c:pt idx="2">
                  <c:v>3.7042048645174361</c:v>
                </c:pt>
                <c:pt idx="3">
                  <c:v>4.4462422679543607</c:v>
                </c:pt>
                <c:pt idx="4">
                  <c:v>4.5995656487116889</c:v>
                </c:pt>
                <c:pt idx="5">
                  <c:v>4.5979060917240986</c:v>
                </c:pt>
                <c:pt idx="6">
                  <c:v>4.7121392797519661</c:v>
                </c:pt>
                <c:pt idx="7">
                  <c:v>4.6430460514533394</c:v>
                </c:pt>
                <c:pt idx="8">
                  <c:v>4.7383066706577495</c:v>
                </c:pt>
                <c:pt idx="9">
                  <c:v>4.8867596687010035</c:v>
                </c:pt>
                <c:pt idx="10">
                  <c:v>4.7942765719805465</c:v>
                </c:pt>
                <c:pt idx="11">
                  <c:v>4.2212336990500035</c:v>
                </c:pt>
                <c:pt idx="12">
                  <c:v>-2.6458548274370344</c:v>
                </c:pt>
                <c:pt idx="13">
                  <c:v>-3.812533952293947</c:v>
                </c:pt>
                <c:pt idx="14">
                  <c:v>-4.579853862212957</c:v>
                </c:pt>
                <c:pt idx="15">
                  <c:v>-5.280059384530972</c:v>
                </c:pt>
                <c:pt idx="16">
                  <c:v>-5.9339955142582568</c:v>
                </c:pt>
                <c:pt idx="17">
                  <c:v>-5.8889332800639238</c:v>
                </c:pt>
                <c:pt idx="18">
                  <c:v>-5.1113975830072604</c:v>
                </c:pt>
                <c:pt idx="19">
                  <c:v>-4.4923561884823329</c:v>
                </c:pt>
                <c:pt idx="20">
                  <c:v>-4.0853841404251483</c:v>
                </c:pt>
                <c:pt idx="21">
                  <c:v>-3.5536226742602253</c:v>
                </c:pt>
                <c:pt idx="22">
                  <c:v>-2.677789556159837</c:v>
                </c:pt>
                <c:pt idx="23">
                  <c:v>-1.6342792528553929</c:v>
                </c:pt>
                <c:pt idx="24">
                  <c:v>13.130726104198004</c:v>
                </c:pt>
                <c:pt idx="25">
                  <c:v>13.118036658623012</c:v>
                </c:pt>
              </c:numCache>
            </c:numRef>
          </c:val>
          <c:smooth val="0"/>
          <c:extLst xmlns:c16r2="http://schemas.microsoft.com/office/drawing/2015/06/chart">
            <c:ext xmlns:c16="http://schemas.microsoft.com/office/drawing/2014/chart" uri="{C3380CC4-5D6E-409C-BE32-E72D297353CC}">
              <c16:uniqueId val="{00000001-9D1F-4F14-9469-2279187861F8}"/>
            </c:ext>
          </c:extLst>
        </c:ser>
        <c:dLbls>
          <c:showLegendKey val="0"/>
          <c:showVal val="0"/>
          <c:showCatName val="0"/>
          <c:showSerName val="0"/>
          <c:showPercent val="0"/>
          <c:showBubbleSize val="0"/>
        </c:dLbls>
        <c:marker val="1"/>
        <c:smooth val="0"/>
        <c:axId val="314095104"/>
        <c:axId val="314096640"/>
      </c:lineChart>
      <c:catAx>
        <c:axId val="3140951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14096640"/>
        <c:crosses val="autoZero"/>
        <c:auto val="1"/>
        <c:lblAlgn val="ctr"/>
        <c:lblOffset val="100"/>
        <c:noMultiLvlLbl val="0"/>
      </c:catAx>
      <c:valAx>
        <c:axId val="314096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hy-AM" sz="700" b="0" i="0" u="none" strike="noStrike" kern="1200" baseline="0">
                    <a:solidFill>
                      <a:sysClr val="windowText" lastClr="000000">
                        <a:lumMod val="65000"/>
                        <a:lumOff val="35000"/>
                      </a:sysClr>
                    </a:solidFill>
                    <a:latin typeface="+mn-lt"/>
                    <a:ea typeface="+mn-ea"/>
                    <a:cs typeface="+mn-cs"/>
                  </a:rPr>
                  <a:t>տոկոս</a:t>
                </a:r>
                <a:endParaRPr lang="en-US" sz="700"/>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095104"/>
        <c:crosses val="autoZero"/>
        <c:crossBetween val="between"/>
      </c:valAx>
      <c:spPr>
        <a:solidFill>
          <a:sysClr val="window" lastClr="FFFFFF"/>
        </a:soli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a:pPr>
            <a:r>
              <a:rPr lang="en-US"/>
              <a:t>Վարկերի</a:t>
            </a:r>
            <a:r>
              <a:rPr lang="hy-AM"/>
              <a:t> </a:t>
            </a:r>
            <a:r>
              <a:rPr lang="en-US"/>
              <a:t>ծավալների աճ</a:t>
            </a:r>
            <a:r>
              <a:rPr lang="hy-AM"/>
              <a:t> </a:t>
            </a:r>
            <a:r>
              <a:rPr lang="ru-RU"/>
              <a:t>(</a:t>
            </a:r>
            <a:r>
              <a:rPr lang="hy-AM"/>
              <a:t>ռեզիդենտների</a:t>
            </a:r>
            <a:r>
              <a:rPr lang="ru-RU"/>
              <a:t>)</a:t>
            </a:r>
            <a:r>
              <a:rPr lang="en-US"/>
              <a:t>, 2021</a:t>
            </a:r>
            <a:r>
              <a:rPr lang="hy-AM"/>
              <a:t>-</a:t>
            </a:r>
            <a:r>
              <a:rPr lang="en-US"/>
              <a:t>20</a:t>
            </a:r>
            <a:r>
              <a:rPr lang="hy-AM"/>
              <a:t>2</a:t>
            </a:r>
            <a:r>
              <a:rPr lang="en-US"/>
              <a:t>2թ</a:t>
            </a:r>
            <a:r>
              <a:rPr lang="en-US" sz="1080" b="1" i="0" u="none" strike="noStrike" kern="1200" baseline="0">
                <a:solidFill>
                  <a:sysClr val="windowText" lastClr="000000"/>
                </a:solidFill>
                <a:latin typeface="GHEA Grapalat" panose="02000506050000020003" pitchFamily="50" charset="0"/>
                <a:ea typeface="+mn-ea"/>
                <a:cs typeface="+mn-cs"/>
              </a:rPr>
              <a:t>թ.</a:t>
            </a:r>
            <a:endParaRPr lang="en-US"/>
          </a:p>
        </c:rich>
      </c:tx>
      <c:layout>
        <c:manualLayout>
          <c:xMode val="edge"/>
          <c:yMode val="edge"/>
          <c:x val="0.14779301412388723"/>
          <c:y val="2.4446944131983504E-3"/>
        </c:manualLayout>
      </c:layout>
      <c:overlay val="0"/>
    </c:title>
    <c:autoTitleDeleted val="0"/>
    <c:plotArea>
      <c:layout>
        <c:manualLayout>
          <c:layoutTarget val="inner"/>
          <c:xMode val="edge"/>
          <c:yMode val="edge"/>
          <c:x val="0.13587542745146414"/>
          <c:y val="0.20323084614423198"/>
          <c:w val="0.85020387464621749"/>
          <c:h val="0.58980825578620855"/>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xmlns:c16r2="http://schemas.microsoft.com/office/drawing/2015/06/chart">
            <c:ext xmlns:c16="http://schemas.microsoft.com/office/drawing/2014/chart" uri="{C3380CC4-5D6E-409C-BE32-E72D297353CC}">
              <c16:uniqueId val="{00000000-BDC3-4455-BFC3-F55FC107DC0B}"/>
            </c:ext>
          </c:extLst>
        </c:ser>
        <c:ser>
          <c:idx val="1"/>
          <c:order val="1"/>
          <c:tx>
            <c:strRef>
              <c:f>Sheet1!$C$1</c:f>
              <c:strCache>
                <c:ptCount val="1"/>
                <c:pt idx="0">
                  <c:v>2020</c:v>
                </c:pt>
              </c:strCache>
            </c:strRef>
          </c:tx>
          <c:marker>
            <c:spPr>
              <a:ln>
                <a:prstDash val="dash"/>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Ref>
          </c:val>
          <c:smooth val="0"/>
          <c:extLst xmlns:c16r2="http://schemas.microsoft.com/office/drawing/2015/06/chart">
            <c:ext xmlns:c16="http://schemas.microsoft.com/office/drawing/2014/chart" uri="{C3380CC4-5D6E-409C-BE32-E72D297353CC}">
              <c16:uniqueId val="{00000001-BDC3-4455-BFC3-F55FC107DC0B}"/>
            </c:ext>
          </c:extLst>
        </c:ser>
        <c:ser>
          <c:idx val="2"/>
          <c:order val="2"/>
          <c:tx>
            <c:strRef>
              <c:f>Sheet1!$D$1</c:f>
              <c:strCache>
                <c:ptCount val="1"/>
                <c:pt idx="0">
                  <c:v>2021</c:v>
                </c:pt>
              </c:strCache>
            </c:strRef>
          </c:tx>
          <c:dLbls>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Cache>
                <c:formatCode>0.0</c:formatCode>
                <c:ptCount val="12"/>
                <c:pt idx="0">
                  <c:v>13.304601379217232</c:v>
                </c:pt>
                <c:pt idx="1">
                  <c:v>11.392753116399291</c:v>
                </c:pt>
                <c:pt idx="2">
                  <c:v>8.2007149309115874</c:v>
                </c:pt>
                <c:pt idx="3">
                  <c:v>10.217866240787615</c:v>
                </c:pt>
                <c:pt idx="4">
                  <c:v>6.5547417559048853</c:v>
                </c:pt>
                <c:pt idx="5">
                  <c:v>2.1596102835680568</c:v>
                </c:pt>
                <c:pt idx="6" formatCode="General">
                  <c:v>-1.4</c:v>
                </c:pt>
                <c:pt idx="7" formatCode="General">
                  <c:v>-1.9</c:v>
                </c:pt>
                <c:pt idx="8" formatCode="General">
                  <c:v>-3.4</c:v>
                </c:pt>
                <c:pt idx="9">
                  <c:v>-4.9597252132566041</c:v>
                </c:pt>
                <c:pt idx="10">
                  <c:v>-3.1136997457549995</c:v>
                </c:pt>
                <c:pt idx="11">
                  <c:v>-4.3084902726498768</c:v>
                </c:pt>
              </c:numCache>
            </c:numRef>
          </c:val>
          <c:smooth val="0"/>
          <c:extLst xmlns:c16r2="http://schemas.microsoft.com/office/drawing/2015/06/chart">
            <c:ext xmlns:c16="http://schemas.microsoft.com/office/drawing/2014/chart" uri="{C3380CC4-5D6E-409C-BE32-E72D297353CC}">
              <c16:uniqueId val="{00000002-BDC3-4455-BFC3-F55FC107DC0B}"/>
            </c:ext>
          </c:extLst>
        </c:ser>
        <c:ser>
          <c:idx val="3"/>
          <c:order val="3"/>
          <c:tx>
            <c:strRef>
              <c:f>Sheet1!$E$1</c:f>
              <c:strCache>
                <c:ptCount val="1"/>
                <c:pt idx="0">
                  <c:v>2022</c:v>
                </c:pt>
              </c:strCache>
            </c:strRef>
          </c:tx>
          <c:spPr>
            <a:ln>
              <a:solidFill>
                <a:srgbClr val="5B9BD5"/>
              </a:solidFill>
            </a:ln>
          </c:spPr>
          <c:marker>
            <c:symbol val="square"/>
            <c:size val="7"/>
            <c:spPr>
              <a:solidFill>
                <a:srgbClr val="5B9BD5"/>
              </a:solidFill>
              <a:ln>
                <a:noFill/>
              </a:ln>
            </c:spPr>
          </c:marker>
          <c:dLbls>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Sheet1!$E$2:$E$13</c:f>
              <c:numCache>
                <c:formatCode>0.0</c:formatCode>
                <c:ptCount val="12"/>
                <c:pt idx="0">
                  <c:v>-1.1901198543983469</c:v>
                </c:pt>
                <c:pt idx="1">
                  <c:v>-0.15949466952658042</c:v>
                </c:pt>
                <c:pt idx="2">
                  <c:v>-0.41329430125270505</c:v>
                </c:pt>
              </c:numCache>
            </c:numRef>
          </c:val>
          <c:smooth val="0"/>
          <c:extLst xmlns:c16r2="http://schemas.microsoft.com/office/drawing/2015/06/chart">
            <c:ext xmlns:c16="http://schemas.microsoft.com/office/drawing/2014/chart" uri="{C3380CC4-5D6E-409C-BE32-E72D297353CC}">
              <c16:uniqueId val="{00000000-2E07-4ACD-A02C-02CDAEC0622E}"/>
            </c:ext>
          </c:extLst>
        </c:ser>
        <c:dLbls>
          <c:showLegendKey val="0"/>
          <c:showVal val="0"/>
          <c:showCatName val="0"/>
          <c:showSerName val="0"/>
          <c:showPercent val="0"/>
          <c:showBubbleSize val="0"/>
        </c:dLbls>
        <c:marker val="1"/>
        <c:smooth val="0"/>
        <c:axId val="314462208"/>
        <c:axId val="314463744"/>
      </c:lineChart>
      <c:catAx>
        <c:axId val="314462208"/>
        <c:scaling>
          <c:orientation val="minMax"/>
        </c:scaling>
        <c:delete val="0"/>
        <c:axPos val="b"/>
        <c:numFmt formatCode="General" sourceLinked="1"/>
        <c:majorTickMark val="out"/>
        <c:minorTickMark val="none"/>
        <c:tickLblPos val="low"/>
        <c:crossAx val="314463744"/>
        <c:crosses val="autoZero"/>
        <c:auto val="1"/>
        <c:lblAlgn val="ctr"/>
        <c:lblOffset val="400"/>
        <c:noMultiLvlLbl val="0"/>
      </c:catAx>
      <c:valAx>
        <c:axId val="314463744"/>
        <c:scaling>
          <c:orientation val="minMax"/>
          <c:min val="-10"/>
        </c:scaling>
        <c:delete val="0"/>
        <c:axPos val="l"/>
        <c:majorGridlines>
          <c:spPr>
            <a:ln w="6350"/>
          </c:spPr>
        </c:majorGridlines>
        <c:numFmt formatCode="0.0" sourceLinked="1"/>
        <c:majorTickMark val="out"/>
        <c:minorTickMark val="none"/>
        <c:tickLblPos val="nextTo"/>
        <c:crossAx val="314462208"/>
        <c:crosses val="autoZero"/>
        <c:crossBetween val="between"/>
      </c:valAx>
    </c:plotArea>
    <c:legend>
      <c:legendPos val="r"/>
      <c:layout>
        <c:manualLayout>
          <c:xMode val="edge"/>
          <c:yMode val="edge"/>
          <c:x val="0.12427853297998867"/>
          <c:y val="0.92452742187713688"/>
          <c:w val="0.82749482401656316"/>
          <c:h val="7.5472584108804586E-2"/>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a:pPr>
            <a:r>
              <a:rPr lang="en-US"/>
              <a:t>Ավանդների ծավալների աճ</a:t>
            </a:r>
            <a:r>
              <a:rPr lang="hy-AM"/>
              <a:t> </a:t>
            </a:r>
            <a:r>
              <a:rPr lang="ru-RU"/>
              <a:t>(</a:t>
            </a:r>
            <a:r>
              <a:rPr lang="hy-AM"/>
              <a:t>ռեզիդենտների</a:t>
            </a:r>
            <a:r>
              <a:rPr lang="ru-RU"/>
              <a:t>)</a:t>
            </a:r>
            <a:r>
              <a:rPr lang="en-US"/>
              <a:t>, 20</a:t>
            </a:r>
            <a:r>
              <a:rPr lang="hy-AM"/>
              <a:t>2</a:t>
            </a:r>
            <a:r>
              <a:rPr lang="en-US"/>
              <a:t>1</a:t>
            </a:r>
            <a:r>
              <a:rPr lang="hy-AM"/>
              <a:t>-</a:t>
            </a:r>
            <a:r>
              <a:rPr lang="en-US"/>
              <a:t>20</a:t>
            </a:r>
            <a:r>
              <a:rPr lang="hy-AM"/>
              <a:t>2</a:t>
            </a:r>
            <a:r>
              <a:rPr lang="en-US"/>
              <a:t>2թ</a:t>
            </a:r>
            <a:r>
              <a:rPr lang="en-US" sz="1080" b="1" i="0" u="none" strike="noStrike" kern="1200" baseline="0">
                <a:solidFill>
                  <a:sysClr val="windowText" lastClr="000000"/>
                </a:solidFill>
                <a:latin typeface="GHEA Grapalat" panose="02000506050000020003" pitchFamily="50" charset="0"/>
                <a:ea typeface="+mn-ea"/>
                <a:cs typeface="+mn-cs"/>
              </a:rPr>
              <a:t>թ.</a:t>
            </a:r>
            <a:r>
              <a:rPr lang="en-US"/>
              <a:t> </a:t>
            </a:r>
          </a:p>
        </c:rich>
      </c:tx>
      <c:layout>
        <c:manualLayout>
          <c:xMode val="edge"/>
          <c:yMode val="edge"/>
          <c:x val="0.15555852733082276"/>
          <c:y val="1.9266770264521785E-2"/>
        </c:manualLayout>
      </c:layout>
      <c:overlay val="0"/>
    </c:title>
    <c:autoTitleDeleted val="0"/>
    <c:plotArea>
      <c:layout>
        <c:manualLayout>
          <c:layoutTarget val="inner"/>
          <c:xMode val="edge"/>
          <c:yMode val="edge"/>
          <c:x val="4.3464888974767725E-2"/>
          <c:y val="0.2138511852685081"/>
          <c:w val="0.83504548144718005"/>
          <c:h val="0.56539801137996437"/>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xmlns:c16r2="http://schemas.microsoft.com/office/drawing/2015/06/chart">
            <c:ext xmlns:c16="http://schemas.microsoft.com/office/drawing/2014/chart" uri="{C3380CC4-5D6E-409C-BE32-E72D297353CC}">
              <c16:uniqueId val="{00000000-9DD5-47E9-8E89-C332E895C9B4}"/>
            </c:ext>
          </c:extLst>
        </c:ser>
        <c:ser>
          <c:idx val="1"/>
          <c:order val="1"/>
          <c:tx>
            <c:strRef>
              <c:f>Sheet1!$C$1</c:f>
              <c:strCache>
                <c:ptCount val="1"/>
                <c:pt idx="0">
                  <c:v>2020</c:v>
                </c:pt>
              </c:strCache>
            </c:strRef>
          </c:tx>
          <c:marker>
            <c:spPr>
              <a:ln>
                <a:prstDash val="dash"/>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Ref>
          </c:val>
          <c:smooth val="0"/>
          <c:extLst xmlns:c16r2="http://schemas.microsoft.com/office/drawing/2015/06/chart">
            <c:ext xmlns:c16="http://schemas.microsoft.com/office/drawing/2014/chart" uri="{C3380CC4-5D6E-409C-BE32-E72D297353CC}">
              <c16:uniqueId val="{00000001-9DD5-47E9-8E89-C332E895C9B4}"/>
            </c:ext>
          </c:extLst>
        </c:ser>
        <c:ser>
          <c:idx val="2"/>
          <c:order val="2"/>
          <c:tx>
            <c:strRef>
              <c:f>Sheet1!$D$1</c:f>
              <c:strCache>
                <c:ptCount val="1"/>
                <c:pt idx="0">
                  <c:v>2021</c:v>
                </c:pt>
              </c:strCache>
            </c:strRef>
          </c:tx>
          <c:dLbls>
            <c:spPr>
              <a:noFill/>
              <a:ln>
                <a:noFill/>
              </a:ln>
              <a:effectLst/>
            </c:spPr>
            <c:txPr>
              <a:bodyPr wrap="square" lIns="38100" tIns="19050" rIns="38100" bIns="19050" anchor="ctr">
                <a:spAutoFit/>
              </a:bodyPr>
              <a:lstStyle/>
              <a:p>
                <a:pPr>
                  <a:defRPr sz="800"/>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Cache>
                <c:formatCode>0.0</c:formatCode>
                <c:ptCount val="12"/>
                <c:pt idx="0">
                  <c:v>6.0633604301782071</c:v>
                </c:pt>
                <c:pt idx="1">
                  <c:v>7.5739206400768921</c:v>
                </c:pt>
                <c:pt idx="2">
                  <c:v>9.9616471644381477</c:v>
                </c:pt>
                <c:pt idx="3" formatCode="General">
                  <c:v>12.4</c:v>
                </c:pt>
                <c:pt idx="4" formatCode="General">
                  <c:v>11.5</c:v>
                </c:pt>
                <c:pt idx="5" formatCode="General">
                  <c:v>11.6</c:v>
                </c:pt>
                <c:pt idx="6">
                  <c:v>11.060265540434486</c:v>
                </c:pt>
                <c:pt idx="7">
                  <c:v>12.08276957156491</c:v>
                </c:pt>
                <c:pt idx="8">
                  <c:v>12.456540660659215</c:v>
                </c:pt>
                <c:pt idx="9">
                  <c:v>18.032299692489872</c:v>
                </c:pt>
                <c:pt idx="10">
                  <c:v>18.278921266842033</c:v>
                </c:pt>
                <c:pt idx="11">
                  <c:v>17.5660097871734</c:v>
                </c:pt>
              </c:numCache>
            </c:numRef>
          </c:val>
          <c:smooth val="0"/>
          <c:extLst xmlns:c16r2="http://schemas.microsoft.com/office/drawing/2015/06/chart">
            <c:ext xmlns:c16="http://schemas.microsoft.com/office/drawing/2014/chart" uri="{C3380CC4-5D6E-409C-BE32-E72D297353CC}">
              <c16:uniqueId val="{00000002-9DD5-47E9-8E89-C332E895C9B4}"/>
            </c:ext>
          </c:extLst>
        </c:ser>
        <c:ser>
          <c:idx val="3"/>
          <c:order val="3"/>
          <c:tx>
            <c:strRef>
              <c:f>Sheet1!$E$1</c:f>
              <c:strCache>
                <c:ptCount val="1"/>
                <c:pt idx="0">
                  <c:v>2022</c:v>
                </c:pt>
              </c:strCache>
            </c:strRef>
          </c:tx>
          <c:spPr>
            <a:ln>
              <a:solidFill>
                <a:srgbClr val="5B9BD5"/>
              </a:solidFill>
            </a:ln>
          </c:spPr>
          <c:marker>
            <c:symbol val="square"/>
            <c:size val="7"/>
            <c:spPr>
              <a:solidFill>
                <a:srgbClr val="5B9BD5"/>
              </a:solidFill>
              <a:ln>
                <a:noFill/>
              </a:ln>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Sheet1!$E$2:$E$13</c:f>
              <c:numCache>
                <c:formatCode>0.0</c:formatCode>
                <c:ptCount val="12"/>
                <c:pt idx="0">
                  <c:v>19.065893188817881</c:v>
                </c:pt>
                <c:pt idx="1">
                  <c:v>16.575865297662233</c:v>
                </c:pt>
                <c:pt idx="2">
                  <c:v>13.039110302972887</c:v>
                </c:pt>
              </c:numCache>
            </c:numRef>
          </c:val>
          <c:smooth val="0"/>
          <c:extLst xmlns:c16r2="http://schemas.microsoft.com/office/drawing/2015/06/chart">
            <c:ext xmlns:c16="http://schemas.microsoft.com/office/drawing/2014/chart" uri="{C3380CC4-5D6E-409C-BE32-E72D297353CC}">
              <c16:uniqueId val="{00000000-1681-4F50-B81A-68A40D519F77}"/>
            </c:ext>
          </c:extLst>
        </c:ser>
        <c:dLbls>
          <c:showLegendKey val="0"/>
          <c:showVal val="0"/>
          <c:showCatName val="0"/>
          <c:showSerName val="0"/>
          <c:showPercent val="0"/>
          <c:showBubbleSize val="0"/>
        </c:dLbls>
        <c:marker val="1"/>
        <c:smooth val="0"/>
        <c:axId val="314562816"/>
        <c:axId val="314568704"/>
      </c:lineChart>
      <c:catAx>
        <c:axId val="314562816"/>
        <c:scaling>
          <c:orientation val="minMax"/>
        </c:scaling>
        <c:delete val="0"/>
        <c:axPos val="b"/>
        <c:numFmt formatCode="General" sourceLinked="1"/>
        <c:majorTickMark val="out"/>
        <c:minorTickMark val="none"/>
        <c:tickLblPos val="nextTo"/>
        <c:txPr>
          <a:bodyPr rot="0" vert="horz"/>
          <a:lstStyle/>
          <a:p>
            <a:pPr>
              <a:defRPr/>
            </a:pPr>
            <a:endParaRPr lang="en-US"/>
          </a:p>
        </c:txPr>
        <c:crossAx val="314568704"/>
        <c:crosses val="autoZero"/>
        <c:auto val="1"/>
        <c:lblAlgn val="ctr"/>
        <c:lblOffset val="100"/>
        <c:noMultiLvlLbl val="0"/>
      </c:catAx>
      <c:valAx>
        <c:axId val="314568704"/>
        <c:scaling>
          <c:orientation val="minMax"/>
        </c:scaling>
        <c:delete val="0"/>
        <c:axPos val="l"/>
        <c:majorGridlines>
          <c:spPr>
            <a:ln w="6350"/>
          </c:spPr>
        </c:majorGridlines>
        <c:numFmt formatCode="0.0" sourceLinked="1"/>
        <c:majorTickMark val="out"/>
        <c:minorTickMark val="none"/>
        <c:tickLblPos val="nextTo"/>
        <c:crossAx val="314562816"/>
        <c:crosses val="autoZero"/>
        <c:crossBetween val="between"/>
      </c:valAx>
    </c:plotArea>
    <c:legend>
      <c:legendPos val="r"/>
      <c:layout>
        <c:manualLayout>
          <c:xMode val="edge"/>
          <c:yMode val="edge"/>
          <c:x val="0.10231869793449731"/>
          <c:y val="0.92381713288283951"/>
          <c:w val="0.752"/>
          <c:h val="7.6182922390175684E-2"/>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Sheet1!$A$3</c:f>
              <c:strCache>
                <c:ptCount val="1"/>
                <c:pt idx="0">
                  <c:v>2021 12 ամսյա աճը, %</c:v>
                </c:pt>
              </c:strCache>
            </c:strRef>
          </c:tx>
          <c:spPr>
            <a:solidFill>
              <a:schemeClr val="accent5"/>
            </a:solidFill>
            <a:ln>
              <a:noFill/>
            </a:ln>
            <a:effectLst/>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0.0</c:formatCode>
                <c:ptCount val="12"/>
                <c:pt idx="0">
                  <c:v>-11.039004584606957</c:v>
                </c:pt>
                <c:pt idx="1">
                  <c:v>-4.746899929603174</c:v>
                </c:pt>
                <c:pt idx="2">
                  <c:v>3.5062037626851605</c:v>
                </c:pt>
                <c:pt idx="3">
                  <c:v>18.722391257124286</c:v>
                </c:pt>
                <c:pt idx="4">
                  <c:v>27.069225793826405</c:v>
                </c:pt>
                <c:pt idx="5">
                  <c:v>36.427850931769797</c:v>
                </c:pt>
                <c:pt idx="6">
                  <c:v>11.696511338862422</c:v>
                </c:pt>
                <c:pt idx="7">
                  <c:v>13.961880283607826</c:v>
                </c:pt>
                <c:pt idx="8">
                  <c:v>18.699218798324523</c:v>
                </c:pt>
                <c:pt idx="9">
                  <c:v>19.987566472725064</c:v>
                </c:pt>
                <c:pt idx="10">
                  <c:v>20.396637182002152</c:v>
                </c:pt>
                <c:pt idx="11">
                  <c:v>24.996776349682847</c:v>
                </c:pt>
              </c:numCache>
            </c:numRef>
          </c:val>
          <c:extLst xmlns:c16r2="http://schemas.microsoft.com/office/drawing/2015/06/chart">
            <c:ext xmlns:c16="http://schemas.microsoft.com/office/drawing/2014/chart" uri="{C3380CC4-5D6E-409C-BE32-E72D297353CC}">
              <c16:uniqueId val="{00000001-6856-4467-83AD-2D867C0FB34A}"/>
            </c:ext>
          </c:extLst>
        </c:ser>
        <c:ser>
          <c:idx val="3"/>
          <c:order val="3"/>
          <c:tx>
            <c:strRef>
              <c:f>Sheet1!$A$5</c:f>
              <c:strCache>
                <c:ptCount val="1"/>
                <c:pt idx="0">
                  <c:v>2022 12 ամսյա աճը, %</c:v>
                </c:pt>
              </c:strCache>
            </c:strRef>
          </c:tx>
          <c:spPr>
            <a:solidFill>
              <a:schemeClr val="accent6">
                <a:lumMod val="60000"/>
              </a:schemeClr>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5F4-4390-9575-FFAE4839CF00}"/>
                </c:ext>
              </c:extLst>
            </c:dLbl>
            <c:dLbl>
              <c:idx val="1"/>
              <c:layout>
                <c:manualLayout>
                  <c:x val="-2.116402116402097E-3"/>
                  <c:y val="0.3616488563929508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5F4-4390-9575-FFAE4839CF00}"/>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Sheet1!$B$5:$M$5</c:f>
              <c:numCache>
                <c:formatCode>0.0</c:formatCode>
                <c:ptCount val="12"/>
                <c:pt idx="0">
                  <c:v>10.465495021027209</c:v>
                </c:pt>
                <c:pt idx="1">
                  <c:v>36.036816259051363</c:v>
                </c:pt>
                <c:pt idx="2">
                  <c:v>20.407827685047209</c:v>
                </c:pt>
              </c:numCache>
            </c:numRef>
          </c:val>
          <c:extLst xmlns:c16r2="http://schemas.microsoft.com/office/drawing/2015/06/chart">
            <c:ext xmlns:c16="http://schemas.microsoft.com/office/drawing/2014/chart" uri="{C3380CC4-5D6E-409C-BE32-E72D297353CC}">
              <c16:uniqueId val="{00000004-6856-4467-83AD-2D867C0FB34A}"/>
            </c:ext>
          </c:extLst>
        </c:ser>
        <c:dLbls>
          <c:showLegendKey val="0"/>
          <c:showVal val="0"/>
          <c:showCatName val="0"/>
          <c:showSerName val="0"/>
          <c:showPercent val="0"/>
          <c:showBubbleSize val="0"/>
        </c:dLbls>
        <c:gapWidth val="128"/>
        <c:axId val="314444416"/>
        <c:axId val="314753408"/>
      </c:barChart>
      <c:lineChart>
        <c:grouping val="standard"/>
        <c:varyColors val="0"/>
        <c:ser>
          <c:idx val="0"/>
          <c:order val="0"/>
          <c:tx>
            <c:strRef>
              <c:f>Sheet1!$A$2</c:f>
              <c:strCache>
                <c:ptCount val="1"/>
                <c:pt idx="0">
                  <c:v>2021 աճի տեմպը,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0.0</c:formatCode>
                <c:ptCount val="12"/>
                <c:pt idx="0">
                  <c:v>-11.039004584606957</c:v>
                </c:pt>
                <c:pt idx="1">
                  <c:v>-8.7254904299668539</c:v>
                </c:pt>
                <c:pt idx="2">
                  <c:v>-4.6241859555737079</c:v>
                </c:pt>
                <c:pt idx="3">
                  <c:v>2.447882635918802</c:v>
                </c:pt>
                <c:pt idx="4">
                  <c:v>5.9468334154336446</c:v>
                </c:pt>
                <c:pt idx="5">
                  <c:v>10.276866846877368</c:v>
                </c:pt>
                <c:pt idx="6">
                  <c:v>10.473631807306077</c:v>
                </c:pt>
                <c:pt idx="7">
                  <c:v>10.857868136693853</c:v>
                </c:pt>
                <c:pt idx="8">
                  <c:v>11.854661163811443</c:v>
                </c:pt>
                <c:pt idx="9">
                  <c:v>12.700907835308442</c:v>
                </c:pt>
                <c:pt idx="10">
                  <c:v>13.376380238254029</c:v>
                </c:pt>
                <c:pt idx="11">
                  <c:v>14.560636925162939</c:v>
                </c:pt>
              </c:numCache>
            </c:numRef>
          </c:val>
          <c:smooth val="0"/>
          <c:extLst xmlns:c16r2="http://schemas.microsoft.com/office/drawing/2015/06/chart">
            <c:ext xmlns:c16="http://schemas.microsoft.com/office/drawing/2014/chart" uri="{C3380CC4-5D6E-409C-BE32-E72D297353CC}">
              <c16:uniqueId val="{00000000-6856-4467-83AD-2D867C0FB34A}"/>
            </c:ext>
          </c:extLst>
        </c:ser>
        <c:ser>
          <c:idx val="2"/>
          <c:order val="2"/>
          <c:tx>
            <c:strRef>
              <c:f>Sheet1!$A$4</c:f>
              <c:strCache>
                <c:ptCount val="1"/>
                <c:pt idx="0">
                  <c:v>2022 աճի տեմպը,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0.0</c:formatCode>
                <c:ptCount val="12"/>
                <c:pt idx="0">
                  <c:v>10.465495021027209</c:v>
                </c:pt>
                <c:pt idx="1">
                  <c:v>20.27752807035057</c:v>
                </c:pt>
                <c:pt idx="2">
                  <c:v>20.324942076471558</c:v>
                </c:pt>
              </c:numCache>
            </c:numRef>
          </c:val>
          <c:smooth val="0"/>
          <c:extLst xmlns:c16r2="http://schemas.microsoft.com/office/drawing/2015/06/chart">
            <c:ext xmlns:c16="http://schemas.microsoft.com/office/drawing/2014/chart" uri="{C3380CC4-5D6E-409C-BE32-E72D297353CC}">
              <c16:uniqueId val="{00000002-6856-4467-83AD-2D867C0FB34A}"/>
            </c:ext>
          </c:extLst>
        </c:ser>
        <c:dLbls>
          <c:showLegendKey val="0"/>
          <c:showVal val="0"/>
          <c:showCatName val="0"/>
          <c:showSerName val="0"/>
          <c:showPercent val="0"/>
          <c:showBubbleSize val="0"/>
        </c:dLbls>
        <c:marker val="1"/>
        <c:smooth val="0"/>
        <c:axId val="314444416"/>
        <c:axId val="314753408"/>
      </c:lineChart>
      <c:catAx>
        <c:axId val="3144444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314753408"/>
        <c:crosses val="autoZero"/>
        <c:auto val="1"/>
        <c:lblAlgn val="ctr"/>
        <c:lblOffset val="100"/>
        <c:noMultiLvlLbl val="0"/>
      </c:catAx>
      <c:valAx>
        <c:axId val="31475340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314444416"/>
        <c:crosses val="autoZero"/>
        <c:crossBetween val="between"/>
      </c:valAx>
      <c:spPr>
        <a:solidFill>
          <a:schemeClr val="bg1"/>
        </a:solid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2700" cap="flat" cmpd="sng" algn="ctr">
      <a:solidFill>
        <a:schemeClr val="accent1"/>
      </a:solidFill>
      <a:prstDash val="solid"/>
      <a:miter lim="800000"/>
    </a:ln>
    <a:effectLst/>
  </c:spPr>
  <c:txPr>
    <a:bodyPr/>
    <a:lstStyle/>
    <a:p>
      <a:pPr>
        <a:defRPr>
          <a:solidFill>
            <a:schemeClr val="dk1"/>
          </a:solidFill>
          <a:latin typeface="GHEA Grapalat" panose="02000506050000020003" pitchFamily="50" charset="0"/>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648674558635019E-2"/>
          <c:w val="0.87658476118247253"/>
          <c:h val="0.65144177429257732"/>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Sheet1!$B$1:$D$1</c:f>
              <c:strCache>
                <c:ptCount val="3"/>
                <c:pt idx="0">
                  <c:v>I</c:v>
                </c:pt>
                <c:pt idx="1">
                  <c:v>I-II</c:v>
                </c:pt>
                <c:pt idx="2">
                  <c:v>I-III</c:v>
                </c:pt>
              </c:strCache>
            </c:strRef>
          </c:cat>
          <c:val>
            <c:numRef>
              <c:f>Sheet1!$B$3:$D$3</c:f>
              <c:numCache>
                <c:formatCode>0.0</c:formatCode>
                <c:ptCount val="3"/>
                <c:pt idx="0">
                  <c:v>16.599999999999994</c:v>
                </c:pt>
                <c:pt idx="1">
                  <c:v>9.0064756341384111</c:v>
                </c:pt>
                <c:pt idx="2">
                  <c:v>3.0999999999999943</c:v>
                </c:pt>
              </c:numCache>
            </c:numRef>
          </c:val>
          <c:extLst xmlns:c16r2="http://schemas.microsoft.com/office/drawing/2015/06/chart">
            <c:ext xmlns:c16="http://schemas.microsoft.com/office/drawing/2014/chart" uri="{C3380CC4-5D6E-409C-BE32-E72D297353CC}">
              <c16:uniqueId val="{00000000-53E0-424A-9203-4EA19118A321}"/>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Sheet1!$B$1:$D$1</c:f>
              <c:strCache>
                <c:ptCount val="3"/>
                <c:pt idx="0">
                  <c:v>I</c:v>
                </c:pt>
                <c:pt idx="1">
                  <c:v>I-II</c:v>
                </c:pt>
                <c:pt idx="2">
                  <c:v>I-III</c:v>
                </c:pt>
              </c:strCache>
            </c:strRef>
          </c:cat>
          <c:val>
            <c:numRef>
              <c:f>Sheet1!$B$4:$D$4</c:f>
              <c:numCache>
                <c:formatCode>General</c:formatCode>
                <c:ptCount val="3"/>
                <c:pt idx="2" formatCode="0.0">
                  <c:v>-5.4000000000000057</c:v>
                </c:pt>
              </c:numCache>
            </c:numRef>
          </c:val>
          <c:extLst xmlns:c16r2="http://schemas.microsoft.com/office/drawing/2015/06/chart">
            <c:ext xmlns:c16="http://schemas.microsoft.com/office/drawing/2014/chart" uri="{C3380CC4-5D6E-409C-BE32-E72D297353CC}">
              <c16:uniqueId val="{00000001-53E0-424A-9203-4EA19118A321}"/>
            </c:ext>
          </c:extLst>
        </c:ser>
        <c:ser>
          <c:idx val="3"/>
          <c:order val="3"/>
          <c:tx>
            <c:strRef>
              <c:f>Sheet1!$A$5</c:f>
              <c:strCache>
                <c:ptCount val="1"/>
                <c:pt idx="0">
                  <c:v>շինարարություն</c:v>
                </c:pt>
              </c:strCache>
            </c:strRef>
          </c:tx>
          <c:spPr>
            <a:solidFill>
              <a:srgbClr val="8064A2"/>
            </a:solidFill>
            <a:ln>
              <a:noFill/>
            </a:ln>
            <a:effectLst/>
          </c:spPr>
          <c:invertIfNegative val="0"/>
          <c:cat>
            <c:strRef>
              <c:f>Sheet1!$B$1:$D$1</c:f>
              <c:strCache>
                <c:ptCount val="3"/>
                <c:pt idx="0">
                  <c:v>I</c:v>
                </c:pt>
                <c:pt idx="1">
                  <c:v>I-II</c:v>
                </c:pt>
                <c:pt idx="2">
                  <c:v>I-III</c:v>
                </c:pt>
              </c:strCache>
            </c:strRef>
          </c:cat>
          <c:val>
            <c:numRef>
              <c:f>Sheet1!$B$5:$D$5</c:f>
              <c:numCache>
                <c:formatCode>0.0</c:formatCode>
                <c:ptCount val="3"/>
                <c:pt idx="0">
                  <c:v>3</c:v>
                </c:pt>
                <c:pt idx="1">
                  <c:v>4.9000000000000057</c:v>
                </c:pt>
                <c:pt idx="2">
                  <c:v>6.2000000000000028</c:v>
                </c:pt>
              </c:numCache>
            </c:numRef>
          </c:val>
          <c:extLst xmlns:c16r2="http://schemas.microsoft.com/office/drawing/2015/06/chart">
            <c:ext xmlns:c16="http://schemas.microsoft.com/office/drawing/2014/chart" uri="{C3380CC4-5D6E-409C-BE32-E72D297353CC}">
              <c16:uniqueId val="{00000002-53E0-424A-9203-4EA19118A321}"/>
            </c:ext>
          </c:extLst>
        </c:ser>
        <c:ser>
          <c:idx val="4"/>
          <c:order val="4"/>
          <c:tx>
            <c:strRef>
              <c:f>Sheet1!$A$6</c:f>
              <c:strCache>
                <c:ptCount val="1"/>
                <c:pt idx="0">
                  <c:v>ծառայություններ</c:v>
                </c:pt>
              </c:strCache>
            </c:strRef>
          </c:tx>
          <c:spPr>
            <a:solidFill>
              <a:srgbClr val="4BACC6">
                <a:lumMod val="75000"/>
              </a:srgbClr>
            </a:solidFill>
          </c:spPr>
          <c:invertIfNegative val="0"/>
          <c:cat>
            <c:strRef>
              <c:f>Sheet1!$B$1:$D$1</c:f>
              <c:strCache>
                <c:ptCount val="3"/>
                <c:pt idx="0">
                  <c:v>I</c:v>
                </c:pt>
                <c:pt idx="1">
                  <c:v>I-II</c:v>
                </c:pt>
                <c:pt idx="2">
                  <c:v>I-III</c:v>
                </c:pt>
              </c:strCache>
            </c:strRef>
          </c:cat>
          <c:val>
            <c:numRef>
              <c:f>Sheet1!$B$6:$D$6</c:f>
              <c:numCache>
                <c:formatCode>0.0</c:formatCode>
                <c:ptCount val="3"/>
                <c:pt idx="0">
                  <c:v>21.200000000000003</c:v>
                </c:pt>
                <c:pt idx="1">
                  <c:v>20.099999999999994</c:v>
                </c:pt>
                <c:pt idx="2">
                  <c:v>22.200000000000003</c:v>
                </c:pt>
              </c:numCache>
            </c:numRef>
          </c:val>
          <c:extLst xmlns:c16r2="http://schemas.microsoft.com/office/drawing/2015/06/chart">
            <c:ext xmlns:c16="http://schemas.microsoft.com/office/drawing/2014/chart" uri="{C3380CC4-5D6E-409C-BE32-E72D297353CC}">
              <c16:uniqueId val="{00000003-53E0-424A-9203-4EA19118A321}"/>
            </c:ext>
          </c:extLst>
        </c:ser>
        <c:ser>
          <c:idx val="5"/>
          <c:order val="5"/>
          <c:tx>
            <c:strRef>
              <c:f>Sheet1!$A$7</c:f>
              <c:strCache>
                <c:ptCount val="1"/>
                <c:pt idx="0">
                  <c:v>առևտուր</c:v>
                </c:pt>
              </c:strCache>
            </c:strRef>
          </c:tx>
          <c:spPr>
            <a:solidFill>
              <a:srgbClr val="F79646">
                <a:lumMod val="75000"/>
              </a:srgbClr>
            </a:solidFill>
          </c:spPr>
          <c:invertIfNegative val="0"/>
          <c:cat>
            <c:strRef>
              <c:f>Sheet1!$B$1:$D$1</c:f>
              <c:strCache>
                <c:ptCount val="3"/>
                <c:pt idx="0">
                  <c:v>I</c:v>
                </c:pt>
                <c:pt idx="1">
                  <c:v>I-II</c:v>
                </c:pt>
                <c:pt idx="2">
                  <c:v>I-III</c:v>
                </c:pt>
              </c:strCache>
            </c:strRef>
          </c:cat>
          <c:val>
            <c:numRef>
              <c:f>Sheet1!$B$7:$D$7</c:f>
              <c:numCache>
                <c:formatCode>0.0</c:formatCode>
                <c:ptCount val="3"/>
                <c:pt idx="0">
                  <c:v>11.5</c:v>
                </c:pt>
                <c:pt idx="1">
                  <c:v>8.2000000000000028</c:v>
                </c:pt>
                <c:pt idx="2">
                  <c:v>7.5999999999999943</c:v>
                </c:pt>
              </c:numCache>
            </c:numRef>
          </c:val>
          <c:extLst xmlns:c16r2="http://schemas.microsoft.com/office/drawing/2015/06/chart">
            <c:ext xmlns:c16="http://schemas.microsoft.com/office/drawing/2014/chart" uri="{C3380CC4-5D6E-409C-BE32-E72D297353CC}">
              <c16:uniqueId val="{00000004-53E0-424A-9203-4EA19118A321}"/>
            </c:ext>
          </c:extLst>
        </c:ser>
        <c:dLbls>
          <c:showLegendKey val="0"/>
          <c:showVal val="0"/>
          <c:showCatName val="0"/>
          <c:showSerName val="0"/>
          <c:showPercent val="0"/>
          <c:showBubbleSize val="0"/>
        </c:dLbls>
        <c:gapWidth val="150"/>
        <c:axId val="296687872"/>
        <c:axId val="296722432"/>
      </c:barChart>
      <c:lineChart>
        <c:grouping val="standard"/>
        <c:varyColors val="0"/>
        <c:ser>
          <c:idx val="0"/>
          <c:order val="0"/>
          <c:tx>
            <c:strRef>
              <c:f>Sheet1!$A$2</c:f>
              <c:strCache>
                <c:ptCount val="1"/>
                <c:pt idx="0">
                  <c:v>ՏԱՑ, աջ առանցք</c:v>
                </c:pt>
              </c:strCache>
            </c:strRef>
          </c:tx>
          <c:spPr>
            <a:effectLst/>
          </c:spPr>
          <c:dLbls>
            <c:dLbl>
              <c:idx val="0"/>
              <c:layout>
                <c:manualLayout>
                  <c:x val="-9.0917308150405773E-2"/>
                  <c:y val="4.36754742182534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3E0-424A-9203-4EA19118A321}"/>
                </c:ext>
              </c:extLst>
            </c:dLbl>
            <c:dLbl>
              <c:idx val="1"/>
              <c:layout>
                <c:manualLayout>
                  <c:x val="-9.0897729163879379E-2"/>
                  <c:y val="3.68355289378157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3E0-424A-9203-4EA19118A321}"/>
                </c:ext>
              </c:extLst>
            </c:dLbl>
            <c:dLbl>
              <c:idx val="2"/>
              <c:layout>
                <c:manualLayout>
                  <c:x val="-7.8425588430124232E-2"/>
                  <c:y val="3.97734739381927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3E0-424A-9203-4EA19118A321}"/>
                </c:ext>
              </c:extLst>
            </c:dLbl>
            <c:dLbl>
              <c:idx val="3"/>
              <c:layout>
                <c:manualLayout>
                  <c:x val="-6.1868426479686746E-2"/>
                  <c:y val="5.95238095238095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3E0-424A-9203-4EA19118A321}"/>
                </c:ext>
              </c:extLst>
            </c:dLbl>
            <c:dLbl>
              <c:idx val="4"/>
              <c:layout>
                <c:manualLayout>
                  <c:x val="-5.3560275541603718E-2"/>
                  <c:y val="3.2163900169113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3E0-424A-9203-4EA19118A321}"/>
                </c:ext>
              </c:extLst>
            </c:dLbl>
            <c:dLbl>
              <c:idx val="5"/>
              <c:layout>
                <c:manualLayout>
                  <c:x val="-5.3874844591794521E-2"/>
                  <c:y val="4.43869362430927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3E0-424A-9203-4EA19118A321}"/>
                </c:ext>
              </c:extLst>
            </c:dLbl>
            <c:dLbl>
              <c:idx val="6"/>
              <c:layout>
                <c:manualLayout>
                  <c:x val="-5.8019063406547791E-2"/>
                  <c:y val="4.32225298103127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3E0-424A-9203-4EA19118A321}"/>
                </c:ext>
              </c:extLst>
            </c:dLbl>
            <c:dLbl>
              <c:idx val="7"/>
              <c:layout>
                <c:manualLayout>
                  <c:x val="-5.8019063406547867E-2"/>
                  <c:y val="4.26403265939226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3E0-424A-9203-4EA19118A321}"/>
                </c:ext>
              </c:extLst>
            </c:dLbl>
            <c:dLbl>
              <c:idx val="8"/>
              <c:layout>
                <c:manualLayout>
                  <c:x val="-6.2163282221301484E-2"/>
                  <c:y val="5.00625782227784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3E0-424A-9203-4EA19118A321}"/>
                </c:ext>
              </c:extLst>
            </c:dLbl>
            <c:dLbl>
              <c:idx val="9"/>
              <c:layout>
                <c:manualLayout>
                  <c:x val="-7.0451719850808142E-2"/>
                  <c:y val="5.06146059291395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53E0-424A-9203-4EA19118A321}"/>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I</c:v>
                </c:pt>
                <c:pt idx="1">
                  <c:v>I-II</c:v>
                </c:pt>
                <c:pt idx="2">
                  <c:v>I-III</c:v>
                </c:pt>
              </c:strCache>
            </c:strRef>
          </c:cat>
          <c:val>
            <c:numRef>
              <c:f>Sheet1!$B$2:$D$2</c:f>
              <c:numCache>
                <c:formatCode>0.0</c:formatCode>
                <c:ptCount val="3"/>
                <c:pt idx="0">
                  <c:v>14.799999999999997</c:v>
                </c:pt>
                <c:pt idx="1">
                  <c:v>11.309554472970021</c:v>
                </c:pt>
                <c:pt idx="2">
                  <c:v>9.5999999999999943</c:v>
                </c:pt>
              </c:numCache>
            </c:numRef>
          </c:val>
          <c:smooth val="0"/>
          <c:extLst xmlns:c16r2="http://schemas.microsoft.com/office/drawing/2015/06/chart">
            <c:ext xmlns:c16="http://schemas.microsoft.com/office/drawing/2014/chart" uri="{C3380CC4-5D6E-409C-BE32-E72D297353CC}">
              <c16:uniqueId val="{0000000F-53E0-424A-9203-4EA19118A321}"/>
            </c:ext>
          </c:extLst>
        </c:ser>
        <c:dLbls>
          <c:showLegendKey val="0"/>
          <c:showVal val="0"/>
          <c:showCatName val="0"/>
          <c:showSerName val="0"/>
          <c:showPercent val="0"/>
          <c:showBubbleSize val="0"/>
        </c:dLbls>
        <c:marker val="1"/>
        <c:smooth val="0"/>
        <c:axId val="296725504"/>
        <c:axId val="296723968"/>
      </c:lineChart>
      <c:catAx>
        <c:axId val="2966878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722432"/>
        <c:crosses val="autoZero"/>
        <c:auto val="1"/>
        <c:lblAlgn val="ctr"/>
        <c:lblOffset val="100"/>
        <c:noMultiLvlLbl val="0"/>
      </c:catAx>
      <c:valAx>
        <c:axId val="296722432"/>
        <c:scaling>
          <c:orientation val="minMax"/>
          <c:max val="24"/>
          <c:min val="-6"/>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687872"/>
        <c:crosses val="autoZero"/>
        <c:crossBetween val="between"/>
        <c:majorUnit val="6"/>
      </c:valAx>
      <c:valAx>
        <c:axId val="296723968"/>
        <c:scaling>
          <c:orientation val="minMax"/>
          <c:max val="16"/>
          <c:min val="0"/>
        </c:scaling>
        <c:delete val="0"/>
        <c:axPos val="r"/>
        <c:numFmt formatCode="0.0" sourceLinked="1"/>
        <c:majorTickMark val="out"/>
        <c:minorTickMark val="none"/>
        <c:tickLblPos val="nextTo"/>
        <c:crossAx val="296725504"/>
        <c:crosses val="max"/>
        <c:crossBetween val="between"/>
      </c:valAx>
      <c:catAx>
        <c:axId val="296725504"/>
        <c:scaling>
          <c:orientation val="minMax"/>
        </c:scaling>
        <c:delete val="1"/>
        <c:axPos val="b"/>
        <c:numFmt formatCode="General" sourceLinked="1"/>
        <c:majorTickMark val="out"/>
        <c:minorTickMark val="none"/>
        <c:tickLblPos val="nextTo"/>
        <c:crossAx val="296723968"/>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662156607202E-2"/>
          <c:y val="0.82064339658692165"/>
          <c:w val="0.89647382445930079"/>
          <c:h val="0.165724803001654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47348999086713E-2"/>
          <c:y val="3.2783517108681708E-2"/>
          <c:w val="0.89217968048592944"/>
          <c:h val="0.61646182448347797"/>
        </c:manualLayout>
      </c:layout>
      <c:barChart>
        <c:barDir val="col"/>
        <c:grouping val="clustered"/>
        <c:varyColors val="0"/>
        <c:ser>
          <c:idx val="0"/>
          <c:order val="0"/>
          <c:tx>
            <c:strRef>
              <c:f>Sheet1!$B$1</c:f>
              <c:strCache>
                <c:ptCount val="1"/>
                <c:pt idx="0">
                  <c:v>եկամուտների ազդակ</c:v>
                </c:pt>
              </c:strCache>
            </c:strRef>
          </c:tx>
          <c:spPr>
            <a:solidFill>
              <a:srgbClr val="5B9BD5">
                <a:lumMod val="75000"/>
              </a:srgbClr>
            </a:solidFill>
          </c:spPr>
          <c:invertIfNegative val="0"/>
          <c:cat>
            <c:strRef>
              <c:f>Sheet1!$A$2:$A$34</c:f>
              <c:strCache>
                <c:ptCount val="17"/>
                <c:pt idx="0">
                  <c:v>2018Q1</c:v>
                </c:pt>
                <c:pt idx="1">
                  <c:v>2018Q1-Q2</c:v>
                </c:pt>
                <c:pt idx="2">
                  <c:v>2018Q1-Q3</c:v>
                </c:pt>
                <c:pt idx="3">
                  <c:v>2018Q1-Q4</c:v>
                </c:pt>
                <c:pt idx="4">
                  <c:v>2019Q1</c:v>
                </c:pt>
                <c:pt idx="5">
                  <c:v>2019Q1-Q2</c:v>
                </c:pt>
                <c:pt idx="6">
                  <c:v>2019Q1-Q3</c:v>
                </c:pt>
                <c:pt idx="7">
                  <c:v>2019Q1-Q4</c:v>
                </c:pt>
                <c:pt idx="8">
                  <c:v>2020Q1</c:v>
                </c:pt>
                <c:pt idx="9">
                  <c:v>2020Q1-Q2</c:v>
                </c:pt>
                <c:pt idx="10">
                  <c:v>2020Q1-Q3</c:v>
                </c:pt>
                <c:pt idx="11">
                  <c:v>2020Q1-Q4</c:v>
                </c:pt>
                <c:pt idx="12">
                  <c:v>2021Q1</c:v>
                </c:pt>
                <c:pt idx="13">
                  <c:v>2021Q1-Q2</c:v>
                </c:pt>
                <c:pt idx="14">
                  <c:v>2021Q1-Q3</c:v>
                </c:pt>
                <c:pt idx="15">
                  <c:v>2021Q1-Q4</c:v>
                </c:pt>
                <c:pt idx="16">
                  <c:v>2022Q1</c:v>
                </c:pt>
              </c:strCache>
            </c:strRef>
          </c:cat>
          <c:val>
            <c:numRef>
              <c:f>Sheet1!$B$2:$B$34</c:f>
              <c:numCache>
                <c:formatCode>0.0</c:formatCode>
                <c:ptCount val="17"/>
                <c:pt idx="0">
                  <c:v>0.63010303808484647</c:v>
                </c:pt>
                <c:pt idx="1">
                  <c:v>0.95937071775500926</c:v>
                </c:pt>
                <c:pt idx="2">
                  <c:v>-0.33264847181183721</c:v>
                </c:pt>
                <c:pt idx="3">
                  <c:v>-1.2286336917441059</c:v>
                </c:pt>
                <c:pt idx="4">
                  <c:v>-0.29605774007373481</c:v>
                </c:pt>
                <c:pt idx="5">
                  <c:v>-1.4946169339765136</c:v>
                </c:pt>
                <c:pt idx="6">
                  <c:v>-1.5711012122805816</c:v>
                </c:pt>
                <c:pt idx="7">
                  <c:v>-1.1516344514139831</c:v>
                </c:pt>
                <c:pt idx="8">
                  <c:v>-1.0305842796307203</c:v>
                </c:pt>
                <c:pt idx="9">
                  <c:v>-0.38973642900760386</c:v>
                </c:pt>
                <c:pt idx="10">
                  <c:v>0.35041344368868571</c:v>
                </c:pt>
                <c:pt idx="11">
                  <c:v>0.58935538987006431</c:v>
                </c:pt>
                <c:pt idx="12">
                  <c:v>0.86768074822675889</c:v>
                </c:pt>
                <c:pt idx="13">
                  <c:v>0.5763583447921693</c:v>
                </c:pt>
                <c:pt idx="14">
                  <c:v>-0.23465487438361232</c:v>
                </c:pt>
                <c:pt idx="15">
                  <c:v>-0.45217274616146541</c:v>
                </c:pt>
                <c:pt idx="16">
                  <c:v>-2.6166203011836684</c:v>
                </c:pt>
              </c:numCache>
            </c:numRef>
          </c:val>
          <c:extLst xmlns:c16r2="http://schemas.microsoft.com/office/drawing/2015/06/chart">
            <c:ext xmlns:c16="http://schemas.microsoft.com/office/drawing/2014/chart" uri="{C3380CC4-5D6E-409C-BE32-E72D297353CC}">
              <c16:uniqueId val="{00000000-B2A9-4F26-A914-EC0A8B43C534}"/>
            </c:ext>
          </c:extLst>
        </c:ser>
        <c:ser>
          <c:idx val="2"/>
          <c:order val="1"/>
          <c:tx>
            <c:strRef>
              <c:f>Sheet1!$C$1</c:f>
              <c:strCache>
                <c:ptCount val="1"/>
                <c:pt idx="0">
                  <c:v>ծախսերի ազդակ</c:v>
                </c:pt>
              </c:strCache>
            </c:strRef>
          </c:tx>
          <c:spPr>
            <a:pattFill prst="pct80">
              <a:fgClr>
                <a:srgbClr val="4472C4">
                  <a:lumMod val="60000"/>
                  <a:lumOff val="40000"/>
                </a:srgbClr>
              </a:fgClr>
              <a:bgClr>
                <a:sysClr val="window" lastClr="FFFFFF"/>
              </a:bgClr>
            </a:pattFill>
          </c:spPr>
          <c:invertIfNegative val="0"/>
          <c:cat>
            <c:strRef>
              <c:f>Sheet1!$A$2:$A$34</c:f>
              <c:strCache>
                <c:ptCount val="17"/>
                <c:pt idx="0">
                  <c:v>2018Q1</c:v>
                </c:pt>
                <c:pt idx="1">
                  <c:v>2018Q1-Q2</c:v>
                </c:pt>
                <c:pt idx="2">
                  <c:v>2018Q1-Q3</c:v>
                </c:pt>
                <c:pt idx="3">
                  <c:v>2018Q1-Q4</c:v>
                </c:pt>
                <c:pt idx="4">
                  <c:v>2019Q1</c:v>
                </c:pt>
                <c:pt idx="5">
                  <c:v>2019Q1-Q2</c:v>
                </c:pt>
                <c:pt idx="6">
                  <c:v>2019Q1-Q3</c:v>
                </c:pt>
                <c:pt idx="7">
                  <c:v>2019Q1-Q4</c:v>
                </c:pt>
                <c:pt idx="8">
                  <c:v>2020Q1</c:v>
                </c:pt>
                <c:pt idx="9">
                  <c:v>2020Q1-Q2</c:v>
                </c:pt>
                <c:pt idx="10">
                  <c:v>2020Q1-Q3</c:v>
                </c:pt>
                <c:pt idx="11">
                  <c:v>2020Q1-Q4</c:v>
                </c:pt>
                <c:pt idx="12">
                  <c:v>2021Q1</c:v>
                </c:pt>
                <c:pt idx="13">
                  <c:v>2021Q1-Q2</c:v>
                </c:pt>
                <c:pt idx="14">
                  <c:v>2021Q1-Q3</c:v>
                </c:pt>
                <c:pt idx="15">
                  <c:v>2021Q1-Q4</c:v>
                </c:pt>
                <c:pt idx="16">
                  <c:v>2022Q1</c:v>
                </c:pt>
              </c:strCache>
            </c:strRef>
          </c:cat>
          <c:val>
            <c:numRef>
              <c:f>Sheet1!$C$2:$C$34</c:f>
              <c:numCache>
                <c:formatCode>0.0</c:formatCode>
                <c:ptCount val="17"/>
                <c:pt idx="0">
                  <c:v>-2.2966489350453703</c:v>
                </c:pt>
                <c:pt idx="1">
                  <c:v>-2.2288745973280197</c:v>
                </c:pt>
                <c:pt idx="2">
                  <c:v>-2.5672397152479274</c:v>
                </c:pt>
                <c:pt idx="3">
                  <c:v>-0.88384933501854113</c:v>
                </c:pt>
                <c:pt idx="4">
                  <c:v>-1.472507795198662</c:v>
                </c:pt>
                <c:pt idx="5">
                  <c:v>-0.7087271546861732</c:v>
                </c:pt>
                <c:pt idx="6">
                  <c:v>1.2806854401670376</c:v>
                </c:pt>
                <c:pt idx="7">
                  <c:v>1.1885527283576602</c:v>
                </c:pt>
                <c:pt idx="8">
                  <c:v>3.1230301488983647</c:v>
                </c:pt>
                <c:pt idx="9">
                  <c:v>5.1378776635412597</c:v>
                </c:pt>
                <c:pt idx="10">
                  <c:v>3.9241055765341768</c:v>
                </c:pt>
                <c:pt idx="11">
                  <c:v>4.0371233246588094</c:v>
                </c:pt>
                <c:pt idx="12">
                  <c:v>1.9384810226178721</c:v>
                </c:pt>
                <c:pt idx="13">
                  <c:v>0.34953211521925182</c:v>
                </c:pt>
                <c:pt idx="14">
                  <c:v>-0.18346049913816173</c:v>
                </c:pt>
                <c:pt idx="15">
                  <c:v>-1.1217983368059954</c:v>
                </c:pt>
                <c:pt idx="16">
                  <c:v>-2.1021918298167339</c:v>
                </c:pt>
              </c:numCache>
            </c:numRef>
          </c:val>
          <c:extLst xmlns:c16r2="http://schemas.microsoft.com/office/drawing/2015/06/chart">
            <c:ext xmlns:c16="http://schemas.microsoft.com/office/drawing/2014/chart" uri="{C3380CC4-5D6E-409C-BE32-E72D297353CC}">
              <c16:uniqueId val="{00000001-B2A9-4F26-A914-EC0A8B43C534}"/>
            </c:ext>
          </c:extLst>
        </c:ser>
        <c:dLbls>
          <c:showLegendKey val="0"/>
          <c:showVal val="0"/>
          <c:showCatName val="0"/>
          <c:showSerName val="0"/>
          <c:showPercent val="0"/>
          <c:showBubbleSize val="0"/>
        </c:dLbls>
        <c:gapWidth val="150"/>
        <c:axId val="317155200"/>
        <c:axId val="317156736"/>
      </c:barChart>
      <c:lineChart>
        <c:grouping val="standard"/>
        <c:varyColors val="0"/>
        <c:ser>
          <c:idx val="1"/>
          <c:order val="2"/>
          <c:tx>
            <c:strRef>
              <c:f>Sheet1!$D$1</c:f>
              <c:strCache>
                <c:ptCount val="1"/>
                <c:pt idx="0">
                  <c:v>հարկաբյուջետային ազդակ</c:v>
                </c:pt>
              </c:strCache>
            </c:strRef>
          </c:tx>
          <c:spPr>
            <a:ln>
              <a:solidFill>
                <a:srgbClr val="70AD47"/>
              </a:solidFill>
            </a:ln>
          </c:spPr>
          <c:marker>
            <c:spPr>
              <a:solidFill>
                <a:srgbClr val="70AD47"/>
              </a:solidFill>
              <a:ln>
                <a:solidFill>
                  <a:srgbClr val="70AD47"/>
                </a:solidFill>
              </a:ln>
            </c:spPr>
          </c:marker>
          <c:dLbls>
            <c:dLbl>
              <c:idx val="9"/>
              <c:layout>
                <c:manualLayout>
                  <c:x val="-3.7986237297261E-2"/>
                  <c:y val="-4.26966292134831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2A9-4F26-A914-EC0A8B43C534}"/>
                </c:ext>
              </c:extLst>
            </c:dLbl>
            <c:dLbl>
              <c:idx val="10"/>
              <c:layout>
                <c:manualLayout>
                  <c:x val="-3.3418803418803419E-2"/>
                  <c:y val="-4.26966292134831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2A9-4F26-A914-EC0A8B43C534}"/>
                </c:ext>
              </c:extLst>
            </c:dLbl>
            <c:dLbl>
              <c:idx val="11"/>
              <c:layout>
                <c:manualLayout>
                  <c:x val="-3.5491452991452989E-2"/>
                  <c:y val="-4.9575965925607611E-2"/>
                </c:manualLayout>
              </c:layout>
              <c:spPr>
                <a:noFill/>
                <a:ln>
                  <a:noFill/>
                </a:ln>
                <a:effectLst/>
              </c:spPr>
              <c:txPr>
                <a:bodyPr wrap="square" lIns="38100" tIns="19050" rIns="38100" bIns="19050" anchor="ctr">
                  <a:noAutofit/>
                </a:bodyPr>
                <a:lstStyle/>
                <a:p>
                  <a:pPr>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4.3205128205128208E-2"/>
                      <c:h val="7.9706489337307951E-2"/>
                    </c:manualLayout>
                  </c15:layout>
                </c:ext>
                <c:ext xmlns:c16="http://schemas.microsoft.com/office/drawing/2014/chart" uri="{C3380CC4-5D6E-409C-BE32-E72D297353CC}">
                  <c16:uniqueId val="{00000004-B2A9-4F26-A914-EC0A8B43C534}"/>
                </c:ext>
              </c:extLst>
            </c:dLbl>
            <c:dLbl>
              <c:idx val="12"/>
              <c:layout>
                <c:manualLayout>
                  <c:x val="-3.1842990779998651E-2"/>
                  <c:y val="-4.26966292134831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2A9-4F26-A914-EC0A8B43C534}"/>
                </c:ext>
              </c:extLst>
            </c:dLbl>
            <c:dLbl>
              <c:idx val="16"/>
              <c:layout>
                <c:manualLayout>
                  <c:x val="-3.7047298634474569E-2"/>
                  <c:y val="4.89021043000914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0B3-4F0F-8BC6-5E8FEF454930}"/>
                </c:ext>
              </c:extLst>
            </c:dLbl>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Sheet1!$A$2:$A$34</c:f>
              <c:strCache>
                <c:ptCount val="17"/>
                <c:pt idx="0">
                  <c:v>2018Q1</c:v>
                </c:pt>
                <c:pt idx="1">
                  <c:v>2018Q1-Q2</c:v>
                </c:pt>
                <c:pt idx="2">
                  <c:v>2018Q1-Q3</c:v>
                </c:pt>
                <c:pt idx="3">
                  <c:v>2018Q1-Q4</c:v>
                </c:pt>
                <c:pt idx="4">
                  <c:v>2019Q1</c:v>
                </c:pt>
                <c:pt idx="5">
                  <c:v>2019Q1-Q2</c:v>
                </c:pt>
                <c:pt idx="6">
                  <c:v>2019Q1-Q3</c:v>
                </c:pt>
                <c:pt idx="7">
                  <c:v>2019Q1-Q4</c:v>
                </c:pt>
                <c:pt idx="8">
                  <c:v>2020Q1</c:v>
                </c:pt>
                <c:pt idx="9">
                  <c:v>2020Q1-Q2</c:v>
                </c:pt>
                <c:pt idx="10">
                  <c:v>2020Q1-Q3</c:v>
                </c:pt>
                <c:pt idx="11">
                  <c:v>2020Q1-Q4</c:v>
                </c:pt>
                <c:pt idx="12">
                  <c:v>2021Q1</c:v>
                </c:pt>
                <c:pt idx="13">
                  <c:v>2021Q1-Q2</c:v>
                </c:pt>
                <c:pt idx="14">
                  <c:v>2021Q1-Q3</c:v>
                </c:pt>
                <c:pt idx="15">
                  <c:v>2021Q1-Q4</c:v>
                </c:pt>
                <c:pt idx="16">
                  <c:v>2022Q1</c:v>
                </c:pt>
              </c:strCache>
            </c:strRef>
          </c:cat>
          <c:val>
            <c:numRef>
              <c:f>Sheet1!$D$2:$D$34</c:f>
              <c:numCache>
                <c:formatCode>0.0</c:formatCode>
                <c:ptCount val="17"/>
                <c:pt idx="0">
                  <c:v>-1.6665458969605238</c:v>
                </c:pt>
                <c:pt idx="1">
                  <c:v>-1.2695038795730105</c:v>
                </c:pt>
                <c:pt idx="2">
                  <c:v>-2.8998881870597648</c:v>
                </c:pt>
                <c:pt idx="3">
                  <c:v>-2.1124830267626469</c:v>
                </c:pt>
                <c:pt idx="4">
                  <c:v>-1.7685655352723968</c:v>
                </c:pt>
                <c:pt idx="5">
                  <c:v>-2.2033440886626869</c:v>
                </c:pt>
                <c:pt idx="6">
                  <c:v>-0.29041577211354408</c:v>
                </c:pt>
                <c:pt idx="7">
                  <c:v>3.6918276943677109E-2</c:v>
                </c:pt>
                <c:pt idx="8">
                  <c:v>2.0924458692676442</c:v>
                </c:pt>
                <c:pt idx="9">
                  <c:v>4.748141234533656</c:v>
                </c:pt>
                <c:pt idx="10">
                  <c:v>4.2745190202228622</c:v>
                </c:pt>
                <c:pt idx="11">
                  <c:v>4.6264787145288739</c:v>
                </c:pt>
                <c:pt idx="12">
                  <c:v>2.8061617708446311</c:v>
                </c:pt>
                <c:pt idx="13">
                  <c:v>0.92589046001142106</c:v>
                </c:pt>
                <c:pt idx="14">
                  <c:v>-0.41811537352177408</c:v>
                </c:pt>
                <c:pt idx="15">
                  <c:v>-1.5739710829674607</c:v>
                </c:pt>
                <c:pt idx="16">
                  <c:v>-4.7188121310004023</c:v>
                </c:pt>
              </c:numCache>
            </c:numRef>
          </c:val>
          <c:smooth val="0"/>
          <c:extLst xmlns:c16r2="http://schemas.microsoft.com/office/drawing/2015/06/chart">
            <c:ext xmlns:c16="http://schemas.microsoft.com/office/drawing/2014/chart" uri="{C3380CC4-5D6E-409C-BE32-E72D297353CC}">
              <c16:uniqueId val="{00000006-B2A9-4F26-A914-EC0A8B43C534}"/>
            </c:ext>
          </c:extLst>
        </c:ser>
        <c:dLbls>
          <c:showLegendKey val="0"/>
          <c:showVal val="0"/>
          <c:showCatName val="0"/>
          <c:showSerName val="0"/>
          <c:showPercent val="0"/>
          <c:showBubbleSize val="0"/>
        </c:dLbls>
        <c:marker val="1"/>
        <c:smooth val="0"/>
        <c:axId val="317155200"/>
        <c:axId val="317156736"/>
      </c:lineChart>
      <c:catAx>
        <c:axId val="317155200"/>
        <c:scaling>
          <c:orientation val="minMax"/>
        </c:scaling>
        <c:delete val="0"/>
        <c:axPos val="b"/>
        <c:numFmt formatCode="General" sourceLinked="0"/>
        <c:majorTickMark val="none"/>
        <c:minorTickMark val="none"/>
        <c:tickLblPos val="low"/>
        <c:txPr>
          <a:bodyPr rot="5400000" vert="horz"/>
          <a:lstStyle/>
          <a:p>
            <a:pPr>
              <a:defRPr sz="900" b="0" i="0" u="none" strike="noStrike" baseline="0">
                <a:solidFill>
                  <a:srgbClr val="000000"/>
                </a:solidFill>
                <a:latin typeface="GHEA Grapalat"/>
                <a:ea typeface="GHEA Grapalat"/>
                <a:cs typeface="GHEA Grapalat"/>
              </a:defRPr>
            </a:pPr>
            <a:endParaRPr lang="en-US"/>
          </a:p>
        </c:txPr>
        <c:crossAx val="317156736"/>
        <c:crosses val="autoZero"/>
        <c:auto val="1"/>
        <c:lblAlgn val="ctr"/>
        <c:lblOffset val="100"/>
        <c:tickLblSkip val="1"/>
        <c:noMultiLvlLbl val="0"/>
      </c:catAx>
      <c:valAx>
        <c:axId val="317156736"/>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317155200"/>
        <c:crosses val="autoZero"/>
        <c:crossBetween val="between"/>
      </c:valAx>
      <c:spPr>
        <a:ln w="25332">
          <a:noFill/>
        </a:ln>
      </c:spPr>
    </c:plotArea>
    <c:legend>
      <c:legendPos val="r"/>
      <c:layout>
        <c:manualLayout>
          <c:xMode val="edge"/>
          <c:yMode val="edge"/>
          <c:x val="5.1009457478459344E-3"/>
          <c:y val="0.89607294663388315"/>
          <c:w val="0.95524351924587592"/>
          <c:h val="0.10392705336611685"/>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17" b="1" i="0" u="none" strike="noStrike" baseline="0">
                <a:solidFill>
                  <a:srgbClr val="000000"/>
                </a:solidFill>
                <a:latin typeface="GHEA Grapalat"/>
                <a:ea typeface="GHEA Grapalat"/>
                <a:cs typeface="GHEA Grapalat"/>
              </a:defRPr>
            </a:pPr>
            <a:r>
              <a:rPr lang="hy-AM" sz="917" baseline="0"/>
              <a:t>202</a:t>
            </a:r>
            <a:r>
              <a:rPr lang="en-US" sz="917" baseline="0"/>
              <a:t>1</a:t>
            </a:r>
            <a:r>
              <a:rPr lang="hy-AM" sz="917" baseline="0"/>
              <a:t>թ.</a:t>
            </a:r>
            <a:r>
              <a:rPr lang="en-US" sz="917" baseline="0"/>
              <a:t> </a:t>
            </a:r>
            <a:r>
              <a:rPr lang="en-US" sz="917" b="1" i="0" u="none" strike="noStrike" baseline="0">
                <a:effectLst/>
              </a:rPr>
              <a:t>առաջին եռամսյակ</a:t>
            </a:r>
            <a:r>
              <a:rPr lang="hy-AM" sz="917" baseline="0"/>
              <a:t> </a:t>
            </a:r>
          </a:p>
        </c:rich>
      </c:tx>
      <c:layout>
        <c:manualLayout>
          <c:xMode val="edge"/>
          <c:yMode val="edge"/>
          <c:x val="0.2162840045778775"/>
          <c:y val="1.3347651390105698E-4"/>
        </c:manualLayout>
      </c:layout>
      <c:overlay val="0"/>
      <c:spPr>
        <a:noFill/>
        <a:ln w="25638">
          <a:noFill/>
        </a:ln>
      </c:spPr>
    </c:title>
    <c:autoTitleDeleted val="0"/>
    <c:view3D>
      <c:rotX val="15"/>
      <c:rotY val="220"/>
      <c:rAngAx val="0"/>
      <c:perspective val="0"/>
    </c:view3D>
    <c:floor>
      <c:thickness val="0"/>
    </c:floor>
    <c:sideWall>
      <c:thickness val="0"/>
    </c:sideWall>
    <c:backWall>
      <c:thickness val="0"/>
    </c:backWall>
    <c:plotArea>
      <c:layout>
        <c:manualLayout>
          <c:layoutTarget val="inner"/>
          <c:xMode val="edge"/>
          <c:yMode val="edge"/>
          <c:x val="7.7508307840566323E-2"/>
          <c:y val="0.19215452546043682"/>
          <c:w val="0.8829606441961837"/>
          <c:h val="0.45188028794712165"/>
        </c:manualLayout>
      </c:layout>
      <c:pie3DChart>
        <c:varyColors val="1"/>
        <c:ser>
          <c:idx val="1"/>
          <c:order val="0"/>
          <c:tx>
            <c:strRef>
              <c:f>Sheet1!$B$1</c:f>
              <c:strCache>
                <c:ptCount val="1"/>
                <c:pt idx="0">
                  <c:v>2021թ. առաջին եռամսյակ</c:v>
                </c:pt>
              </c:strCache>
            </c:strRef>
          </c:tx>
          <c:spPr>
            <a:solidFill>
              <a:srgbClr val="9999FF"/>
            </a:solidFill>
            <a:ln w="12779">
              <a:solidFill>
                <a:srgbClr val="000000"/>
              </a:solidFill>
              <a:prstDash val="solid"/>
            </a:ln>
          </c:spPr>
          <c:explosion val="12"/>
          <c:dPt>
            <c:idx val="0"/>
            <c:bubble3D val="0"/>
            <c:spPr>
              <a:solidFill>
                <a:srgbClr val="8064A2">
                  <a:lumMod val="60000"/>
                  <a:lumOff val="40000"/>
                </a:srgbClr>
              </a:solidFill>
              <a:ln w="12779">
                <a:solidFill>
                  <a:srgbClr val="000000"/>
                </a:solidFill>
                <a:prstDash val="solid"/>
              </a:ln>
            </c:spPr>
          </c:dPt>
          <c:dPt>
            <c:idx val="1"/>
            <c:bubble3D val="0"/>
            <c:spPr>
              <a:pattFill prst="pct90">
                <a:fgClr>
                  <a:srgbClr val="FFCC00"/>
                </a:fgClr>
                <a:bgClr>
                  <a:srgbClr val="FFFFFF"/>
                </a:bgClr>
              </a:pattFill>
              <a:ln w="3205">
                <a:solidFill>
                  <a:srgbClr val="000000"/>
                </a:solidFill>
                <a:prstDash val="solid"/>
              </a:ln>
            </c:spPr>
          </c:dPt>
          <c:dPt>
            <c:idx val="2"/>
            <c:bubble3D val="0"/>
            <c:spPr>
              <a:solidFill>
                <a:srgbClr val="C0504D">
                  <a:lumMod val="75000"/>
                </a:srgbClr>
              </a:solidFill>
              <a:ln w="3205">
                <a:solidFill>
                  <a:srgbClr val="000000"/>
                </a:solidFill>
                <a:prstDash val="solid"/>
              </a:ln>
            </c:spPr>
          </c:dPt>
          <c:dLbls>
            <c:dLbl>
              <c:idx val="0"/>
              <c:layout>
                <c:manualLayout>
                  <c:x val="9.1513533952659487E-2"/>
                  <c:y val="-1.6883043491154211E-2"/>
                </c:manualLayout>
              </c:layout>
              <c:dLblPos val="bestFit"/>
              <c:showLegendKey val="0"/>
              <c:showVal val="0"/>
              <c:showCatName val="0"/>
              <c:showSerName val="0"/>
              <c:showPercent val="1"/>
              <c:showBubbleSize val="0"/>
            </c:dLbl>
            <c:dLbl>
              <c:idx val="1"/>
              <c:layout>
                <c:manualLayout>
                  <c:x val="0.15901731925874643"/>
                  <c:y val="1.2287122524880584E-2"/>
                </c:manualLayout>
              </c:layout>
              <c:dLblPos val="bestFit"/>
              <c:showLegendKey val="0"/>
              <c:showVal val="0"/>
              <c:showCatName val="0"/>
              <c:showSerName val="0"/>
              <c:showPercent val="1"/>
              <c:showBubbleSize val="0"/>
            </c:dLbl>
            <c:dLbl>
              <c:idx val="2"/>
              <c:layout>
                <c:manualLayout>
                  <c:x val="-0.11938353075664838"/>
                  <c:y val="-9.4091606205556511E-2"/>
                </c:manualLayout>
              </c:layout>
              <c:dLblPos val="bestFit"/>
              <c:showLegendKey val="0"/>
              <c:showVal val="0"/>
              <c:showCatName val="0"/>
              <c:showSerName val="0"/>
              <c:showPercent val="1"/>
              <c:showBubbleSize val="0"/>
            </c:dLbl>
            <c:numFmt formatCode="0.0%" sourceLinked="0"/>
            <c:spPr>
              <a:noFill/>
              <a:ln w="25638">
                <a:noFill/>
              </a:ln>
            </c:spPr>
            <c:txPr>
              <a:bodyPr/>
              <a:lstStyle/>
              <a:p>
                <a:pPr>
                  <a:defRPr sz="917" b="1" i="0" u="none" strike="noStrike" baseline="0">
                    <a:solidFill>
                      <a:srgbClr val="000000"/>
                    </a:solidFill>
                    <a:latin typeface="GHEA Grapalat"/>
                    <a:ea typeface="GHEA Grapalat"/>
                    <a:cs typeface="GHEA Grapalat"/>
                  </a:defRPr>
                </a:pPr>
                <a:endParaRPr lang="en-US"/>
              </a:p>
            </c:txPr>
            <c:showLegendKey val="0"/>
            <c:showVal val="0"/>
            <c:showCatName val="0"/>
            <c:showSerName val="0"/>
            <c:showPercent val="1"/>
            <c:showBubbleSize val="0"/>
            <c:showLeaderLines val="1"/>
          </c:dLbls>
          <c:cat>
            <c:strRef>
              <c:f>Sheet1!$A$2:$A$4</c:f>
              <c:strCache>
                <c:ptCount val="3"/>
                <c:pt idx="0">
                  <c:v>Հարկային եկամուտներ և պետական տուրքեր</c:v>
                </c:pt>
                <c:pt idx="1">
                  <c:v>Պաշտոնական դրամաշնորհներ</c:v>
                </c:pt>
                <c:pt idx="2">
                  <c:v>Այլ եկամուտներ</c:v>
                </c:pt>
              </c:strCache>
            </c:strRef>
          </c:cat>
          <c:val>
            <c:numRef>
              <c:f>Sheet1!$B$2:$B$4</c:f>
              <c:numCache>
                <c:formatCode>#,##0.00</c:formatCode>
                <c:ptCount val="3"/>
                <c:pt idx="0">
                  <c:v>332894.41729999997</c:v>
                </c:pt>
                <c:pt idx="1">
                  <c:v>1238.6389999999999</c:v>
                </c:pt>
                <c:pt idx="2">
                  <c:v>15150.1086</c:v>
                </c:pt>
              </c:numCache>
            </c:numRef>
          </c:val>
        </c:ser>
        <c:dLbls>
          <c:showLegendKey val="0"/>
          <c:showVal val="0"/>
          <c:showCatName val="0"/>
          <c:showSerName val="0"/>
          <c:showPercent val="0"/>
          <c:showBubbleSize val="0"/>
          <c:showLeaderLines val="1"/>
        </c:dLbls>
      </c:pie3DChart>
      <c:spPr>
        <a:solidFill>
          <a:srgbClr val="FFFFFF"/>
        </a:solidFill>
        <a:ln w="12779">
          <a:solidFill>
            <a:srgbClr val="FFFFFF"/>
          </a:solidFill>
          <a:prstDash val="solid"/>
        </a:ln>
      </c:spPr>
    </c:plotArea>
    <c:legend>
      <c:legendPos val="r"/>
      <c:layout>
        <c:manualLayout>
          <c:xMode val="edge"/>
          <c:yMode val="edge"/>
          <c:x val="0"/>
          <c:y val="0.76432725781785971"/>
          <c:w val="0.9788475485880449"/>
          <c:h val="0.23567274218214018"/>
        </c:manualLayout>
      </c:layout>
      <c:overlay val="0"/>
      <c:spPr>
        <a:noFill/>
        <a:ln w="3194">
          <a:solidFill>
            <a:srgbClr val="000000"/>
          </a:solidFill>
          <a:prstDash val="solid"/>
        </a:ln>
      </c:spPr>
      <c:txPr>
        <a:bodyPr/>
        <a:lstStyle/>
        <a:p>
          <a:pPr>
            <a:defRPr sz="815" b="0" i="0" u="none" strike="noStrike" baseline="0">
              <a:solidFill>
                <a:srgbClr val="000000"/>
              </a:solidFill>
              <a:latin typeface="GHEA Grapalat"/>
              <a:ea typeface="GHEA Grapalat"/>
              <a:cs typeface="GHEA Grapalat"/>
            </a:defRPr>
          </a:pPr>
          <a:endParaRPr lang="en-US"/>
        </a:p>
      </c:txPr>
    </c:legend>
    <c:plotVisOnly val="1"/>
    <c:dispBlanksAs val="zero"/>
    <c:showDLblsOverMax val="0"/>
  </c:chart>
  <c:spPr>
    <a:noFill/>
    <a:ln>
      <a:noFill/>
    </a:ln>
  </c:spPr>
  <c:txPr>
    <a:bodyPr/>
    <a:lstStyle/>
    <a:p>
      <a:pPr>
        <a:defRPr sz="933" b="1" i="0" u="none" strike="noStrike" baseline="0">
          <a:solidFill>
            <a:srgbClr val="000000"/>
          </a:solidFill>
          <a:latin typeface="Arial Armenian"/>
          <a:ea typeface="Arial Armenian"/>
          <a:cs typeface="Arial Armenian"/>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GHEA Grapalat"/>
                <a:ea typeface="GHEA Grapalat"/>
                <a:cs typeface="GHEA Grapalat"/>
              </a:defRPr>
            </a:pPr>
            <a:r>
              <a:rPr lang="hy-AM" sz="900" baseline="0"/>
              <a:t>202</a:t>
            </a:r>
            <a:r>
              <a:rPr lang="en-US" sz="900" baseline="0"/>
              <a:t>2</a:t>
            </a:r>
            <a:r>
              <a:rPr lang="hy-AM" sz="900" baseline="0"/>
              <a:t>թ</a:t>
            </a:r>
            <a:r>
              <a:rPr lang="en-US" sz="900" baseline="0"/>
              <a:t>. առաջին եռամսյակ</a:t>
            </a:r>
            <a:endParaRPr lang="hy-AM" sz="900" baseline="0"/>
          </a:p>
        </c:rich>
      </c:tx>
      <c:layout>
        <c:manualLayout>
          <c:xMode val="edge"/>
          <c:yMode val="edge"/>
          <c:x val="0.27231099788996965"/>
          <c:y val="6.4140419947506585E-4"/>
        </c:manualLayout>
      </c:layout>
      <c:overlay val="0"/>
      <c:spPr>
        <a:noFill/>
        <a:ln w="25238">
          <a:noFill/>
        </a:ln>
      </c:spPr>
    </c:title>
    <c:autoTitleDeleted val="0"/>
    <c:view3D>
      <c:rotX val="15"/>
      <c:rotY val="220"/>
      <c:rAngAx val="0"/>
      <c:perspective val="0"/>
    </c:view3D>
    <c:floor>
      <c:thickness val="0"/>
    </c:floor>
    <c:sideWall>
      <c:thickness val="0"/>
    </c:sideWall>
    <c:backWall>
      <c:thickness val="0"/>
    </c:backWall>
    <c:plotArea>
      <c:layout>
        <c:manualLayout>
          <c:layoutTarget val="inner"/>
          <c:xMode val="edge"/>
          <c:yMode val="edge"/>
          <c:x val="4.5210241604413531E-2"/>
          <c:y val="0.19773546858843474"/>
          <c:w val="0.90699870880158584"/>
          <c:h val="0.46065531067062326"/>
        </c:manualLayout>
      </c:layout>
      <c:pie3DChart>
        <c:varyColors val="1"/>
        <c:ser>
          <c:idx val="1"/>
          <c:order val="0"/>
          <c:tx>
            <c:strRef>
              <c:f>Sheet1!$B$1</c:f>
              <c:strCache>
                <c:ptCount val="1"/>
                <c:pt idx="0">
                  <c:v>2022թ. առաջին եռամսյակ</c:v>
                </c:pt>
              </c:strCache>
            </c:strRef>
          </c:tx>
          <c:spPr>
            <a:solidFill>
              <a:srgbClr val="9999FF"/>
            </a:solidFill>
            <a:ln w="12581">
              <a:solidFill>
                <a:srgbClr val="000000"/>
              </a:solidFill>
              <a:prstDash val="solid"/>
            </a:ln>
          </c:spPr>
          <c:explosion val="12"/>
          <c:dPt>
            <c:idx val="0"/>
            <c:bubble3D val="0"/>
            <c:spPr>
              <a:solidFill>
                <a:srgbClr val="8064A2">
                  <a:lumMod val="60000"/>
                  <a:lumOff val="40000"/>
                </a:srgbClr>
              </a:solidFill>
              <a:ln w="12581">
                <a:solidFill>
                  <a:srgbClr val="000000"/>
                </a:solidFill>
                <a:prstDash val="solid"/>
              </a:ln>
            </c:spPr>
          </c:dPt>
          <c:dPt>
            <c:idx val="1"/>
            <c:bubble3D val="0"/>
            <c:spPr>
              <a:pattFill prst="pct90">
                <a:fgClr>
                  <a:srgbClr val="FFCC00"/>
                </a:fgClr>
                <a:bgClr>
                  <a:srgbClr val="FFFFFF"/>
                </a:bgClr>
              </a:pattFill>
              <a:ln w="3155">
                <a:solidFill>
                  <a:srgbClr val="000000"/>
                </a:solidFill>
                <a:prstDash val="solid"/>
              </a:ln>
            </c:spPr>
          </c:dPt>
          <c:dPt>
            <c:idx val="2"/>
            <c:bubble3D val="0"/>
            <c:spPr>
              <a:solidFill>
                <a:srgbClr val="C0504D">
                  <a:lumMod val="75000"/>
                </a:srgbClr>
              </a:solidFill>
              <a:ln w="3155">
                <a:solidFill>
                  <a:srgbClr val="000000"/>
                </a:solidFill>
                <a:prstDash val="solid"/>
              </a:ln>
            </c:spPr>
          </c:dPt>
          <c:dLbls>
            <c:dLbl>
              <c:idx val="0"/>
              <c:layout>
                <c:manualLayout>
                  <c:x val="0.24856519618514744"/>
                  <c:y val="-1.0837654314468875E-3"/>
                </c:manualLayout>
              </c:layout>
              <c:dLblPos val="bestFit"/>
              <c:showLegendKey val="0"/>
              <c:showVal val="0"/>
              <c:showCatName val="0"/>
              <c:showSerName val="0"/>
              <c:showPercent val="1"/>
              <c:showBubbleSize val="0"/>
            </c:dLbl>
            <c:dLbl>
              <c:idx val="1"/>
              <c:layout>
                <c:manualLayout>
                  <c:x val="0.15329413506277917"/>
                  <c:y val="4.2402557638228984E-2"/>
                </c:manualLayout>
              </c:layout>
              <c:dLblPos val="bestFit"/>
              <c:showLegendKey val="0"/>
              <c:showVal val="0"/>
              <c:showCatName val="0"/>
              <c:showSerName val="0"/>
              <c:showPercent val="1"/>
              <c:showBubbleSize val="0"/>
            </c:dLbl>
            <c:dLbl>
              <c:idx val="2"/>
              <c:layout>
                <c:manualLayout>
                  <c:x val="-0.14582988647208167"/>
                  <c:y val="-0.16802631420661257"/>
                </c:manualLayout>
              </c:layout>
              <c:dLblPos val="bestFit"/>
              <c:showLegendKey val="0"/>
              <c:showVal val="0"/>
              <c:showCatName val="0"/>
              <c:showSerName val="0"/>
              <c:showPercent val="1"/>
              <c:showBubbleSize val="0"/>
            </c:dLbl>
            <c:numFmt formatCode="0.0%" sourceLinked="0"/>
            <c:spPr>
              <a:noFill/>
              <a:ln w="25238">
                <a:noFill/>
              </a:ln>
            </c:spPr>
            <c:txPr>
              <a:bodyPr/>
              <a:lstStyle/>
              <a:p>
                <a:pPr>
                  <a:defRPr sz="900" b="1" i="0" u="none" strike="noStrike" baseline="0">
                    <a:solidFill>
                      <a:srgbClr val="000000"/>
                    </a:solidFill>
                    <a:latin typeface="GHEA Grapalat"/>
                    <a:ea typeface="GHEA Grapalat"/>
                    <a:cs typeface="GHEA Grapalat"/>
                  </a:defRPr>
                </a:pPr>
                <a:endParaRPr lang="en-US"/>
              </a:p>
            </c:txPr>
            <c:showLegendKey val="0"/>
            <c:showVal val="0"/>
            <c:showCatName val="0"/>
            <c:showSerName val="0"/>
            <c:showPercent val="1"/>
            <c:showBubbleSize val="0"/>
            <c:showLeaderLines val="1"/>
          </c:dLbls>
          <c:cat>
            <c:strRef>
              <c:f>Sheet1!$A$2:$A$4</c:f>
              <c:strCache>
                <c:ptCount val="3"/>
                <c:pt idx="0">
                  <c:v>Հարկային եկամուտներ և պետական տուրքեր</c:v>
                </c:pt>
                <c:pt idx="1">
                  <c:v>Պաշտոնական դրամաշնորհներ</c:v>
                </c:pt>
                <c:pt idx="2">
                  <c:v>Այլ եկամուտներ</c:v>
                </c:pt>
              </c:strCache>
            </c:strRef>
          </c:cat>
          <c:val>
            <c:numRef>
              <c:f>Sheet1!$B$2:$B$4</c:f>
              <c:numCache>
                <c:formatCode>#,##0.00</c:formatCode>
                <c:ptCount val="3"/>
                <c:pt idx="0">
                  <c:v>400555.0148</c:v>
                </c:pt>
                <c:pt idx="1">
                  <c:v>1308.1741999999999</c:v>
                </c:pt>
                <c:pt idx="2">
                  <c:v>23628.118299999998</c:v>
                </c:pt>
              </c:numCache>
            </c:numRef>
          </c:val>
        </c:ser>
        <c:dLbls>
          <c:showLegendKey val="0"/>
          <c:showVal val="0"/>
          <c:showCatName val="0"/>
          <c:showSerName val="0"/>
          <c:showPercent val="0"/>
          <c:showBubbleSize val="0"/>
          <c:showLeaderLines val="1"/>
        </c:dLbls>
      </c:pie3DChart>
      <c:spPr>
        <a:solidFill>
          <a:srgbClr val="FFFFFF"/>
        </a:solidFill>
        <a:ln w="12581">
          <a:solidFill>
            <a:srgbClr val="FFFFFF"/>
          </a:solidFill>
          <a:prstDash val="solid"/>
        </a:ln>
      </c:spPr>
    </c:plotArea>
    <c:plotVisOnly val="1"/>
    <c:dispBlanksAs val="zero"/>
    <c:showDLblsOverMax val="0"/>
  </c:chart>
  <c:spPr>
    <a:noFill/>
    <a:ln>
      <a:noFill/>
    </a:ln>
  </c:spPr>
  <c:txPr>
    <a:bodyPr/>
    <a:lstStyle/>
    <a:p>
      <a:pPr>
        <a:defRPr sz="915" b="1" i="0" u="none" strike="noStrike" baseline="0">
          <a:solidFill>
            <a:srgbClr val="000000"/>
          </a:solidFill>
          <a:latin typeface="Arial Armenian"/>
          <a:ea typeface="Arial Armenian"/>
          <a:cs typeface="Arial Armenian"/>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2586200551636524"/>
          <c:y val="2.2796468623240276E-2"/>
          <c:w val="0.63850381329984973"/>
          <c:h val="0.83872314570373552"/>
        </c:manualLayout>
      </c:layout>
      <c:barChart>
        <c:barDir val="bar"/>
        <c:grouping val="clustered"/>
        <c:varyColors val="0"/>
        <c:ser>
          <c:idx val="0"/>
          <c:order val="0"/>
          <c:tx>
            <c:strRef>
              <c:f>Sheet1!$B$1</c:f>
              <c:strCache>
                <c:ptCount val="1"/>
                <c:pt idx="0">
                  <c:v>2022թ.առաջին եռամսյակի ճշտված պլան</c:v>
                </c:pt>
              </c:strCache>
            </c:strRef>
          </c:tx>
          <c:spPr>
            <a:solidFill>
              <a:schemeClr val="accent3"/>
            </a:solidFill>
          </c:spPr>
          <c:invertIfNegative val="0"/>
          <c:dLbls>
            <c:dLbl>
              <c:idx val="0"/>
              <c:layout>
                <c:manualLayout>
                  <c:x val="1.9486961994900247E-3"/>
                  <c:y val="-1.849609826991574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7BE-4E06-B852-5E6A943790A4}"/>
                </c:ext>
              </c:extLst>
            </c:dLbl>
            <c:dLbl>
              <c:idx val="1"/>
              <c:layout>
                <c:manualLayout>
                  <c:x val="0"/>
                  <c:y val="8.952551477170993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7BE-4E06-B852-5E6A943790A4}"/>
                </c:ext>
              </c:extLst>
            </c:dLbl>
            <c:dLbl>
              <c:idx val="3"/>
              <c:layout>
                <c:manualLayout>
                  <c:x val="-5.891173784678681E-3"/>
                  <c:y val="3.189515484972166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7BE-4E06-B852-5E6A943790A4}"/>
                </c:ext>
              </c:extLst>
            </c:dLbl>
            <c:numFmt formatCode="#,##0.0" sourceLinked="0"/>
            <c:spPr>
              <a:noFill/>
              <a:ln w="25386">
                <a:noFill/>
              </a:ln>
            </c:spPr>
            <c:txPr>
              <a:bodyPr/>
              <a:lstStyle/>
              <a:p>
                <a:pPr>
                  <a:defRPr sz="800" baseline="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Եվրոպական միություն</c:v>
                </c:pt>
                <c:pt idx="1">
                  <c:v>ԱՄՆ կառավարություն</c:v>
                </c:pt>
                <c:pt idx="2">
                  <c:v>Գերմանիայի զարգացման վարկերի բանկ</c:v>
                </c:pt>
                <c:pt idx="3">
                  <c:v>Գլոբալ էկոլոգիական հիմնադրամ</c:v>
                </c:pt>
                <c:pt idx="4">
                  <c:v>Համաշխարհային բանկ</c:v>
                </c:pt>
              </c:strCache>
            </c:strRef>
          </c:cat>
          <c:val>
            <c:numRef>
              <c:f>Sheet1!$B$2:$B$6</c:f>
              <c:numCache>
                <c:formatCode>0.0</c:formatCode>
                <c:ptCount val="5"/>
                <c:pt idx="0">
                  <c:v>601.8646</c:v>
                </c:pt>
                <c:pt idx="1">
                  <c:v>211.5283</c:v>
                </c:pt>
                <c:pt idx="2">
                  <c:v>111.57979999999999</c:v>
                </c:pt>
                <c:pt idx="3">
                  <c:v>228.422</c:v>
                </c:pt>
                <c:pt idx="4" formatCode="_(* #,##0.0_);_(* \(#,##0.0\);_(* &quot;-&quot;??_);_(@_)">
                  <c:v>2310.3753000000002</c:v>
                </c:pt>
              </c:numCache>
            </c:numRef>
          </c:val>
          <c:extLst xmlns:c16r2="http://schemas.microsoft.com/office/drawing/2015/06/chart">
            <c:ext xmlns:c16="http://schemas.microsoft.com/office/drawing/2014/chart" uri="{C3380CC4-5D6E-409C-BE32-E72D297353CC}">
              <c16:uniqueId val="{00000003-C7BE-4E06-B852-5E6A943790A4}"/>
            </c:ext>
          </c:extLst>
        </c:ser>
        <c:ser>
          <c:idx val="1"/>
          <c:order val="1"/>
          <c:tx>
            <c:strRef>
              <c:f>Sheet1!$C$1</c:f>
              <c:strCache>
                <c:ptCount val="1"/>
                <c:pt idx="0">
                  <c:v>2022թ.առաջին եռամսյակի փաստ</c:v>
                </c:pt>
              </c:strCache>
            </c:strRef>
          </c:tx>
          <c:spPr>
            <a:solidFill>
              <a:schemeClr val="accent4"/>
            </a:solidFill>
          </c:spPr>
          <c:invertIfNegative val="0"/>
          <c:dLbls>
            <c:dLbl>
              <c:idx val="2"/>
              <c:layout>
                <c:manualLayout>
                  <c:x val="0"/>
                  <c:y val="-2.9839412271658009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7BE-4E06-B852-5E6A943790A4}"/>
                </c:ext>
              </c:extLst>
            </c:dLbl>
            <c:numFmt formatCode="#,##0.0" sourceLinked="0"/>
            <c:spPr>
              <a:noFill/>
              <a:ln w="25386">
                <a:noFill/>
              </a:ln>
            </c:spPr>
            <c:txPr>
              <a:bodyPr/>
              <a:lstStyle/>
              <a:p>
                <a:pPr>
                  <a:defRPr sz="800" baseline="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Եվրոպական միություն</c:v>
                </c:pt>
                <c:pt idx="1">
                  <c:v>ԱՄՆ կառավարություն</c:v>
                </c:pt>
                <c:pt idx="2">
                  <c:v>Գերմանիայի զարգացման վարկերի բանկ</c:v>
                </c:pt>
                <c:pt idx="3">
                  <c:v>Գլոբալ էկոլոգիական հիմնադրամ</c:v>
                </c:pt>
                <c:pt idx="4">
                  <c:v>Համաշխարհային բանկ</c:v>
                </c:pt>
              </c:strCache>
            </c:strRef>
          </c:cat>
          <c:val>
            <c:numRef>
              <c:f>Sheet1!$C$2:$C$6</c:f>
              <c:numCache>
                <c:formatCode>0.0</c:formatCode>
                <c:ptCount val="5"/>
                <c:pt idx="0">
                  <c:v>556.67150000000004</c:v>
                </c:pt>
                <c:pt idx="1">
                  <c:v>290.56809000000004</c:v>
                </c:pt>
                <c:pt idx="2">
                  <c:v>157.86932000000002</c:v>
                </c:pt>
                <c:pt idx="3">
                  <c:v>20.179830000000003</c:v>
                </c:pt>
                <c:pt idx="4">
                  <c:v>99.885480000000001</c:v>
                </c:pt>
              </c:numCache>
            </c:numRef>
          </c:val>
          <c:extLst xmlns:c16r2="http://schemas.microsoft.com/office/drawing/2015/06/chart">
            <c:ext xmlns:c16="http://schemas.microsoft.com/office/drawing/2014/chart" uri="{C3380CC4-5D6E-409C-BE32-E72D297353CC}">
              <c16:uniqueId val="{00000005-C7BE-4E06-B852-5E6A943790A4}"/>
            </c:ext>
          </c:extLst>
        </c:ser>
        <c:dLbls>
          <c:showLegendKey val="0"/>
          <c:showVal val="0"/>
          <c:showCatName val="0"/>
          <c:showSerName val="0"/>
          <c:showPercent val="0"/>
          <c:showBubbleSize val="0"/>
        </c:dLbls>
        <c:gapWidth val="150"/>
        <c:axId val="296130816"/>
        <c:axId val="319639552"/>
      </c:barChart>
      <c:catAx>
        <c:axId val="296130816"/>
        <c:scaling>
          <c:orientation val="minMax"/>
        </c:scaling>
        <c:delete val="0"/>
        <c:axPos val="l"/>
        <c:numFmt formatCode="General" sourceLinked="0"/>
        <c:majorTickMark val="out"/>
        <c:minorTickMark val="none"/>
        <c:tickLblPos val="nextTo"/>
        <c:txPr>
          <a:bodyPr/>
          <a:lstStyle/>
          <a:p>
            <a:pPr>
              <a:defRPr sz="700" baseline="0">
                <a:latin typeface="GHEA Grapalat" pitchFamily="50" charset="0"/>
              </a:defRPr>
            </a:pPr>
            <a:endParaRPr lang="en-US"/>
          </a:p>
        </c:txPr>
        <c:crossAx val="319639552"/>
        <c:crosses val="autoZero"/>
        <c:auto val="1"/>
        <c:lblAlgn val="ctr"/>
        <c:lblOffset val="100"/>
        <c:noMultiLvlLbl val="0"/>
      </c:catAx>
      <c:valAx>
        <c:axId val="319639552"/>
        <c:scaling>
          <c:orientation val="minMax"/>
        </c:scaling>
        <c:delete val="0"/>
        <c:axPos val="b"/>
        <c:majorGridlines/>
        <c:numFmt formatCode="#,##0.0" sourceLinked="0"/>
        <c:majorTickMark val="out"/>
        <c:minorTickMark val="none"/>
        <c:tickLblPos val="nextTo"/>
        <c:txPr>
          <a:bodyPr/>
          <a:lstStyle/>
          <a:p>
            <a:pPr>
              <a:defRPr sz="800" baseline="0"/>
            </a:pPr>
            <a:endParaRPr lang="en-US"/>
          </a:p>
        </c:txPr>
        <c:crossAx val="296130816"/>
        <c:crosses val="autoZero"/>
        <c:crossBetween val="between"/>
        <c:majorUnit val="500"/>
      </c:valAx>
    </c:plotArea>
    <c:legend>
      <c:legendPos val="r"/>
      <c:layout>
        <c:manualLayout>
          <c:xMode val="edge"/>
          <c:yMode val="edge"/>
          <c:x val="1.9616382032963369E-5"/>
          <c:y val="0.9405891998054019"/>
          <c:w val="0.99939220601909062"/>
          <c:h val="5.7466260653345147E-2"/>
        </c:manualLayout>
      </c:layout>
      <c:overlay val="1"/>
      <c:spPr>
        <a:effectLst>
          <a:glow>
            <a:schemeClr val="accent1">
              <a:alpha val="40000"/>
            </a:schemeClr>
          </a:glow>
        </a:effectLst>
      </c:spPr>
      <c:txPr>
        <a:bodyPr/>
        <a:lstStyle/>
        <a:p>
          <a:pPr algn="just">
            <a:defRPr sz="700" baseline="0">
              <a:latin typeface="GHEA Grapalat" pitchFamily="50" charset="0"/>
            </a:defRPr>
          </a:pPr>
          <a:endParaRPr lang="en-US"/>
        </a:p>
      </c:txPr>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GHEA Grapalat"/>
                <a:ea typeface="GHEA Grapalat"/>
                <a:cs typeface="GHEA Grapalat"/>
              </a:defRPr>
            </a:pPr>
            <a:r>
              <a:rPr lang="hy-AM" sz="900" baseline="0"/>
              <a:t>202</a:t>
            </a:r>
            <a:r>
              <a:rPr lang="en-US" sz="900" baseline="0"/>
              <a:t>1</a:t>
            </a:r>
            <a:r>
              <a:rPr lang="hy-AM" sz="900" baseline="0"/>
              <a:t>թ. </a:t>
            </a:r>
            <a:r>
              <a:rPr lang="en-US" sz="900" baseline="0"/>
              <a:t>առաջին եռամսյակ</a:t>
            </a:r>
            <a:endParaRPr lang="hy-AM" sz="900" baseline="0"/>
          </a:p>
        </c:rich>
      </c:tx>
      <c:layout>
        <c:manualLayout>
          <c:xMode val="edge"/>
          <c:yMode val="edge"/>
          <c:x val="0.22713006984730999"/>
          <c:y val="1.2311893849089759E-4"/>
        </c:manualLayout>
      </c:layout>
      <c:overlay val="0"/>
      <c:spPr>
        <a:noFill/>
        <a:ln w="25154">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5.2733532333520496E-2"/>
          <c:y val="0.26307718997811841"/>
          <c:w val="0.8829606441961837"/>
          <c:h val="0.45188028794712104"/>
        </c:manualLayout>
      </c:layout>
      <c:pie3DChart>
        <c:varyColors val="1"/>
        <c:ser>
          <c:idx val="1"/>
          <c:order val="0"/>
          <c:tx>
            <c:strRef>
              <c:f>Sheet1!$B$1</c:f>
              <c:strCache>
                <c:ptCount val="1"/>
                <c:pt idx="0">
                  <c:v>2021թ.առաջին եռամսյակի փաստացի</c:v>
                </c:pt>
              </c:strCache>
            </c:strRef>
          </c:tx>
          <c:spPr>
            <a:solidFill>
              <a:srgbClr val="9999FF"/>
            </a:solidFill>
            <a:ln w="12538">
              <a:solidFill>
                <a:srgbClr val="000000"/>
              </a:solidFill>
              <a:prstDash val="solid"/>
            </a:ln>
          </c:spPr>
          <c:explosion val="12"/>
          <c:dPt>
            <c:idx val="0"/>
            <c:bubble3D val="0"/>
            <c:spPr>
              <a:solidFill>
                <a:srgbClr val="C0504D">
                  <a:lumMod val="60000"/>
                  <a:lumOff val="40000"/>
                </a:srgbClr>
              </a:solidFill>
              <a:ln w="12538">
                <a:solidFill>
                  <a:srgbClr val="000000"/>
                </a:solidFill>
                <a:prstDash val="solid"/>
              </a:ln>
            </c:spPr>
            <c:extLst xmlns:c16r2="http://schemas.microsoft.com/office/drawing/2015/06/chart">
              <c:ext xmlns:c16="http://schemas.microsoft.com/office/drawing/2014/chart" uri="{C3380CC4-5D6E-409C-BE32-E72D297353CC}">
                <c16:uniqueId val="{00000001-03D6-4B50-AD46-9A39D2823348}"/>
              </c:ext>
            </c:extLst>
          </c:dPt>
          <c:dPt>
            <c:idx val="1"/>
            <c:bubble3D val="0"/>
            <c:spPr>
              <a:solidFill>
                <a:srgbClr val="1F497D">
                  <a:lumMod val="40000"/>
                  <a:lumOff val="60000"/>
                </a:srgbClr>
              </a:solidFill>
              <a:ln w="3144">
                <a:solidFill>
                  <a:srgbClr val="000000"/>
                </a:solidFill>
                <a:prstDash val="solid"/>
              </a:ln>
            </c:spPr>
            <c:extLst xmlns:c16r2="http://schemas.microsoft.com/office/drawing/2015/06/chart">
              <c:ext xmlns:c16="http://schemas.microsoft.com/office/drawing/2014/chart" uri="{C3380CC4-5D6E-409C-BE32-E72D297353CC}">
                <c16:uniqueId val="{00000003-03D6-4B50-AD46-9A39D2823348}"/>
              </c:ext>
            </c:extLst>
          </c:dPt>
          <c:dLbls>
            <c:dLbl>
              <c:idx val="0"/>
              <c:layout>
                <c:manualLayout>
                  <c:x val="0.26973504458731651"/>
                  <c:y val="-7.3730665089788677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3D6-4B50-AD46-9A39D2823348}"/>
                </c:ext>
              </c:extLst>
            </c:dLbl>
            <c:dLbl>
              <c:idx val="1"/>
              <c:layout>
                <c:manualLayout>
                  <c:x val="-6.8084789555838993E-2"/>
                  <c:y val="-2.324258058668212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3D6-4B50-AD46-9A39D2823348}"/>
                </c:ext>
              </c:extLst>
            </c:dLbl>
            <c:dLbl>
              <c:idx val="2"/>
              <c:layout>
                <c:manualLayout>
                  <c:x val="0.15726812907202858"/>
                  <c:y val="-1.5925699837234793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3D6-4B50-AD46-9A39D2823348}"/>
                </c:ext>
              </c:extLst>
            </c:dLbl>
            <c:numFmt formatCode="0.0%" sourceLinked="0"/>
            <c:spPr>
              <a:noFill/>
              <a:ln w="25154">
                <a:noFill/>
              </a:ln>
            </c:spPr>
            <c:txPr>
              <a:bodyPr/>
              <a:lstStyle/>
              <a:p>
                <a:pPr>
                  <a:defRPr sz="900" b="1" i="0" u="none" strike="noStrike" baseline="0">
                    <a:solidFill>
                      <a:srgbClr val="000000"/>
                    </a:solidFill>
                    <a:latin typeface="GHEA Grapalat"/>
                    <a:ea typeface="GHEA Grapalat"/>
                    <a:cs typeface="GHEA Grapalat"/>
                  </a:defRPr>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Sheet1!$A$2:$A$3</c:f>
              <c:strCache>
                <c:ptCount val="2"/>
                <c:pt idx="0">
                  <c:v>Ընթացիկ ծախսեր</c:v>
                </c:pt>
                <c:pt idx="1">
                  <c:v>Ոչ ֆինանսական ակտիվների հետ գործառնություններ</c:v>
                </c:pt>
              </c:strCache>
            </c:strRef>
          </c:cat>
          <c:val>
            <c:numRef>
              <c:f>Sheet1!$B$2:$B$3</c:f>
              <c:numCache>
                <c:formatCode>#,##0.00</c:formatCode>
                <c:ptCount val="2"/>
                <c:pt idx="0">
                  <c:v>355805.9</c:v>
                </c:pt>
                <c:pt idx="1">
                  <c:v>49085</c:v>
                </c:pt>
              </c:numCache>
            </c:numRef>
          </c:val>
          <c:extLst xmlns:c16r2="http://schemas.microsoft.com/office/drawing/2015/06/chart">
            <c:ext xmlns:c16="http://schemas.microsoft.com/office/drawing/2014/chart" uri="{C3380CC4-5D6E-409C-BE32-E72D297353CC}">
              <c16:uniqueId val="{00000005-03D6-4B50-AD46-9A39D2823348}"/>
            </c:ext>
          </c:extLst>
        </c:ser>
        <c:dLbls>
          <c:showLegendKey val="0"/>
          <c:showVal val="0"/>
          <c:showCatName val="0"/>
          <c:showSerName val="0"/>
          <c:showPercent val="0"/>
          <c:showBubbleSize val="0"/>
          <c:showLeaderLines val="1"/>
        </c:dLbls>
      </c:pie3DChart>
      <c:spPr>
        <a:solidFill>
          <a:srgbClr val="FFFFFF"/>
        </a:solidFill>
        <a:ln w="12538">
          <a:solidFill>
            <a:srgbClr val="FFFFFF"/>
          </a:solidFill>
          <a:prstDash val="solid"/>
        </a:ln>
      </c:spPr>
    </c:plotArea>
    <c:legend>
      <c:legendPos val="r"/>
      <c:layout>
        <c:manualLayout>
          <c:xMode val="edge"/>
          <c:yMode val="edge"/>
          <c:x val="1.2387601367700962E-2"/>
          <c:y val="0.81392083452255037"/>
          <c:w val="0.96509162602834009"/>
          <c:h val="0.16475720385698056"/>
        </c:manualLayout>
      </c:layout>
      <c:overlay val="0"/>
      <c:spPr>
        <a:noFill/>
        <a:ln w="3134">
          <a:solidFill>
            <a:srgbClr val="000000"/>
          </a:solidFill>
          <a:prstDash val="solid"/>
        </a:ln>
      </c:spPr>
      <c:txPr>
        <a:bodyPr/>
        <a:lstStyle/>
        <a:p>
          <a:pPr>
            <a:defRPr sz="800" b="0" i="0" u="none" strike="noStrike" baseline="0">
              <a:solidFill>
                <a:srgbClr val="000000"/>
              </a:solidFill>
              <a:latin typeface="GHEA Grapalat"/>
              <a:ea typeface="GHEA Grapalat"/>
              <a:cs typeface="GHEA Grapalat"/>
            </a:defRPr>
          </a:pPr>
          <a:endParaRPr lang="en-US"/>
        </a:p>
      </c:txPr>
    </c:legend>
    <c:plotVisOnly val="1"/>
    <c:dispBlanksAs val="zero"/>
    <c:showDLblsOverMax val="0"/>
  </c:chart>
  <c:spPr>
    <a:noFill/>
    <a:ln>
      <a:noFill/>
    </a:ln>
  </c:spPr>
  <c:txPr>
    <a:bodyPr/>
    <a:lstStyle/>
    <a:p>
      <a:pPr>
        <a:defRPr sz="913" b="1" i="0" u="none" strike="noStrike" baseline="0">
          <a:solidFill>
            <a:srgbClr val="000000"/>
          </a:solidFill>
          <a:latin typeface="Arial Armenian"/>
          <a:ea typeface="Arial Armenian"/>
          <a:cs typeface="Arial Armenian"/>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GHEA Grapalat"/>
                <a:ea typeface="GHEA Grapalat"/>
                <a:cs typeface="GHEA Grapalat"/>
              </a:defRPr>
            </a:pPr>
            <a:r>
              <a:rPr lang="hy-AM" sz="900" baseline="0"/>
              <a:t>202</a:t>
            </a:r>
            <a:r>
              <a:rPr lang="en-US" sz="900" baseline="0"/>
              <a:t>2</a:t>
            </a:r>
            <a:r>
              <a:rPr lang="hy-AM" sz="900" baseline="0"/>
              <a:t>թ. </a:t>
            </a:r>
            <a:r>
              <a:rPr lang="en-US" sz="900" b="1" i="0" u="none" strike="noStrike" baseline="0">
                <a:effectLst/>
              </a:rPr>
              <a:t>առաջին եռամսյակ</a:t>
            </a:r>
            <a:endParaRPr lang="hy-AM" sz="900" baseline="0"/>
          </a:p>
        </c:rich>
      </c:tx>
      <c:layout>
        <c:manualLayout>
          <c:xMode val="edge"/>
          <c:yMode val="edge"/>
          <c:x val="0.20242226864264135"/>
          <c:y val="0"/>
        </c:manualLayout>
      </c:layout>
      <c:overlay val="0"/>
      <c:spPr>
        <a:noFill/>
        <a:ln w="25231">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4.5210241604413531E-2"/>
          <c:y val="0.2559229841631746"/>
          <c:w val="0.90699870880158584"/>
          <c:h val="0.46065531067062332"/>
        </c:manualLayout>
      </c:layout>
      <c:pie3DChart>
        <c:varyColors val="1"/>
        <c:ser>
          <c:idx val="1"/>
          <c:order val="0"/>
          <c:tx>
            <c:strRef>
              <c:f>Sheet1!$B$1</c:f>
              <c:strCache>
                <c:ptCount val="1"/>
                <c:pt idx="0">
                  <c:v>2022թ. առաջին եռամսյակի փաստացի</c:v>
                </c:pt>
              </c:strCache>
            </c:strRef>
          </c:tx>
          <c:spPr>
            <a:solidFill>
              <a:srgbClr val="9999FF"/>
            </a:solidFill>
            <a:ln w="12577">
              <a:solidFill>
                <a:srgbClr val="000000"/>
              </a:solidFill>
              <a:prstDash val="solid"/>
            </a:ln>
          </c:spPr>
          <c:explosion val="12"/>
          <c:dPt>
            <c:idx val="0"/>
            <c:bubble3D val="0"/>
            <c:spPr>
              <a:solidFill>
                <a:srgbClr val="C0504D">
                  <a:lumMod val="60000"/>
                  <a:lumOff val="40000"/>
                </a:srgbClr>
              </a:solidFill>
              <a:ln w="12577">
                <a:solidFill>
                  <a:srgbClr val="000000"/>
                </a:solidFill>
                <a:prstDash val="solid"/>
              </a:ln>
            </c:spPr>
            <c:extLst xmlns:c16r2="http://schemas.microsoft.com/office/drawing/2015/06/chart">
              <c:ext xmlns:c16="http://schemas.microsoft.com/office/drawing/2014/chart" uri="{C3380CC4-5D6E-409C-BE32-E72D297353CC}">
                <c16:uniqueId val="{00000001-CDD3-4123-8B42-9C7402CD1B07}"/>
              </c:ext>
            </c:extLst>
          </c:dPt>
          <c:dPt>
            <c:idx val="1"/>
            <c:bubble3D val="0"/>
            <c:spPr>
              <a:solidFill>
                <a:srgbClr val="4F81BD">
                  <a:lumMod val="60000"/>
                  <a:lumOff val="40000"/>
                </a:srgbClr>
              </a:solidFill>
              <a:ln w="3154">
                <a:solidFill>
                  <a:srgbClr val="000000"/>
                </a:solidFill>
                <a:prstDash val="solid"/>
              </a:ln>
            </c:spPr>
            <c:extLst xmlns:c16r2="http://schemas.microsoft.com/office/drawing/2015/06/chart">
              <c:ext xmlns:c16="http://schemas.microsoft.com/office/drawing/2014/chart" uri="{C3380CC4-5D6E-409C-BE32-E72D297353CC}">
                <c16:uniqueId val="{00000003-CDD3-4123-8B42-9C7402CD1B07}"/>
              </c:ext>
            </c:extLst>
          </c:dPt>
          <c:dLbls>
            <c:dLbl>
              <c:idx val="0"/>
              <c:layout>
                <c:manualLayout>
                  <c:x val="0.24856519618514711"/>
                  <c:y val="-1.0837654314468862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DD3-4123-8B42-9C7402CD1B07}"/>
                </c:ext>
              </c:extLst>
            </c:dLbl>
            <c:dLbl>
              <c:idx val="1"/>
              <c:layout>
                <c:manualLayout>
                  <c:x val="-4.3309967074610711E-2"/>
                  <c:y val="-3.0348733124799132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DD3-4123-8B42-9C7402CD1B07}"/>
                </c:ext>
              </c:extLst>
            </c:dLbl>
            <c:dLbl>
              <c:idx val="2"/>
              <c:layout>
                <c:manualLayout>
                  <c:x val="0.15726818767699047"/>
                  <c:y val="-4.43492426131552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DD3-4123-8B42-9C7402CD1B07}"/>
                </c:ext>
              </c:extLst>
            </c:dLbl>
            <c:numFmt formatCode="0.0%" sourceLinked="0"/>
            <c:spPr>
              <a:noFill/>
              <a:ln w="25231">
                <a:noFill/>
              </a:ln>
            </c:spPr>
            <c:txPr>
              <a:bodyPr/>
              <a:lstStyle/>
              <a:p>
                <a:pPr>
                  <a:defRPr sz="900" b="1" i="0" u="none" strike="noStrike" baseline="0">
                    <a:solidFill>
                      <a:srgbClr val="000000"/>
                    </a:solidFill>
                    <a:latin typeface="GHEA Grapalat"/>
                    <a:ea typeface="GHEA Grapalat"/>
                    <a:cs typeface="GHEA Grapalat"/>
                  </a:defRPr>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Sheet1!$A$2:$A$3</c:f>
              <c:strCache>
                <c:ptCount val="2"/>
                <c:pt idx="0">
                  <c:v>Ընթացիկ ծախսեր</c:v>
                </c:pt>
                <c:pt idx="1">
                  <c:v>Ոչ ֆինանսական ակտիվների հետ գործառնություններ</c:v>
                </c:pt>
              </c:strCache>
            </c:strRef>
          </c:cat>
          <c:val>
            <c:numRef>
              <c:f>Sheet1!$B$2:$B$3</c:f>
              <c:numCache>
                <c:formatCode>#,##0.00</c:formatCode>
                <c:ptCount val="2"/>
                <c:pt idx="0">
                  <c:v>362168.9</c:v>
                </c:pt>
                <c:pt idx="1">
                  <c:v>34647.800000000003</c:v>
                </c:pt>
              </c:numCache>
            </c:numRef>
          </c:val>
          <c:extLst xmlns:c16r2="http://schemas.microsoft.com/office/drawing/2015/06/chart">
            <c:ext xmlns:c16="http://schemas.microsoft.com/office/drawing/2014/chart" uri="{C3380CC4-5D6E-409C-BE32-E72D297353CC}">
              <c16:uniqueId val="{00000005-CDD3-4123-8B42-9C7402CD1B07}"/>
            </c:ext>
          </c:extLst>
        </c:ser>
        <c:dLbls>
          <c:showLegendKey val="0"/>
          <c:showVal val="0"/>
          <c:showCatName val="0"/>
          <c:showSerName val="0"/>
          <c:showPercent val="0"/>
          <c:showBubbleSize val="0"/>
          <c:showLeaderLines val="1"/>
        </c:dLbls>
      </c:pie3DChart>
      <c:spPr>
        <a:solidFill>
          <a:srgbClr val="FFFFFF"/>
        </a:solidFill>
        <a:ln w="12577">
          <a:solidFill>
            <a:srgbClr val="FFFFFF"/>
          </a:solidFill>
          <a:prstDash val="solid"/>
        </a:ln>
      </c:spPr>
    </c:plotArea>
    <c:plotVisOnly val="1"/>
    <c:dispBlanksAs val="zero"/>
    <c:showDLblsOverMax val="0"/>
  </c:chart>
  <c:spPr>
    <a:noFill/>
    <a:ln>
      <a:noFill/>
    </a:ln>
  </c:spPr>
  <c:txPr>
    <a:bodyPr/>
    <a:lstStyle/>
    <a:p>
      <a:pPr>
        <a:defRPr sz="916" b="1" i="0" u="none" strike="noStrike" baseline="0">
          <a:solidFill>
            <a:srgbClr val="000000"/>
          </a:solidFill>
          <a:latin typeface="Arial Armenian"/>
          <a:ea typeface="Arial Armenian"/>
          <a:cs typeface="Arial Armenian"/>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713466301935558"/>
          <c:y val="4.5008821342364738E-2"/>
          <c:w val="0.69265765349778152"/>
          <c:h val="0.77947494134385131"/>
        </c:manualLayout>
      </c:layout>
      <c:barChart>
        <c:barDir val="bar"/>
        <c:grouping val="clustered"/>
        <c:varyColors val="0"/>
        <c:ser>
          <c:idx val="0"/>
          <c:order val="0"/>
          <c:tx>
            <c:strRef>
              <c:f>Sheet1!$B$1</c:f>
              <c:strCache>
                <c:ptCount val="1"/>
                <c:pt idx="0">
                  <c:v>2022թ. առաջին եռամսյակի ճշտված ծրագիր</c:v>
                </c:pt>
              </c:strCache>
            </c:strRef>
          </c:tx>
          <c:spPr>
            <a:solidFill>
              <a:srgbClr val="FFC000"/>
            </a:solidFill>
          </c:spPr>
          <c:invertIfNegative val="0"/>
          <c:dLbls>
            <c:dLbl>
              <c:idx val="6"/>
              <c:layout>
                <c:manualLayout>
                  <c:x val="0"/>
                  <c:y val="2.4550266186744402E-2"/>
                </c:manualLayout>
              </c:layout>
              <c:numFmt formatCode="#,##0.0" sourceLinked="0"/>
              <c:spPr/>
              <c:txPr>
                <a:bodyPr/>
                <a:lstStyle/>
                <a:p>
                  <a:pPr>
                    <a:defRPr sz="853" baseline="0">
                      <a:latin typeface="GHEA Grapalat" pitchFamily="50" charset="0"/>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167-4CE6-904D-FD4075796AD2}"/>
                </c:ext>
              </c:extLst>
            </c:dLbl>
            <c:numFmt formatCode="#,##0.0" sourceLinked="0"/>
            <c:spPr>
              <a:noFill/>
              <a:ln>
                <a:noFill/>
              </a:ln>
              <a:effectLst/>
            </c:spPr>
            <c:txPr>
              <a:bodyPr/>
              <a:lstStyle/>
              <a:p>
                <a:pPr>
                  <a:defRPr sz="853" baseline="0">
                    <a:latin typeface="GHEA Grapalat" pitchFamily="50"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Այլ դոնորներ</c:v>
                </c:pt>
                <c:pt idx="1">
                  <c:v>Վերակառուցման և զարգացման
եվրոպական բանկ</c:v>
                </c:pt>
                <c:pt idx="2">
                  <c:v>Եվրոպական ներդրումային բանկ</c:v>
                </c:pt>
                <c:pt idx="3">
                  <c:v>Եվրասիական զարգացման բանկ</c:v>
                </c:pt>
                <c:pt idx="4">
                  <c:v>Ֆրանսիա</c:v>
                </c:pt>
                <c:pt idx="5">
                  <c:v>Գերմանիա (Վերականգնման
վարկերի բանկ)</c:v>
                </c:pt>
                <c:pt idx="6">
                  <c:v>Ասիական զարգացման բանկ</c:v>
                </c:pt>
                <c:pt idx="7">
                  <c:v>Համաշխարհային բանկ</c:v>
                </c:pt>
              </c:strCache>
            </c:strRef>
          </c:cat>
          <c:val>
            <c:numRef>
              <c:f>Sheet1!$B$2:$B$9</c:f>
              <c:numCache>
                <c:formatCode>General</c:formatCode>
                <c:ptCount val="8"/>
                <c:pt idx="0">
                  <c:v>0.12543731</c:v>
                </c:pt>
                <c:pt idx="1">
                  <c:v>3.5482092999999999</c:v>
                </c:pt>
                <c:pt idx="2">
                  <c:v>1.9996231</c:v>
                </c:pt>
                <c:pt idx="3">
                  <c:v>1.8844524</c:v>
                </c:pt>
                <c:pt idx="4">
                  <c:v>0.72068189999999999</c:v>
                </c:pt>
                <c:pt idx="5">
                  <c:v>0.95542360000000004</c:v>
                </c:pt>
                <c:pt idx="6">
                  <c:v>9.9483596999999993</c:v>
                </c:pt>
                <c:pt idx="7">
                  <c:v>5.0640077000000003</c:v>
                </c:pt>
              </c:numCache>
            </c:numRef>
          </c:val>
          <c:extLst xmlns:c16r2="http://schemas.microsoft.com/office/drawing/2015/06/chart">
            <c:ext xmlns:c16="http://schemas.microsoft.com/office/drawing/2014/chart" uri="{C3380CC4-5D6E-409C-BE32-E72D297353CC}">
              <c16:uniqueId val="{00000001-94FB-466C-B196-E8A087A1C6A2}"/>
            </c:ext>
          </c:extLst>
        </c:ser>
        <c:ser>
          <c:idx val="1"/>
          <c:order val="1"/>
          <c:tx>
            <c:strRef>
              <c:f>Sheet1!$C$1</c:f>
              <c:strCache>
                <c:ptCount val="1"/>
                <c:pt idx="0">
                  <c:v>2022թ. առաջին եռամսյակի փաստացի</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2-94FB-466C-B196-E8A087A1C6A2}"/>
              </c:ext>
            </c:extLst>
          </c:dPt>
          <c:dPt>
            <c:idx val="1"/>
            <c:invertIfNegative val="0"/>
            <c:bubble3D val="0"/>
            <c:extLst xmlns:c16r2="http://schemas.microsoft.com/office/drawing/2015/06/chart">
              <c:ext xmlns:c16="http://schemas.microsoft.com/office/drawing/2014/chart" uri="{C3380CC4-5D6E-409C-BE32-E72D297353CC}">
                <c16:uniqueId val="{00000003-94FB-466C-B196-E8A087A1C6A2}"/>
              </c:ext>
            </c:extLst>
          </c:dPt>
          <c:dPt>
            <c:idx val="2"/>
            <c:invertIfNegative val="0"/>
            <c:bubble3D val="0"/>
            <c:extLst xmlns:c16r2="http://schemas.microsoft.com/office/drawing/2015/06/chart">
              <c:ext xmlns:c16="http://schemas.microsoft.com/office/drawing/2014/chart" uri="{C3380CC4-5D6E-409C-BE32-E72D297353CC}">
                <c16:uniqueId val="{00000004-94FB-466C-B196-E8A087A1C6A2}"/>
              </c:ext>
            </c:extLst>
          </c:dPt>
          <c:dPt>
            <c:idx val="3"/>
            <c:invertIfNegative val="0"/>
            <c:bubble3D val="0"/>
            <c:extLst xmlns:c16r2="http://schemas.microsoft.com/office/drawing/2015/06/chart">
              <c:ext xmlns:c16="http://schemas.microsoft.com/office/drawing/2014/chart" uri="{C3380CC4-5D6E-409C-BE32-E72D297353CC}">
                <c16:uniqueId val="{00000005-94FB-466C-B196-E8A087A1C6A2}"/>
              </c:ext>
            </c:extLst>
          </c:dPt>
          <c:dPt>
            <c:idx val="6"/>
            <c:invertIfNegative val="0"/>
            <c:bubble3D val="0"/>
            <c:extLst xmlns:c16r2="http://schemas.microsoft.com/office/drawing/2015/06/chart">
              <c:ext xmlns:c16="http://schemas.microsoft.com/office/drawing/2014/chart" uri="{C3380CC4-5D6E-409C-BE32-E72D297353CC}">
                <c16:uniqueId val="{00000006-94FB-466C-B196-E8A087A1C6A2}"/>
              </c:ext>
            </c:extLst>
          </c:dPt>
          <c:dPt>
            <c:idx val="7"/>
            <c:invertIfNegative val="0"/>
            <c:bubble3D val="0"/>
            <c:extLst xmlns:c16r2="http://schemas.microsoft.com/office/drawing/2015/06/chart">
              <c:ext xmlns:c16="http://schemas.microsoft.com/office/drawing/2014/chart" uri="{C3380CC4-5D6E-409C-BE32-E72D297353CC}">
                <c16:uniqueId val="{00000007-94FB-466C-B196-E8A087A1C6A2}"/>
              </c:ext>
            </c:extLst>
          </c:dPt>
          <c:dLbls>
            <c:dLbl>
              <c:idx val="0"/>
              <c:layout>
                <c:manualLayout>
                  <c:x val="-1.9930244145490781E-3"/>
                  <c:y val="-4.0276215473066049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4FB-466C-B196-E8A087A1C6A2}"/>
                </c:ext>
              </c:extLst>
            </c:dLbl>
            <c:dLbl>
              <c:idx val="1"/>
              <c:layout>
                <c:manualLayout>
                  <c:x val="-2.1957815272664306E-6"/>
                  <c:y val="-3.980127484064491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4FB-466C-B196-E8A087A1C6A2}"/>
                </c:ext>
              </c:extLst>
            </c:dLbl>
            <c:dLbl>
              <c:idx val="2"/>
              <c:layout>
                <c:manualLayout>
                  <c:x val="-2.1814459296307146E-3"/>
                  <c:y val="-3.603927527098725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4FB-466C-B196-E8A087A1C6A2}"/>
                </c:ext>
              </c:extLst>
            </c:dLbl>
            <c:dLbl>
              <c:idx val="3"/>
              <c:layout>
                <c:manualLayout>
                  <c:x val="3.9756991546159781E-3"/>
                  <c:y val="-4.238303827908433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4FB-466C-B196-E8A087A1C6A2}"/>
                </c:ext>
              </c:extLst>
            </c:dLbl>
            <c:dLbl>
              <c:idx val="4"/>
              <c:layout>
                <c:manualLayout>
                  <c:x val="-1.8219895488256535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4FB-466C-B196-E8A087A1C6A2}"/>
                </c:ext>
              </c:extLst>
            </c:dLbl>
            <c:dLbl>
              <c:idx val="5"/>
              <c:layout>
                <c:manualLayout>
                  <c:x val="4.555770892864145E-4"/>
                  <c:y val="-4.091711031124067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4FB-466C-B196-E8A087A1C6A2}"/>
                </c:ext>
              </c:extLst>
            </c:dLbl>
            <c:dLbl>
              <c:idx val="6"/>
              <c:layout>
                <c:manualLayout>
                  <c:x val="5.9824067710373911E-3"/>
                  <c:y val="-3.694850643669541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4FB-466C-B196-E8A087A1C6A2}"/>
                </c:ext>
              </c:extLst>
            </c:dLbl>
            <c:dLbl>
              <c:idx val="7"/>
              <c:layout>
                <c:manualLayout>
                  <c:x val="4.083369433027252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4FB-466C-B196-E8A087A1C6A2}"/>
                </c:ext>
              </c:extLst>
            </c:dLbl>
            <c:numFmt formatCode="#,##0.0" sourceLinked="0"/>
            <c:spPr>
              <a:noFill/>
              <a:ln w="27081">
                <a:noFill/>
              </a:ln>
            </c:spPr>
            <c:txPr>
              <a:bodyPr rot="0" spcFirstLastPara="1" vertOverflow="ellipsis" vert="horz" wrap="square" lIns="38100" tIns="19050" rIns="38100" bIns="19050" anchor="ctr" anchorCtr="1">
                <a:spAutoFit/>
              </a:bodyPr>
              <a:lstStyle/>
              <a:p>
                <a:pPr>
                  <a:defRPr sz="853" b="0" i="0" u="none" strike="noStrike" kern="1200" baseline="0">
                    <a:solidFill>
                      <a:schemeClr val="tx1"/>
                    </a:solidFill>
                    <a:latin typeface="GHEA Grapalat" pitchFamily="50" charset="0"/>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Այլ դոնորներ</c:v>
                </c:pt>
                <c:pt idx="1">
                  <c:v>Վերակառուցման և զարգացման
եվրոպական բանկ</c:v>
                </c:pt>
                <c:pt idx="2">
                  <c:v>Եվրոպական ներդրումային բանկ</c:v>
                </c:pt>
                <c:pt idx="3">
                  <c:v>Եվրասիական զարգացման բանկ</c:v>
                </c:pt>
                <c:pt idx="4">
                  <c:v>Ֆրանսիա</c:v>
                </c:pt>
                <c:pt idx="5">
                  <c:v>Գերմանիա (Վերականգնման
վարկերի բանկ)</c:v>
                </c:pt>
                <c:pt idx="6">
                  <c:v>Ասիական զարգացման բանկ</c:v>
                </c:pt>
                <c:pt idx="7">
                  <c:v>Համաշխարհային բանկ</c:v>
                </c:pt>
              </c:strCache>
            </c:strRef>
          </c:cat>
          <c:val>
            <c:numRef>
              <c:f>Sheet1!$C$2:$C$9</c:f>
              <c:numCache>
                <c:formatCode>_(* #,##0.00_);_(* \(#,##0.00\);_(* "-"??_);_(@_)</c:formatCode>
                <c:ptCount val="8"/>
                <c:pt idx="0">
                  <c:v>0</c:v>
                </c:pt>
                <c:pt idx="1">
                  <c:v>0.24662799397099999</c:v>
                </c:pt>
                <c:pt idx="2">
                  <c:v>0</c:v>
                </c:pt>
                <c:pt idx="3">
                  <c:v>1.1356866000570001</c:v>
                </c:pt>
                <c:pt idx="4">
                  <c:v>0</c:v>
                </c:pt>
                <c:pt idx="5">
                  <c:v>0</c:v>
                </c:pt>
                <c:pt idx="6">
                  <c:v>1.921896549507</c:v>
                </c:pt>
                <c:pt idx="7">
                  <c:v>3.0392791642070001</c:v>
                </c:pt>
              </c:numCache>
            </c:numRef>
          </c:val>
          <c:extLst xmlns:c16r2="http://schemas.microsoft.com/office/drawing/2015/06/chart">
            <c:ext xmlns:c16="http://schemas.microsoft.com/office/drawing/2014/chart" uri="{C3380CC4-5D6E-409C-BE32-E72D297353CC}">
              <c16:uniqueId val="{0000000B-94FB-466C-B196-E8A087A1C6A2}"/>
            </c:ext>
          </c:extLst>
        </c:ser>
        <c:dLbls>
          <c:showLegendKey val="0"/>
          <c:showVal val="0"/>
          <c:showCatName val="0"/>
          <c:showSerName val="0"/>
          <c:showPercent val="0"/>
          <c:showBubbleSize val="0"/>
        </c:dLbls>
        <c:gapWidth val="100"/>
        <c:axId val="308006912"/>
        <c:axId val="308008448"/>
      </c:barChart>
      <c:catAx>
        <c:axId val="308006912"/>
        <c:scaling>
          <c:orientation val="minMax"/>
        </c:scaling>
        <c:delete val="0"/>
        <c:axPos val="l"/>
        <c:numFmt formatCode="General" sourceLinked="1"/>
        <c:majorTickMark val="out"/>
        <c:minorTickMark val="none"/>
        <c:tickLblPos val="nextTo"/>
        <c:spPr>
          <a:noFill/>
          <a:ln w="13541" cap="flat" cmpd="sng" algn="ctr">
            <a:solidFill>
              <a:schemeClr val="tx1">
                <a:lumMod val="15000"/>
                <a:lumOff val="85000"/>
              </a:schemeClr>
            </a:solidFill>
            <a:round/>
          </a:ln>
          <a:effectLst/>
        </c:spPr>
        <c:txPr>
          <a:bodyPr rot="-60000000" spcFirstLastPara="1" vertOverflow="ellipsis" vert="horz" wrap="square" anchor="ctr" anchorCtr="1"/>
          <a:lstStyle/>
          <a:p>
            <a:pPr>
              <a:defRPr sz="853" b="0" i="0" u="none" strike="noStrike" kern="1200" baseline="0">
                <a:solidFill>
                  <a:schemeClr val="tx1"/>
                </a:solidFill>
                <a:latin typeface="GHEA Grapalat" pitchFamily="50" charset="0"/>
                <a:ea typeface="+mn-ea"/>
                <a:cs typeface="+mn-cs"/>
              </a:defRPr>
            </a:pPr>
            <a:endParaRPr lang="en-US"/>
          </a:p>
        </c:txPr>
        <c:crossAx val="308008448"/>
        <c:crosses val="autoZero"/>
        <c:auto val="1"/>
        <c:lblAlgn val="ctr"/>
        <c:lblOffset val="100"/>
        <c:noMultiLvlLbl val="0"/>
      </c:catAx>
      <c:valAx>
        <c:axId val="308008448"/>
        <c:scaling>
          <c:orientation val="minMax"/>
        </c:scaling>
        <c:delete val="0"/>
        <c:axPos val="b"/>
        <c:majorGridlines>
          <c:spPr>
            <a:ln w="10156" cap="flat" cmpd="sng" algn="ctr">
              <a:solidFill>
                <a:schemeClr val="tx1">
                  <a:lumMod val="15000"/>
                  <a:lumOff val="85000"/>
                </a:schemeClr>
              </a:solidFill>
              <a:round/>
            </a:ln>
            <a:effectLst/>
          </c:spPr>
        </c:majorGridlines>
        <c:numFmt formatCode="_(* #,##0_);_(* \(#,##0\);_(* &quot;-&quot;_);_(@_)" sourceLinked="0"/>
        <c:majorTickMark val="out"/>
        <c:minorTickMark val="none"/>
        <c:tickLblPos val="nextTo"/>
        <c:spPr>
          <a:ln w="10156">
            <a:noFill/>
          </a:ln>
        </c:spPr>
        <c:txPr>
          <a:bodyPr rot="-60000000" spcFirstLastPara="1" vertOverflow="ellipsis" vert="horz" wrap="square" anchor="ctr" anchorCtr="1"/>
          <a:lstStyle/>
          <a:p>
            <a:pPr>
              <a:defRPr sz="960" b="0" i="0" u="none" strike="noStrike" kern="1200" baseline="0">
                <a:solidFill>
                  <a:schemeClr val="tx1"/>
                </a:solidFill>
                <a:latin typeface="+mn-lt"/>
                <a:ea typeface="+mn-ea"/>
                <a:cs typeface="+mn-cs"/>
              </a:defRPr>
            </a:pPr>
            <a:endParaRPr lang="en-US"/>
          </a:p>
        </c:txPr>
        <c:crossAx val="308006912"/>
        <c:crosses val="autoZero"/>
        <c:crossBetween val="between"/>
      </c:valAx>
      <c:spPr>
        <a:solidFill>
          <a:schemeClr val="bg1"/>
        </a:solidFill>
        <a:ln>
          <a:solidFill>
            <a:schemeClr val="accent1">
              <a:lumMod val="20000"/>
              <a:lumOff val="80000"/>
            </a:schemeClr>
          </a:solidFill>
        </a:ln>
        <a:effectLst/>
      </c:spPr>
    </c:plotArea>
    <c:legend>
      <c:legendPos val="b"/>
      <c:overlay val="0"/>
      <c:txPr>
        <a:bodyPr/>
        <a:lstStyle/>
        <a:p>
          <a:pPr>
            <a:defRPr baseline="0">
              <a:latin typeface="GHEA Grapalat" pitchFamily="50" charset="0"/>
            </a:defRPr>
          </a:pPr>
          <a:endParaRPr lang="en-US"/>
        </a:p>
      </c:txPr>
    </c:legend>
    <c:plotVisOnly val="1"/>
    <c:dispBlanksAs val="gap"/>
    <c:showDLblsOverMax val="0"/>
  </c:chart>
  <c:spPr>
    <a:solidFill>
      <a:schemeClr val="bg1"/>
    </a:solidFill>
    <a:ln w="10156" cap="flat" cmpd="sng" algn="ctr">
      <a:solidFill>
        <a:schemeClr val="tx1"/>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46374940837313E-2"/>
          <c:w val="0.87658476118247253"/>
          <c:h val="0.62133489719661383"/>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Sheet1!$B$1:$D$1</c:f>
              <c:strCache>
                <c:ptCount val="3"/>
                <c:pt idx="0">
                  <c:v>I</c:v>
                </c:pt>
                <c:pt idx="1">
                  <c:v>II</c:v>
                </c:pt>
                <c:pt idx="2">
                  <c:v>III</c:v>
                </c:pt>
              </c:strCache>
            </c:strRef>
          </c:cat>
          <c:val>
            <c:numRef>
              <c:f>Sheet1!$B$3:$D$3</c:f>
              <c:numCache>
                <c:formatCode>0.0</c:formatCode>
                <c:ptCount val="3"/>
                <c:pt idx="0">
                  <c:v>16.599999999999994</c:v>
                </c:pt>
                <c:pt idx="1">
                  <c:v>2.4000000000000057</c:v>
                </c:pt>
                <c:pt idx="2">
                  <c:v>-6.9000000000000057</c:v>
                </c:pt>
              </c:numCache>
            </c:numRef>
          </c:val>
          <c:extLst xmlns:c16r2="http://schemas.microsoft.com/office/drawing/2015/06/chart">
            <c:ext xmlns:c16="http://schemas.microsoft.com/office/drawing/2014/chart" uri="{C3380CC4-5D6E-409C-BE32-E72D297353CC}">
              <c16:uniqueId val="{00000000-D7B8-4C12-B3D3-9536EB5C8BFB}"/>
            </c:ext>
          </c:extLst>
        </c:ser>
        <c:ser>
          <c:idx val="2"/>
          <c:order val="2"/>
          <c:tx>
            <c:strRef>
              <c:f>Sheet1!$A$4</c:f>
              <c:strCache>
                <c:ptCount val="1"/>
                <c:pt idx="0">
                  <c:v>շինարարություն</c:v>
                </c:pt>
              </c:strCache>
            </c:strRef>
          </c:tx>
          <c:spPr>
            <a:solidFill>
              <a:srgbClr val="8064A2"/>
            </a:solidFill>
            <a:ln>
              <a:noFill/>
            </a:ln>
            <a:effectLst/>
          </c:spPr>
          <c:invertIfNegative val="0"/>
          <c:cat>
            <c:strRef>
              <c:f>Sheet1!$B$1:$D$1</c:f>
              <c:strCache>
                <c:ptCount val="3"/>
                <c:pt idx="0">
                  <c:v>I</c:v>
                </c:pt>
                <c:pt idx="1">
                  <c:v>II</c:v>
                </c:pt>
                <c:pt idx="2">
                  <c:v>III</c:v>
                </c:pt>
              </c:strCache>
            </c:strRef>
          </c:cat>
          <c:val>
            <c:numRef>
              <c:f>Sheet1!$B$4:$D$4</c:f>
              <c:numCache>
                <c:formatCode>0.0</c:formatCode>
                <c:ptCount val="3"/>
                <c:pt idx="0">
                  <c:v>3</c:v>
                </c:pt>
                <c:pt idx="1">
                  <c:v>6.2999999999999972</c:v>
                </c:pt>
                <c:pt idx="2">
                  <c:v>8.2000000000000028</c:v>
                </c:pt>
              </c:numCache>
            </c:numRef>
          </c:val>
          <c:extLst xmlns:c16r2="http://schemas.microsoft.com/office/drawing/2015/06/chart">
            <c:ext xmlns:c16="http://schemas.microsoft.com/office/drawing/2014/chart" uri="{C3380CC4-5D6E-409C-BE32-E72D297353CC}">
              <c16:uniqueId val="{00000001-D7B8-4C12-B3D3-9536EB5C8BFB}"/>
            </c:ext>
          </c:extLst>
        </c:ser>
        <c:ser>
          <c:idx val="3"/>
          <c:order val="3"/>
          <c:tx>
            <c:strRef>
              <c:f>Sheet1!$A$5</c:f>
              <c:strCache>
                <c:ptCount val="1"/>
                <c:pt idx="0">
                  <c:v>ծառայություններ</c:v>
                </c:pt>
              </c:strCache>
            </c:strRef>
          </c:tx>
          <c:spPr>
            <a:solidFill>
              <a:srgbClr val="4BACC6">
                <a:lumMod val="75000"/>
              </a:srgbClr>
            </a:solidFill>
            <a:ln>
              <a:noFill/>
            </a:ln>
            <a:effectLst/>
          </c:spPr>
          <c:invertIfNegative val="0"/>
          <c:cat>
            <c:strRef>
              <c:f>Sheet1!$B$1:$D$1</c:f>
              <c:strCache>
                <c:ptCount val="3"/>
                <c:pt idx="0">
                  <c:v>I</c:v>
                </c:pt>
                <c:pt idx="1">
                  <c:v>II</c:v>
                </c:pt>
                <c:pt idx="2">
                  <c:v>III</c:v>
                </c:pt>
              </c:strCache>
            </c:strRef>
          </c:cat>
          <c:val>
            <c:numRef>
              <c:f>Sheet1!$B$5:$D$5</c:f>
              <c:numCache>
                <c:formatCode>0.0</c:formatCode>
                <c:ptCount val="3"/>
                <c:pt idx="0">
                  <c:v>21.200000000000003</c:v>
                </c:pt>
                <c:pt idx="1">
                  <c:v>19</c:v>
                </c:pt>
                <c:pt idx="2">
                  <c:v>25.900000000000006</c:v>
                </c:pt>
              </c:numCache>
            </c:numRef>
          </c:val>
          <c:extLst xmlns:c16r2="http://schemas.microsoft.com/office/drawing/2015/06/chart">
            <c:ext xmlns:c16="http://schemas.microsoft.com/office/drawing/2014/chart" uri="{C3380CC4-5D6E-409C-BE32-E72D297353CC}">
              <c16:uniqueId val="{00000002-D7B8-4C12-B3D3-9536EB5C8BFB}"/>
            </c:ext>
          </c:extLst>
        </c:ser>
        <c:ser>
          <c:idx val="4"/>
          <c:order val="4"/>
          <c:tx>
            <c:strRef>
              <c:f>Sheet1!$A$6</c:f>
              <c:strCache>
                <c:ptCount val="1"/>
                <c:pt idx="0">
                  <c:v>առևտուր</c:v>
                </c:pt>
              </c:strCache>
            </c:strRef>
          </c:tx>
          <c:spPr>
            <a:solidFill>
              <a:srgbClr val="F79646">
                <a:lumMod val="75000"/>
              </a:srgbClr>
            </a:solidFill>
          </c:spPr>
          <c:invertIfNegative val="0"/>
          <c:cat>
            <c:strRef>
              <c:f>Sheet1!$B$1:$D$1</c:f>
              <c:strCache>
                <c:ptCount val="3"/>
                <c:pt idx="0">
                  <c:v>I</c:v>
                </c:pt>
                <c:pt idx="1">
                  <c:v>II</c:v>
                </c:pt>
                <c:pt idx="2">
                  <c:v>III</c:v>
                </c:pt>
              </c:strCache>
            </c:strRef>
          </c:cat>
          <c:val>
            <c:numRef>
              <c:f>Sheet1!$B$6:$D$6</c:f>
              <c:numCache>
                <c:formatCode>0.0</c:formatCode>
                <c:ptCount val="3"/>
                <c:pt idx="0">
                  <c:v>11.5</c:v>
                </c:pt>
                <c:pt idx="1">
                  <c:v>5.2999999999999972</c:v>
                </c:pt>
                <c:pt idx="2">
                  <c:v>6.5999999999999943</c:v>
                </c:pt>
              </c:numCache>
            </c:numRef>
          </c:val>
          <c:extLst xmlns:c16r2="http://schemas.microsoft.com/office/drawing/2015/06/chart">
            <c:ext xmlns:c16="http://schemas.microsoft.com/office/drawing/2014/chart" uri="{C3380CC4-5D6E-409C-BE32-E72D297353CC}">
              <c16:uniqueId val="{00000003-D7B8-4C12-B3D3-9536EB5C8BFB}"/>
            </c:ext>
          </c:extLst>
        </c:ser>
        <c:dLbls>
          <c:showLegendKey val="0"/>
          <c:showVal val="0"/>
          <c:showCatName val="0"/>
          <c:showSerName val="0"/>
          <c:showPercent val="0"/>
          <c:showBubbleSize val="0"/>
        </c:dLbls>
        <c:gapWidth val="219"/>
        <c:overlap val="-27"/>
        <c:axId val="296850944"/>
        <c:axId val="296852480"/>
      </c:barChart>
      <c:lineChart>
        <c:grouping val="standard"/>
        <c:varyColors val="0"/>
        <c:ser>
          <c:idx val="0"/>
          <c:order val="0"/>
          <c:tx>
            <c:strRef>
              <c:f>Sheet1!$A$2</c:f>
              <c:strCache>
                <c:ptCount val="1"/>
                <c:pt idx="0">
                  <c:v>ՏԱՑ, աջ առանցք</c:v>
                </c:pt>
              </c:strCache>
            </c:strRef>
          </c:tx>
          <c:spPr>
            <a:effectLst/>
          </c:spPr>
          <c:dLbls>
            <c:dLbl>
              <c:idx val="0"/>
              <c:layout>
                <c:manualLayout>
                  <c:x val="-8.7254092187393981E-2"/>
                  <c:y val="3.89839283788156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7B8-4C12-B3D3-9536EB5C8BFB}"/>
                </c:ext>
              </c:extLst>
            </c:dLbl>
            <c:dLbl>
              <c:idx val="1"/>
              <c:layout>
                <c:manualLayout>
                  <c:x val="-9.1378639683913798E-2"/>
                  <c:y val="3.21346133103225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7B8-4C12-B3D3-9536EB5C8BFB}"/>
                </c:ext>
              </c:extLst>
            </c:dLbl>
            <c:dLbl>
              <c:idx val="2"/>
              <c:layout>
                <c:manualLayout>
                  <c:x val="-9.9627734676953489E-2"/>
                  <c:y val="-6.638118865278826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7B8-4C12-B3D3-9536EB5C8BFB}"/>
                </c:ext>
              </c:extLst>
            </c:dLbl>
            <c:dLbl>
              <c:idx val="3"/>
              <c:layout>
                <c:manualLayout>
                  <c:x val="-6.1868543497440157E-2"/>
                  <c:y val="-4.321594218530902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7B8-4C12-B3D3-9536EB5C8BFB}"/>
                </c:ext>
              </c:extLst>
            </c:dLbl>
            <c:dLbl>
              <c:idx val="4"/>
              <c:layout>
                <c:manualLayout>
                  <c:x val="-5.3380099612837441E-2"/>
                  <c:y val="-4.2414248732607053E-2"/>
                </c:manualLayout>
              </c:layout>
              <c:spPr>
                <a:noFill/>
                <a:ln>
                  <a:noFill/>
                </a:ln>
                <a:effectLst/>
              </c:spPr>
              <c:txPr>
                <a:bodyPr wrap="square" lIns="38100" tIns="19050" rIns="38100" bIns="19050" anchor="ctr">
                  <a:no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9119661929051325E-2"/>
                      <c:h val="6.2866884608882609E-2"/>
                    </c:manualLayout>
                  </c15:layout>
                </c:ext>
                <c:ext xmlns:c16="http://schemas.microsoft.com/office/drawing/2014/chart" uri="{C3380CC4-5D6E-409C-BE32-E72D297353CC}">
                  <c16:uniqueId val="{00000008-D7B8-4C12-B3D3-9536EB5C8BFB}"/>
                </c:ext>
              </c:extLst>
            </c:dLbl>
            <c:dLbl>
              <c:idx val="5"/>
              <c:layout>
                <c:manualLayout>
                  <c:x val="-5.4484481220381402E-2"/>
                  <c:y val="-5.596052205803041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7B8-4C12-B3D3-9536EB5C8BFB}"/>
                </c:ext>
              </c:extLst>
            </c:dLbl>
            <c:dLbl>
              <c:idx val="6"/>
              <c:layout>
                <c:manualLayout>
                  <c:x val="-5.023413485969281E-2"/>
                  <c:y val="-4.750835940028044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7B8-4C12-B3D3-9536EB5C8BFB}"/>
                </c:ext>
              </c:extLst>
            </c:dLbl>
            <c:dLbl>
              <c:idx val="7"/>
              <c:layout>
                <c:manualLayout>
                  <c:x val="-5.867722494326652E-2"/>
                  <c:y val="-5.515909826340206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7B8-4C12-B3D3-9536EB5C8BFB}"/>
                </c:ext>
              </c:extLst>
            </c:dLbl>
            <c:dLbl>
              <c:idx val="8"/>
              <c:layout>
                <c:manualLayout>
                  <c:x val="-5.8700067368602414E-2"/>
                  <c:y val="-5.355571135799806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7B8-4C12-B3D3-9536EB5C8BFB}"/>
                </c:ext>
              </c:extLst>
            </c:dLbl>
            <c:dLbl>
              <c:idx val="9"/>
              <c:layout>
                <c:manualLayout>
                  <c:x val="-6.726928736598696E-2"/>
                  <c:y val="4.18555981862573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7B8-4C12-B3D3-9536EB5C8BF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I</c:v>
                </c:pt>
                <c:pt idx="1">
                  <c:v>II</c:v>
                </c:pt>
                <c:pt idx="2">
                  <c:v>III</c:v>
                </c:pt>
              </c:strCache>
            </c:strRef>
          </c:cat>
          <c:val>
            <c:numRef>
              <c:f>Sheet1!$B$2:$D$2</c:f>
              <c:numCache>
                <c:formatCode>0.0</c:formatCode>
                <c:ptCount val="3"/>
                <c:pt idx="0">
                  <c:v>14.799999999999997</c:v>
                </c:pt>
                <c:pt idx="1">
                  <c:v>8.2000000000000028</c:v>
                </c:pt>
                <c:pt idx="2">
                  <c:v>6.7000000000000028</c:v>
                </c:pt>
              </c:numCache>
            </c:numRef>
          </c:val>
          <c:smooth val="0"/>
          <c:extLst xmlns:c16r2="http://schemas.microsoft.com/office/drawing/2015/06/chart">
            <c:ext xmlns:c16="http://schemas.microsoft.com/office/drawing/2014/chart" uri="{C3380CC4-5D6E-409C-BE32-E72D297353CC}">
              <c16:uniqueId val="{0000000E-D7B8-4C12-B3D3-9536EB5C8BFB}"/>
            </c:ext>
          </c:extLst>
        </c:ser>
        <c:dLbls>
          <c:showLegendKey val="0"/>
          <c:showVal val="0"/>
          <c:showCatName val="0"/>
          <c:showSerName val="0"/>
          <c:showPercent val="0"/>
          <c:showBubbleSize val="0"/>
        </c:dLbls>
        <c:marker val="1"/>
        <c:smooth val="0"/>
        <c:axId val="296868096"/>
        <c:axId val="296866560"/>
      </c:lineChart>
      <c:catAx>
        <c:axId val="2968509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852480"/>
        <c:crosses val="autoZero"/>
        <c:auto val="1"/>
        <c:lblAlgn val="ctr"/>
        <c:lblOffset val="100"/>
        <c:noMultiLvlLbl val="0"/>
      </c:catAx>
      <c:valAx>
        <c:axId val="296852480"/>
        <c:scaling>
          <c:orientation val="minMax"/>
          <c:max val="27"/>
          <c:min val="-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850944"/>
        <c:crosses val="autoZero"/>
        <c:crossBetween val="between"/>
        <c:majorUnit val="8"/>
      </c:valAx>
      <c:valAx>
        <c:axId val="296866560"/>
        <c:scaling>
          <c:orientation val="minMax"/>
          <c:max val="16"/>
        </c:scaling>
        <c:delete val="0"/>
        <c:axPos val="r"/>
        <c:numFmt formatCode="0.0" sourceLinked="1"/>
        <c:majorTickMark val="out"/>
        <c:minorTickMark val="none"/>
        <c:tickLblPos val="nextTo"/>
        <c:crossAx val="296868096"/>
        <c:crosses val="max"/>
        <c:crossBetween val="between"/>
        <c:majorUnit val="4"/>
      </c:valAx>
      <c:catAx>
        <c:axId val="296868096"/>
        <c:scaling>
          <c:orientation val="minMax"/>
        </c:scaling>
        <c:delete val="1"/>
        <c:axPos val="b"/>
        <c:numFmt formatCode="General" sourceLinked="1"/>
        <c:majorTickMark val="out"/>
        <c:minorTickMark val="none"/>
        <c:tickLblPos val="nextTo"/>
        <c:crossAx val="296866560"/>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598425196851E-2"/>
          <c:y val="0.79446551510904051"/>
          <c:w val="0.92687606666201161"/>
          <c:h val="0.1511044336875490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526418699605341"/>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Sheet1!$B$1:$D$1</c:f>
              <c:strCache>
                <c:ptCount val="3"/>
                <c:pt idx="0">
                  <c:v>I</c:v>
                </c:pt>
                <c:pt idx="1">
                  <c:v>I-II</c:v>
                </c:pt>
                <c:pt idx="2">
                  <c:v>I-III</c:v>
                </c:pt>
              </c:strCache>
            </c:strRef>
          </c:cat>
          <c:val>
            <c:numRef>
              <c:f>Sheet1!$B$3:$D$3</c:f>
              <c:numCache>
                <c:formatCode>0.0</c:formatCode>
                <c:ptCount val="3"/>
                <c:pt idx="0">
                  <c:v>3.680832877973367</c:v>
                </c:pt>
                <c:pt idx="1">
                  <c:v>1.9970681704098014</c:v>
                </c:pt>
                <c:pt idx="2">
                  <c:v>0.68738445311550733</c:v>
                </c:pt>
              </c:numCache>
            </c:numRef>
          </c:val>
          <c:extLst xmlns:c16r2="http://schemas.microsoft.com/office/drawing/2015/06/chart">
            <c:ext xmlns:c16="http://schemas.microsoft.com/office/drawing/2014/chart" uri="{C3380CC4-5D6E-409C-BE32-E72D297353CC}">
              <c16:uniqueId val="{00000000-17BA-4246-A4D6-32BC3E23F984}"/>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Sheet1!$B$1:$D$1</c:f>
              <c:strCache>
                <c:ptCount val="3"/>
                <c:pt idx="0">
                  <c:v>I</c:v>
                </c:pt>
                <c:pt idx="1">
                  <c:v>I-II</c:v>
                </c:pt>
                <c:pt idx="2">
                  <c:v>I-III</c:v>
                </c:pt>
              </c:strCache>
            </c:strRef>
          </c:cat>
          <c:val>
            <c:numRef>
              <c:f>Sheet1!$B$4:$D$4</c:f>
              <c:numCache>
                <c:formatCode>0.0</c:formatCode>
                <c:ptCount val="3"/>
                <c:pt idx="0">
                  <c:v>0</c:v>
                </c:pt>
                <c:pt idx="1">
                  <c:v>0</c:v>
                </c:pt>
                <c:pt idx="2">
                  <c:v>-0.67444374001273288</c:v>
                </c:pt>
              </c:numCache>
            </c:numRef>
          </c:val>
          <c:extLst xmlns:c16r2="http://schemas.microsoft.com/office/drawing/2015/06/chart">
            <c:ext xmlns:c16="http://schemas.microsoft.com/office/drawing/2014/chart" uri="{C3380CC4-5D6E-409C-BE32-E72D297353CC}">
              <c16:uniqueId val="{00000001-17BA-4246-A4D6-32BC3E23F984}"/>
            </c:ext>
          </c:extLst>
        </c:ser>
        <c:ser>
          <c:idx val="3"/>
          <c:order val="3"/>
          <c:tx>
            <c:strRef>
              <c:f>Sheet1!$A$5</c:f>
              <c:strCache>
                <c:ptCount val="1"/>
                <c:pt idx="0">
                  <c:v>շինարարություն</c:v>
                </c:pt>
              </c:strCache>
            </c:strRef>
          </c:tx>
          <c:spPr>
            <a:solidFill>
              <a:srgbClr val="8064A2"/>
            </a:solidFill>
            <a:ln>
              <a:noFill/>
            </a:ln>
            <a:effectLst/>
          </c:spPr>
          <c:invertIfNegative val="0"/>
          <c:cat>
            <c:strRef>
              <c:f>Sheet1!$B$1:$D$1</c:f>
              <c:strCache>
                <c:ptCount val="3"/>
                <c:pt idx="0">
                  <c:v>I</c:v>
                </c:pt>
                <c:pt idx="1">
                  <c:v>I-II</c:v>
                </c:pt>
                <c:pt idx="2">
                  <c:v>I-III</c:v>
                </c:pt>
              </c:strCache>
            </c:strRef>
          </c:cat>
          <c:val>
            <c:numRef>
              <c:f>Sheet1!$B$5:$D$5</c:f>
              <c:numCache>
                <c:formatCode>0.0</c:formatCode>
                <c:ptCount val="3"/>
                <c:pt idx="0">
                  <c:v>0.21525790674990417</c:v>
                </c:pt>
                <c:pt idx="1">
                  <c:v>0.35158791435817721</c:v>
                </c:pt>
                <c:pt idx="2">
                  <c:v>0.44486634061646879</c:v>
                </c:pt>
              </c:numCache>
            </c:numRef>
          </c:val>
          <c:extLst xmlns:c16r2="http://schemas.microsoft.com/office/drawing/2015/06/chart">
            <c:ext xmlns:c16="http://schemas.microsoft.com/office/drawing/2014/chart" uri="{C3380CC4-5D6E-409C-BE32-E72D297353CC}">
              <c16:uniqueId val="{00000002-17BA-4246-A4D6-32BC3E23F984}"/>
            </c:ext>
          </c:extLst>
        </c:ser>
        <c:ser>
          <c:idx val="4"/>
          <c:order val="4"/>
          <c:tx>
            <c:strRef>
              <c:f>Sheet1!$A$6</c:f>
              <c:strCache>
                <c:ptCount val="1"/>
                <c:pt idx="0">
                  <c:v>ծառայություններ</c:v>
                </c:pt>
              </c:strCache>
            </c:strRef>
          </c:tx>
          <c:spPr>
            <a:solidFill>
              <a:srgbClr val="4BACC6">
                <a:lumMod val="75000"/>
              </a:srgbClr>
            </a:solidFill>
          </c:spPr>
          <c:invertIfNegative val="0"/>
          <c:cat>
            <c:strRef>
              <c:f>Sheet1!$B$1:$D$1</c:f>
              <c:strCache>
                <c:ptCount val="3"/>
                <c:pt idx="0">
                  <c:v>I</c:v>
                </c:pt>
                <c:pt idx="1">
                  <c:v>I-II</c:v>
                </c:pt>
                <c:pt idx="2">
                  <c:v>I-III</c:v>
                </c:pt>
              </c:strCache>
            </c:strRef>
          </c:cat>
          <c:val>
            <c:numRef>
              <c:f>Sheet1!$B$6:$D$6</c:f>
              <c:numCache>
                <c:formatCode>0.0</c:formatCode>
                <c:ptCount val="3"/>
                <c:pt idx="0">
                  <c:v>9.7040852150518262</c:v>
                </c:pt>
                <c:pt idx="1">
                  <c:v>9.2005713595538499</c:v>
                </c:pt>
                <c:pt idx="2">
                  <c:v>10.161825083686347</c:v>
                </c:pt>
              </c:numCache>
            </c:numRef>
          </c:val>
          <c:extLst xmlns:c16r2="http://schemas.microsoft.com/office/drawing/2015/06/chart">
            <c:ext xmlns:c16="http://schemas.microsoft.com/office/drawing/2014/chart" uri="{C3380CC4-5D6E-409C-BE32-E72D297353CC}">
              <c16:uniqueId val="{00000003-17BA-4246-A4D6-32BC3E23F984}"/>
            </c:ext>
          </c:extLst>
        </c:ser>
        <c:ser>
          <c:idx val="5"/>
          <c:order val="5"/>
          <c:tx>
            <c:strRef>
              <c:f>Sheet1!$A$7</c:f>
              <c:strCache>
                <c:ptCount val="1"/>
                <c:pt idx="0">
                  <c:v>առևտուր</c:v>
                </c:pt>
              </c:strCache>
            </c:strRef>
          </c:tx>
          <c:spPr>
            <a:solidFill>
              <a:srgbClr val="F79646">
                <a:lumMod val="75000"/>
              </a:srgbClr>
            </a:solidFill>
          </c:spPr>
          <c:invertIfNegative val="0"/>
          <c:cat>
            <c:strRef>
              <c:f>Sheet1!$B$1:$D$1</c:f>
              <c:strCache>
                <c:ptCount val="3"/>
                <c:pt idx="0">
                  <c:v>I</c:v>
                </c:pt>
                <c:pt idx="1">
                  <c:v>I-II</c:v>
                </c:pt>
                <c:pt idx="2">
                  <c:v>I-III</c:v>
                </c:pt>
              </c:strCache>
            </c:strRef>
          </c:cat>
          <c:val>
            <c:numRef>
              <c:f>Sheet1!$B$7:$D$7</c:f>
              <c:numCache>
                <c:formatCode>0.0</c:formatCode>
                <c:ptCount val="3"/>
                <c:pt idx="0">
                  <c:v>1.4245462451075392</c:v>
                </c:pt>
                <c:pt idx="1">
                  <c:v>1.0157634095549413</c:v>
                </c:pt>
                <c:pt idx="2">
                  <c:v>0.941439257636286</c:v>
                </c:pt>
              </c:numCache>
            </c:numRef>
          </c:val>
          <c:extLst xmlns:c16r2="http://schemas.microsoft.com/office/drawing/2015/06/chart">
            <c:ext xmlns:c16="http://schemas.microsoft.com/office/drawing/2014/chart" uri="{C3380CC4-5D6E-409C-BE32-E72D297353CC}">
              <c16:uniqueId val="{00000004-17BA-4246-A4D6-32BC3E23F984}"/>
            </c:ext>
          </c:extLst>
        </c:ser>
        <c:ser>
          <c:idx val="6"/>
          <c:order val="6"/>
          <c:tx>
            <c:strRef>
              <c:f>Sheet1!$A$8</c:f>
              <c:strCache>
                <c:ptCount val="1"/>
                <c:pt idx="0">
                  <c:v>այլ </c:v>
                </c:pt>
              </c:strCache>
            </c:strRef>
          </c:tx>
          <c:spPr>
            <a:solidFill>
              <a:srgbClr val="4F81BD">
                <a:lumMod val="60000"/>
                <a:lumOff val="40000"/>
              </a:srgbClr>
            </a:solidFill>
          </c:spPr>
          <c:invertIfNegative val="0"/>
          <c:cat>
            <c:strRef>
              <c:f>Sheet1!$B$1:$D$1</c:f>
              <c:strCache>
                <c:ptCount val="3"/>
                <c:pt idx="0">
                  <c:v>I</c:v>
                </c:pt>
                <c:pt idx="1">
                  <c:v>I-II</c:v>
                </c:pt>
                <c:pt idx="2">
                  <c:v>I-III</c:v>
                </c:pt>
              </c:strCache>
            </c:strRef>
          </c:cat>
          <c:val>
            <c:numRef>
              <c:f>Sheet1!$B$8:$D$8</c:f>
              <c:numCache>
                <c:formatCode>0.0</c:formatCode>
                <c:ptCount val="3"/>
                <c:pt idx="0">
                  <c:v>-0.22472224488263848</c:v>
                </c:pt>
                <c:pt idx="1">
                  <c:v>-1.2554363809067492</c:v>
                </c:pt>
                <c:pt idx="2">
                  <c:v>-1.9610713950418823</c:v>
                </c:pt>
              </c:numCache>
            </c:numRef>
          </c:val>
          <c:extLst xmlns:c16r2="http://schemas.microsoft.com/office/drawing/2015/06/chart">
            <c:ext xmlns:c16="http://schemas.microsoft.com/office/drawing/2014/chart" uri="{C3380CC4-5D6E-409C-BE32-E72D297353CC}">
              <c16:uniqueId val="{00000005-17BA-4246-A4D6-32BC3E23F984}"/>
            </c:ext>
          </c:extLst>
        </c:ser>
        <c:dLbls>
          <c:showLegendKey val="0"/>
          <c:showVal val="0"/>
          <c:showCatName val="0"/>
          <c:showSerName val="0"/>
          <c:showPercent val="0"/>
          <c:showBubbleSize val="0"/>
        </c:dLbls>
        <c:gapWidth val="150"/>
        <c:overlap val="100"/>
        <c:axId val="297199872"/>
        <c:axId val="299569152"/>
      </c:barChart>
      <c:lineChart>
        <c:grouping val="standard"/>
        <c:varyColors val="0"/>
        <c:ser>
          <c:idx val="0"/>
          <c:order val="0"/>
          <c:tx>
            <c:strRef>
              <c:f>Sheet1!$A$2</c:f>
              <c:strCache>
                <c:ptCount val="1"/>
                <c:pt idx="0">
                  <c:v>ՏԱՑ</c:v>
                </c:pt>
              </c:strCache>
            </c:strRef>
          </c:tx>
          <c:spPr>
            <a:effectLst/>
          </c:spPr>
          <c:dLbls>
            <c:dLbl>
              <c:idx val="0"/>
              <c:layout>
                <c:manualLayout>
                  <c:x val="-6.5882980012113915E-2"/>
                  <c:y val="4.008231689932767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7BA-4246-A4D6-32BC3E23F984}"/>
                </c:ext>
              </c:extLst>
            </c:dLbl>
            <c:dLbl>
              <c:idx val="1"/>
              <c:layout>
                <c:manualLayout>
                  <c:x val="-7.0051443569553881E-2"/>
                  <c:y val="4.008231689932764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7BA-4246-A4D6-32BC3E23F984}"/>
                </c:ext>
              </c:extLst>
            </c:dLbl>
            <c:dLbl>
              <c:idx val="2"/>
              <c:layout>
                <c:manualLayout>
                  <c:x val="-6.1538461538461688E-2"/>
                  <c:y val="4.179707951252636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7BA-4246-A4D6-32BC3E23F984}"/>
                </c:ext>
              </c:extLst>
            </c:dLbl>
            <c:dLbl>
              <c:idx val="3"/>
              <c:layout>
                <c:manualLayout>
                  <c:x val="-5.3597254189380175E-2"/>
                  <c:y val="-6.69643829083576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7BA-4246-A4D6-32BC3E23F984}"/>
                </c:ext>
              </c:extLst>
            </c:dLbl>
            <c:dLbl>
              <c:idx val="4"/>
              <c:layout>
                <c:manualLayout>
                  <c:x val="-5.3355299818292019E-2"/>
                  <c:y val="-4.19593288166168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7BA-4246-A4D6-32BC3E23F984}"/>
                </c:ext>
              </c:extLst>
            </c:dLbl>
            <c:dLbl>
              <c:idx val="5"/>
              <c:layout>
                <c:manualLayout>
                  <c:x val="-5.3333333333333337E-2"/>
                  <c:y val="-4.608294930875576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7BA-4246-A4D6-32BC3E23F984}"/>
                </c:ext>
              </c:extLst>
            </c:dLbl>
            <c:dLbl>
              <c:idx val="6"/>
              <c:layout>
                <c:manualLayout>
                  <c:x val="-5.3333333333333337E-2"/>
                  <c:y val="-4.608294930875577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7BA-4246-A4D6-32BC3E23F984}"/>
                </c:ext>
              </c:extLst>
            </c:dLbl>
            <c:dLbl>
              <c:idx val="7"/>
              <c:layout>
                <c:manualLayout>
                  <c:x val="-5.7435897435897436E-2"/>
                  <c:y val="-4.608294930875576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7BA-4246-A4D6-32BC3E23F984}"/>
                </c:ext>
              </c:extLst>
            </c:dLbl>
            <c:dLbl>
              <c:idx val="8"/>
              <c:layout>
                <c:manualLayout>
                  <c:x val="-3.6923076923076954E-2"/>
                  <c:y val="-4.608294930875581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7BA-4246-A4D6-32BC3E23F984}"/>
                </c:ext>
              </c:extLst>
            </c:dLbl>
            <c:dLbl>
              <c:idx val="9"/>
              <c:layout>
                <c:manualLayout>
                  <c:x val="-2.8717948717948871E-2"/>
                  <c:y val="-3.2916392363397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7BA-4246-A4D6-32BC3E23F984}"/>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I</c:v>
                </c:pt>
                <c:pt idx="1">
                  <c:v>I-II</c:v>
                </c:pt>
                <c:pt idx="2">
                  <c:v>I-III</c:v>
                </c:pt>
              </c:strCache>
            </c:strRef>
          </c:cat>
          <c:val>
            <c:numRef>
              <c:f>Sheet1!$B$2:$D$2</c:f>
              <c:numCache>
                <c:formatCode>0.0</c:formatCode>
                <c:ptCount val="3"/>
                <c:pt idx="0">
                  <c:v>14.799999999999997</c:v>
                </c:pt>
                <c:pt idx="1">
                  <c:v>11.309554472970021</c:v>
                </c:pt>
                <c:pt idx="2">
                  <c:v>9.5999999999999943</c:v>
                </c:pt>
              </c:numCache>
            </c:numRef>
          </c:val>
          <c:smooth val="0"/>
          <c:extLst xmlns:c16r2="http://schemas.microsoft.com/office/drawing/2015/06/chart">
            <c:ext xmlns:c16="http://schemas.microsoft.com/office/drawing/2014/chart" uri="{C3380CC4-5D6E-409C-BE32-E72D297353CC}">
              <c16:uniqueId val="{00000010-17BA-4246-A4D6-32BC3E23F984}"/>
            </c:ext>
          </c:extLst>
        </c:ser>
        <c:dLbls>
          <c:showLegendKey val="0"/>
          <c:showVal val="0"/>
          <c:showCatName val="0"/>
          <c:showSerName val="0"/>
          <c:showPercent val="0"/>
          <c:showBubbleSize val="0"/>
        </c:dLbls>
        <c:marker val="1"/>
        <c:smooth val="0"/>
        <c:axId val="297199872"/>
        <c:axId val="299569152"/>
      </c:lineChart>
      <c:catAx>
        <c:axId val="2971998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9569152"/>
        <c:crosses val="autoZero"/>
        <c:auto val="1"/>
        <c:lblAlgn val="ctr"/>
        <c:lblOffset val="100"/>
        <c:noMultiLvlLbl val="0"/>
      </c:catAx>
      <c:valAx>
        <c:axId val="299569152"/>
        <c:scaling>
          <c:orientation val="minMax"/>
          <c:max val="16"/>
          <c:min val="-3"/>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7199872"/>
        <c:crosses val="autoZero"/>
        <c:crossBetween val="between"/>
        <c:majorUnit val="3"/>
      </c:valAx>
      <c:spPr>
        <a:solidFill>
          <a:sysClr val="window" lastClr="FFFFFF"/>
        </a:solidFill>
        <a:ln>
          <a:noFill/>
        </a:ln>
        <a:effectLst/>
      </c:spPr>
    </c:plotArea>
    <c:legend>
      <c:legendPos val="b"/>
      <c:layout>
        <c:manualLayout>
          <c:xMode val="edge"/>
          <c:yMode val="edge"/>
          <c:x val="3.9212662156607202E-2"/>
          <c:y val="0.77063982271677434"/>
          <c:w val="0.93458477517078753"/>
          <c:h val="0.2293601772832288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1124951594165523E-2"/>
          <c:w val="0.87658476118247253"/>
          <c:h val="0.61340343802243524"/>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Sheet1!$B$1:$D$1</c:f>
              <c:strCache>
                <c:ptCount val="3"/>
                <c:pt idx="0">
                  <c:v>I</c:v>
                </c:pt>
                <c:pt idx="1">
                  <c:v>II</c:v>
                </c:pt>
                <c:pt idx="2">
                  <c:v>III</c:v>
                </c:pt>
              </c:strCache>
            </c:strRef>
          </c:cat>
          <c:val>
            <c:numRef>
              <c:f>Sheet1!$B$3:$D$3</c:f>
              <c:numCache>
                <c:formatCode>0.0</c:formatCode>
                <c:ptCount val="3"/>
                <c:pt idx="0">
                  <c:v>3.680832877973367</c:v>
                </c:pt>
                <c:pt idx="1">
                  <c:v>0.53216860886362083</c:v>
                </c:pt>
                <c:pt idx="2">
                  <c:v>-1.5299847504829074</c:v>
                </c:pt>
              </c:numCache>
            </c:numRef>
          </c:val>
          <c:extLst xmlns:c16r2="http://schemas.microsoft.com/office/drawing/2015/06/chart">
            <c:ext xmlns:c16="http://schemas.microsoft.com/office/drawing/2014/chart" uri="{C3380CC4-5D6E-409C-BE32-E72D297353CC}">
              <c16:uniqueId val="{00000000-D255-4215-9789-F1D50B3A86C5}"/>
            </c:ext>
          </c:extLst>
        </c:ser>
        <c:ser>
          <c:idx val="2"/>
          <c:order val="2"/>
          <c:tx>
            <c:strRef>
              <c:f>Sheet1!$A$4</c:f>
              <c:strCache>
                <c:ptCount val="1"/>
                <c:pt idx="0">
                  <c:v>շինարարություն</c:v>
                </c:pt>
              </c:strCache>
            </c:strRef>
          </c:tx>
          <c:spPr>
            <a:solidFill>
              <a:srgbClr val="8064A2"/>
            </a:solidFill>
            <a:ln>
              <a:noFill/>
            </a:ln>
            <a:effectLst/>
          </c:spPr>
          <c:invertIfNegative val="0"/>
          <c:cat>
            <c:strRef>
              <c:f>Sheet1!$B$1:$D$1</c:f>
              <c:strCache>
                <c:ptCount val="3"/>
                <c:pt idx="0">
                  <c:v>I</c:v>
                </c:pt>
                <c:pt idx="1">
                  <c:v>II</c:v>
                </c:pt>
                <c:pt idx="2">
                  <c:v>III</c:v>
                </c:pt>
              </c:strCache>
            </c:strRef>
          </c:cat>
          <c:val>
            <c:numRef>
              <c:f>Sheet1!$B$4:$D$4</c:f>
              <c:numCache>
                <c:formatCode>0.0</c:formatCode>
                <c:ptCount val="3"/>
                <c:pt idx="0">
                  <c:v>0.21525790674990417</c:v>
                </c:pt>
                <c:pt idx="1">
                  <c:v>0.45204160417479855</c:v>
                </c:pt>
                <c:pt idx="2">
                  <c:v>0.58837161178307162</c:v>
                </c:pt>
              </c:numCache>
            </c:numRef>
          </c:val>
          <c:extLst xmlns:c16r2="http://schemas.microsoft.com/office/drawing/2015/06/chart">
            <c:ext xmlns:c16="http://schemas.microsoft.com/office/drawing/2014/chart" uri="{C3380CC4-5D6E-409C-BE32-E72D297353CC}">
              <c16:uniqueId val="{00000001-D255-4215-9789-F1D50B3A86C5}"/>
            </c:ext>
          </c:extLst>
        </c:ser>
        <c:ser>
          <c:idx val="3"/>
          <c:order val="3"/>
          <c:tx>
            <c:strRef>
              <c:f>Sheet1!$A$5</c:f>
              <c:strCache>
                <c:ptCount val="1"/>
                <c:pt idx="0">
                  <c:v>ծառայություններ</c:v>
                </c:pt>
              </c:strCache>
            </c:strRef>
          </c:tx>
          <c:spPr>
            <a:solidFill>
              <a:srgbClr val="4BACC6">
                <a:lumMod val="75000"/>
              </a:srgbClr>
            </a:solidFill>
            <a:ln>
              <a:noFill/>
            </a:ln>
            <a:effectLst/>
          </c:spPr>
          <c:invertIfNegative val="0"/>
          <c:cat>
            <c:strRef>
              <c:f>Sheet1!$B$1:$D$1</c:f>
              <c:strCache>
                <c:ptCount val="3"/>
                <c:pt idx="0">
                  <c:v>I</c:v>
                </c:pt>
                <c:pt idx="1">
                  <c:v>II</c:v>
                </c:pt>
                <c:pt idx="2">
                  <c:v>III</c:v>
                </c:pt>
              </c:strCache>
            </c:strRef>
          </c:cat>
          <c:val>
            <c:numRef>
              <c:f>Sheet1!$B$5:$D$5</c:f>
              <c:numCache>
                <c:formatCode>0.0</c:formatCode>
                <c:ptCount val="3"/>
                <c:pt idx="0">
                  <c:v>9.7040852150518262</c:v>
                </c:pt>
                <c:pt idx="1">
                  <c:v>8.6970575040558806</c:v>
                </c:pt>
                <c:pt idx="2">
                  <c:v>11.855462597634071</c:v>
                </c:pt>
              </c:numCache>
            </c:numRef>
          </c:val>
          <c:extLst xmlns:c16r2="http://schemas.microsoft.com/office/drawing/2015/06/chart">
            <c:ext xmlns:c16="http://schemas.microsoft.com/office/drawing/2014/chart" uri="{C3380CC4-5D6E-409C-BE32-E72D297353CC}">
              <c16:uniqueId val="{00000002-D255-4215-9789-F1D50B3A86C5}"/>
            </c:ext>
          </c:extLst>
        </c:ser>
        <c:ser>
          <c:idx val="4"/>
          <c:order val="4"/>
          <c:tx>
            <c:strRef>
              <c:f>Sheet1!$A$6</c:f>
              <c:strCache>
                <c:ptCount val="1"/>
                <c:pt idx="0">
                  <c:v>առևտուր</c:v>
                </c:pt>
              </c:strCache>
            </c:strRef>
          </c:tx>
          <c:spPr>
            <a:solidFill>
              <a:srgbClr val="F79646">
                <a:lumMod val="75000"/>
              </a:srgbClr>
            </a:solidFill>
          </c:spPr>
          <c:invertIfNegative val="0"/>
          <c:cat>
            <c:strRef>
              <c:f>Sheet1!$B$1:$D$1</c:f>
              <c:strCache>
                <c:ptCount val="3"/>
                <c:pt idx="0">
                  <c:v>I</c:v>
                </c:pt>
                <c:pt idx="1">
                  <c:v>II</c:v>
                </c:pt>
                <c:pt idx="2">
                  <c:v>III</c:v>
                </c:pt>
              </c:strCache>
            </c:strRef>
          </c:cat>
          <c:val>
            <c:numRef>
              <c:f>Sheet1!$B$6:$D$6</c:f>
              <c:numCache>
                <c:formatCode>0.0</c:formatCode>
                <c:ptCount val="3"/>
                <c:pt idx="0">
                  <c:v>1.4245462451075392</c:v>
                </c:pt>
                <c:pt idx="1">
                  <c:v>0.6565300086147785</c:v>
                </c:pt>
                <c:pt idx="2">
                  <c:v>0.81756567110519562</c:v>
                </c:pt>
              </c:numCache>
            </c:numRef>
          </c:val>
          <c:extLst xmlns:c16r2="http://schemas.microsoft.com/office/drawing/2015/06/chart">
            <c:ext xmlns:c16="http://schemas.microsoft.com/office/drawing/2014/chart" uri="{C3380CC4-5D6E-409C-BE32-E72D297353CC}">
              <c16:uniqueId val="{00000003-D255-4215-9789-F1D50B3A86C5}"/>
            </c:ext>
          </c:extLst>
        </c:ser>
        <c:ser>
          <c:idx val="5"/>
          <c:order val="5"/>
          <c:tx>
            <c:strRef>
              <c:f>Sheet1!$A$7</c:f>
              <c:strCache>
                <c:ptCount val="1"/>
                <c:pt idx="0">
                  <c:v>այլ </c:v>
                </c:pt>
              </c:strCache>
            </c:strRef>
          </c:tx>
          <c:spPr>
            <a:solidFill>
              <a:srgbClr val="4F81BD">
                <a:lumMod val="60000"/>
                <a:lumOff val="40000"/>
              </a:srgbClr>
            </a:solidFill>
          </c:spPr>
          <c:invertIfNegative val="0"/>
          <c:cat>
            <c:strRef>
              <c:f>Sheet1!$B$1:$D$1</c:f>
              <c:strCache>
                <c:ptCount val="3"/>
                <c:pt idx="0">
                  <c:v>I</c:v>
                </c:pt>
                <c:pt idx="1">
                  <c:v>II</c:v>
                </c:pt>
                <c:pt idx="2">
                  <c:v>III</c:v>
                </c:pt>
              </c:strCache>
            </c:strRef>
          </c:cat>
          <c:val>
            <c:numRef>
              <c:f>Sheet1!$B$7:$D$7</c:f>
              <c:numCache>
                <c:formatCode>0.0</c:formatCode>
                <c:ptCount val="3"/>
                <c:pt idx="0">
                  <c:v>-0.22472224488263848</c:v>
                </c:pt>
                <c:pt idx="1">
                  <c:v>-2.1377977257090759</c:v>
                </c:pt>
                <c:pt idx="2">
                  <c:v>-5.031415130039429</c:v>
                </c:pt>
              </c:numCache>
            </c:numRef>
          </c:val>
          <c:extLst xmlns:c16r2="http://schemas.microsoft.com/office/drawing/2015/06/chart">
            <c:ext xmlns:c16="http://schemas.microsoft.com/office/drawing/2014/chart" uri="{C3380CC4-5D6E-409C-BE32-E72D297353CC}">
              <c16:uniqueId val="{00000004-D255-4215-9789-F1D50B3A86C5}"/>
            </c:ext>
          </c:extLst>
        </c:ser>
        <c:dLbls>
          <c:showLegendKey val="0"/>
          <c:showVal val="0"/>
          <c:showCatName val="0"/>
          <c:showSerName val="0"/>
          <c:showPercent val="0"/>
          <c:showBubbleSize val="0"/>
        </c:dLbls>
        <c:gapWidth val="219"/>
        <c:overlap val="100"/>
        <c:axId val="299584512"/>
        <c:axId val="299610880"/>
      </c:barChart>
      <c:lineChart>
        <c:grouping val="standard"/>
        <c:varyColors val="0"/>
        <c:ser>
          <c:idx val="0"/>
          <c:order val="0"/>
          <c:tx>
            <c:strRef>
              <c:f>Sheet1!$A$2</c:f>
              <c:strCache>
                <c:ptCount val="1"/>
                <c:pt idx="0">
                  <c:v>ՏԱՑ</c:v>
                </c:pt>
              </c:strCache>
            </c:strRef>
          </c:tx>
          <c:spPr>
            <a:effectLst/>
          </c:spPr>
          <c:dLbls>
            <c:dLbl>
              <c:idx val="0"/>
              <c:layout>
                <c:manualLayout>
                  <c:x val="-7.0443544714639372E-2"/>
                  <c:y val="3.86783904848198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255-4215-9789-F1D50B3A86C5}"/>
                </c:ext>
              </c:extLst>
            </c:dLbl>
            <c:dLbl>
              <c:idx val="1"/>
              <c:layout>
                <c:manualLayout>
                  <c:x val="-6.6155973405532545E-2"/>
                  <c:y val="4.51613726566188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255-4215-9789-F1D50B3A86C5}"/>
                </c:ext>
              </c:extLst>
            </c:dLbl>
            <c:dLbl>
              <c:idx val="2"/>
              <c:layout>
                <c:manualLayout>
                  <c:x val="-7.0040441430786596E-2"/>
                  <c:y val="3.50525285275169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255-4215-9789-F1D50B3A86C5}"/>
                </c:ext>
              </c:extLst>
            </c:dLbl>
            <c:dLbl>
              <c:idx val="3"/>
              <c:layout>
                <c:manualLayout>
                  <c:x val="-7.8692797469716913E-2"/>
                  <c:y val="-4.42037289909263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255-4215-9789-F1D50B3A86C5}"/>
                </c:ext>
              </c:extLst>
            </c:dLbl>
            <c:dLbl>
              <c:idx val="4"/>
              <c:layout>
                <c:manualLayout>
                  <c:x val="-5.3374731943995959E-2"/>
                  <c:y val="-5.71696933345244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255-4215-9789-F1D50B3A86C5}"/>
                </c:ext>
              </c:extLst>
            </c:dLbl>
            <c:dLbl>
              <c:idx val="5"/>
              <c:layout>
                <c:manualLayout>
                  <c:x val="-5.8885383806519379E-2"/>
                  <c:y val="-5.18638573743922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255-4215-9789-F1D50B3A86C5}"/>
                </c:ext>
              </c:extLst>
            </c:dLbl>
            <c:dLbl>
              <c:idx val="6"/>
              <c:layout>
                <c:manualLayout>
                  <c:x val="-5.8885383806519455E-2"/>
                  <c:y val="-5.1863857374392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255-4215-9789-F1D50B3A86C5}"/>
                </c:ext>
              </c:extLst>
            </c:dLbl>
            <c:dLbl>
              <c:idx val="7"/>
              <c:layout>
                <c:manualLayout>
                  <c:x val="-5.8885383806519455E-2"/>
                  <c:y val="-5.8346839546191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255-4215-9789-F1D50B3A86C5}"/>
                </c:ext>
              </c:extLst>
            </c:dLbl>
            <c:dLbl>
              <c:idx val="8"/>
              <c:layout>
                <c:manualLayout>
                  <c:x val="-3.3648790746582544E-2"/>
                  <c:y val="-5.1863857374392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255-4215-9789-F1D50B3A86C5}"/>
                </c:ext>
              </c:extLst>
            </c:dLbl>
            <c:dLbl>
              <c:idx val="9"/>
              <c:layout>
                <c:manualLayout>
                  <c:x val="-1.6824395373291275E-2"/>
                  <c:y val="3.88978930307941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255-4215-9789-F1D50B3A86C5}"/>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I</c:v>
                </c:pt>
                <c:pt idx="1">
                  <c:v>II</c:v>
                </c:pt>
                <c:pt idx="2">
                  <c:v>III</c:v>
                </c:pt>
              </c:strCache>
            </c:strRef>
          </c:cat>
          <c:val>
            <c:numRef>
              <c:f>Sheet1!$B$2:$D$2</c:f>
              <c:numCache>
                <c:formatCode>0.0</c:formatCode>
                <c:ptCount val="3"/>
                <c:pt idx="0">
                  <c:v>14.799999999999997</c:v>
                </c:pt>
                <c:pt idx="1">
                  <c:v>8.2000000000000028</c:v>
                </c:pt>
                <c:pt idx="2">
                  <c:v>6.7000000000000028</c:v>
                </c:pt>
              </c:numCache>
            </c:numRef>
          </c:val>
          <c:smooth val="0"/>
          <c:extLst xmlns:c16r2="http://schemas.microsoft.com/office/drawing/2015/06/chart">
            <c:ext xmlns:c16="http://schemas.microsoft.com/office/drawing/2014/chart" uri="{C3380CC4-5D6E-409C-BE32-E72D297353CC}">
              <c16:uniqueId val="{0000000F-D255-4215-9789-F1D50B3A86C5}"/>
            </c:ext>
          </c:extLst>
        </c:ser>
        <c:dLbls>
          <c:showLegendKey val="0"/>
          <c:showVal val="0"/>
          <c:showCatName val="0"/>
          <c:showSerName val="0"/>
          <c:showPercent val="0"/>
          <c:showBubbleSize val="0"/>
        </c:dLbls>
        <c:marker val="1"/>
        <c:smooth val="0"/>
        <c:axId val="299584512"/>
        <c:axId val="299610880"/>
      </c:lineChart>
      <c:catAx>
        <c:axId val="299584512"/>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9610880"/>
        <c:crosses val="autoZero"/>
        <c:auto val="1"/>
        <c:lblAlgn val="ctr"/>
        <c:lblOffset val="100"/>
        <c:noMultiLvlLbl val="0"/>
      </c:catAx>
      <c:valAx>
        <c:axId val="299610880"/>
        <c:scaling>
          <c:orientation val="minMax"/>
          <c:max val="16"/>
          <c:min val="-7"/>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9584512"/>
        <c:crosses val="autoZero"/>
        <c:crossBetween val="between"/>
        <c:majorUnit val="7"/>
      </c:valAx>
      <c:spPr>
        <a:solidFill>
          <a:sysClr val="window" lastClr="FFFFFF"/>
        </a:solidFill>
        <a:ln>
          <a:noFill/>
        </a:ln>
        <a:effectLst/>
      </c:spPr>
    </c:plotArea>
    <c:legend>
      <c:legendPos val="b"/>
      <c:layout>
        <c:manualLayout>
          <c:xMode val="edge"/>
          <c:yMode val="edge"/>
          <c:x val="4.7624630517399839E-2"/>
          <c:y val="0.81048201227682859"/>
          <c:w val="0.86072540406133446"/>
          <c:h val="0.1830350055513725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1100"/>
              <a:t>12</a:t>
            </a:r>
            <a:r>
              <a:rPr lang="hy-AM" sz="1100"/>
              <a:t> ամսյա գնաճը</a:t>
            </a:r>
            <a:r>
              <a:rPr lang="en-US" sz="1100"/>
              <a:t>,</a:t>
            </a:r>
            <a:r>
              <a:rPr lang="en-US" sz="1100" baseline="0"/>
              <a:t> %</a:t>
            </a:r>
            <a:endParaRPr lang="en-US" sz="1100"/>
          </a:p>
        </c:rich>
      </c:tx>
      <c:layout>
        <c:manualLayout>
          <c:xMode val="edge"/>
          <c:yMode val="edge"/>
          <c:x val="0.31856812122864797"/>
          <c:y val="0"/>
        </c:manualLayout>
      </c:layout>
      <c:overlay val="0"/>
      <c:spPr>
        <a:noFill/>
        <a:ln>
          <a:noFill/>
        </a:ln>
        <a:effectLst/>
      </c:spPr>
    </c:title>
    <c:autoTitleDeleted val="0"/>
    <c:plotArea>
      <c:layout>
        <c:manualLayout>
          <c:layoutTarget val="inner"/>
          <c:xMode val="edge"/>
          <c:yMode val="edge"/>
          <c:x val="0.11270836908098351"/>
          <c:y val="0.10922886975576651"/>
          <c:w val="0.84290099330803991"/>
          <c:h val="0.68899722815021969"/>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strRef>
              <c:f>Sheet1!$A$2:$A$60</c:f>
              <c:strCache>
                <c:ptCount val="9"/>
                <c:pt idx="0">
                  <c:v>2020.3</c:v>
                </c:pt>
                <c:pt idx="1">
                  <c:v>2020.6</c:v>
                </c:pt>
                <c:pt idx="2">
                  <c:v>2020.9</c:v>
                </c:pt>
                <c:pt idx="3">
                  <c:v>2020.12</c:v>
                </c:pt>
                <c:pt idx="4">
                  <c:v>2021.3</c:v>
                </c:pt>
                <c:pt idx="5">
                  <c:v>2021.6</c:v>
                </c:pt>
                <c:pt idx="6">
                  <c:v>2021.9</c:v>
                </c:pt>
                <c:pt idx="7">
                  <c:v>2021.12</c:v>
                </c:pt>
                <c:pt idx="8">
                  <c:v>2022․3</c:v>
                </c:pt>
              </c:strCache>
            </c:strRef>
          </c:cat>
          <c:val>
            <c:numRef>
              <c:f>Sheet1!$C$2:$C$60</c:f>
              <c:numCache>
                <c:formatCode>0.0</c:formatCode>
                <c:ptCount val="9"/>
                <c:pt idx="0">
                  <c:v>-1.1761594</c:v>
                </c:pt>
                <c:pt idx="1">
                  <c:v>0.78459999999999996</c:v>
                </c:pt>
                <c:pt idx="2">
                  <c:v>0.34734000000000004</c:v>
                </c:pt>
                <c:pt idx="3">
                  <c:v>1.937962</c:v>
                </c:pt>
                <c:pt idx="4">
                  <c:v>2.7530960000000007</c:v>
                </c:pt>
                <c:pt idx="5">
                  <c:v>3.2739520000000004</c:v>
                </c:pt>
                <c:pt idx="6">
                  <c:v>5.7294159999999996</c:v>
                </c:pt>
                <c:pt idx="7">
                  <c:v>4.7993160000000001</c:v>
                </c:pt>
                <c:pt idx="8">
                  <c:v>4.7621120000000001</c:v>
                </c:pt>
              </c:numCache>
            </c:numRef>
          </c:val>
          <c:extLst xmlns:c16r2="http://schemas.microsoft.com/office/drawing/2015/06/chart">
            <c:ext xmlns:c16="http://schemas.microsoft.com/office/drawing/2014/chart" uri="{C3380CC4-5D6E-409C-BE32-E72D297353CC}">
              <c16:uniqueId val="{00000000-36EC-47D9-A94E-9C5B2E846CA8}"/>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strRef>
              <c:f>Sheet1!$A$2:$A$60</c:f>
              <c:strCache>
                <c:ptCount val="9"/>
                <c:pt idx="0">
                  <c:v>2020.3</c:v>
                </c:pt>
                <c:pt idx="1">
                  <c:v>2020.6</c:v>
                </c:pt>
                <c:pt idx="2">
                  <c:v>2020.9</c:v>
                </c:pt>
                <c:pt idx="3">
                  <c:v>2020.12</c:v>
                </c:pt>
                <c:pt idx="4">
                  <c:v>2021.3</c:v>
                </c:pt>
                <c:pt idx="5">
                  <c:v>2021.6</c:v>
                </c:pt>
                <c:pt idx="6">
                  <c:v>2021.9</c:v>
                </c:pt>
                <c:pt idx="7">
                  <c:v>2021.12</c:v>
                </c:pt>
                <c:pt idx="8">
                  <c:v>2022․3</c:v>
                </c:pt>
              </c:strCache>
            </c:strRef>
          </c:cat>
          <c:val>
            <c:numRef>
              <c:f>Sheet1!$D$2:$D$60</c:f>
              <c:numCache>
                <c:formatCode>0.0</c:formatCode>
                <c:ptCount val="9"/>
                <c:pt idx="0">
                  <c:v>0.45172999999999996</c:v>
                </c:pt>
                <c:pt idx="1">
                  <c:v>0.46287</c:v>
                </c:pt>
                <c:pt idx="2">
                  <c:v>0.44492000000000004</c:v>
                </c:pt>
                <c:pt idx="3">
                  <c:v>0.43368000000000001</c:v>
                </c:pt>
                <c:pt idx="4">
                  <c:v>0.41001639999999995</c:v>
                </c:pt>
                <c:pt idx="5">
                  <c:v>0.39218960000000003</c:v>
                </c:pt>
                <c:pt idx="6">
                  <c:v>0.41447310000000004</c:v>
                </c:pt>
                <c:pt idx="7">
                  <c:v>0.41001639999999995</c:v>
                </c:pt>
                <c:pt idx="8">
                  <c:v>0.32533909999999999</c:v>
                </c:pt>
              </c:numCache>
            </c:numRef>
          </c:val>
          <c:extLst xmlns:c16r2="http://schemas.microsoft.com/office/drawing/2015/06/chart">
            <c:ext xmlns:c16="http://schemas.microsoft.com/office/drawing/2014/chart" uri="{C3380CC4-5D6E-409C-BE32-E72D297353CC}">
              <c16:uniqueId val="{00000001-36EC-47D9-A94E-9C5B2E846CA8}"/>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strRef>
              <c:f>Sheet1!$A$2:$A$60</c:f>
              <c:strCache>
                <c:ptCount val="9"/>
                <c:pt idx="0">
                  <c:v>2020.3</c:v>
                </c:pt>
                <c:pt idx="1">
                  <c:v>2020.6</c:v>
                </c:pt>
                <c:pt idx="2">
                  <c:v>2020.9</c:v>
                </c:pt>
                <c:pt idx="3">
                  <c:v>2020.12</c:v>
                </c:pt>
                <c:pt idx="4">
                  <c:v>2021.3</c:v>
                </c:pt>
                <c:pt idx="5">
                  <c:v>2021.6</c:v>
                </c:pt>
                <c:pt idx="6">
                  <c:v>2021.9</c:v>
                </c:pt>
                <c:pt idx="7">
                  <c:v>2021.12</c:v>
                </c:pt>
                <c:pt idx="8">
                  <c:v>2022․3</c:v>
                </c:pt>
              </c:strCache>
            </c:strRef>
          </c:cat>
          <c:val>
            <c:numRef>
              <c:f>Sheet1!$E$2:$E$60</c:f>
              <c:numCache>
                <c:formatCode>0.0</c:formatCode>
                <c:ptCount val="9"/>
                <c:pt idx="0">
                  <c:v>0.27799999999999997</c:v>
                </c:pt>
                <c:pt idx="1">
                  <c:v>-4.2020000000000009E-2</c:v>
                </c:pt>
                <c:pt idx="2">
                  <c:v>0.11119999999999999</c:v>
                </c:pt>
                <c:pt idx="3">
                  <c:v>0.71433999999999997</c:v>
                </c:pt>
                <c:pt idx="4">
                  <c:v>1.8656400000000002</c:v>
                </c:pt>
                <c:pt idx="5">
                  <c:v>2.10995</c:v>
                </c:pt>
                <c:pt idx="6">
                  <c:v>2.1987900000000002</c:v>
                </c:pt>
                <c:pt idx="7">
                  <c:v>1.7768000000000002</c:v>
                </c:pt>
                <c:pt idx="8">
                  <c:v>1.0660800000000001</c:v>
                </c:pt>
              </c:numCache>
            </c:numRef>
          </c:val>
          <c:extLst xmlns:c16r2="http://schemas.microsoft.com/office/drawing/2015/06/chart">
            <c:ext xmlns:c16="http://schemas.microsoft.com/office/drawing/2014/chart" uri="{C3380CC4-5D6E-409C-BE32-E72D297353CC}">
              <c16:uniqueId val="{00000002-36EC-47D9-A94E-9C5B2E846CA8}"/>
            </c:ext>
          </c:extLst>
        </c:ser>
        <c:ser>
          <c:idx val="4"/>
          <c:order val="4"/>
          <c:tx>
            <c:strRef>
              <c:f>Sheet1!$F$1</c:f>
              <c:strCache>
                <c:ptCount val="1"/>
                <c:pt idx="0">
                  <c:v>Ծառայություններ </c:v>
                </c:pt>
              </c:strCache>
            </c:strRef>
          </c:tx>
          <c:spPr>
            <a:solidFill>
              <a:schemeClr val="accent5"/>
            </a:solidFill>
            <a:ln>
              <a:noFill/>
            </a:ln>
            <a:effectLst/>
          </c:spPr>
          <c:invertIfNegative val="0"/>
          <c:cat>
            <c:strRef>
              <c:f>Sheet1!$A$2:$A$60</c:f>
              <c:strCache>
                <c:ptCount val="9"/>
                <c:pt idx="0">
                  <c:v>2020.3</c:v>
                </c:pt>
                <c:pt idx="1">
                  <c:v>2020.6</c:v>
                </c:pt>
                <c:pt idx="2">
                  <c:v>2020.9</c:v>
                </c:pt>
                <c:pt idx="3">
                  <c:v>2020.12</c:v>
                </c:pt>
                <c:pt idx="4">
                  <c:v>2021.3</c:v>
                </c:pt>
                <c:pt idx="5">
                  <c:v>2021.6</c:v>
                </c:pt>
                <c:pt idx="6">
                  <c:v>2021.9</c:v>
                </c:pt>
                <c:pt idx="7">
                  <c:v>2021.12</c:v>
                </c:pt>
                <c:pt idx="8">
                  <c:v>2022․3</c:v>
                </c:pt>
              </c:strCache>
            </c:strRef>
          </c:cat>
          <c:val>
            <c:numRef>
              <c:f>Sheet1!$F$2:$F$60</c:f>
              <c:numCache>
                <c:formatCode>0.0</c:formatCode>
                <c:ptCount val="9"/>
                <c:pt idx="0">
                  <c:v>0.39837499999999998</c:v>
                </c:pt>
                <c:pt idx="1">
                  <c:v>0.46240999999999999</c:v>
                </c:pt>
                <c:pt idx="2">
                  <c:v>0.44618000000000002</c:v>
                </c:pt>
                <c:pt idx="3">
                  <c:v>0.56912000000000007</c:v>
                </c:pt>
                <c:pt idx="4">
                  <c:v>0.79486000000000023</c:v>
                </c:pt>
                <c:pt idx="5">
                  <c:v>0.75873000000000002</c:v>
                </c:pt>
                <c:pt idx="6">
                  <c:v>0.57808000000000004</c:v>
                </c:pt>
                <c:pt idx="7">
                  <c:v>0.68647000000000002</c:v>
                </c:pt>
                <c:pt idx="8">
                  <c:v>1.1922900000000001</c:v>
                </c:pt>
              </c:numCache>
            </c:numRef>
          </c:val>
          <c:extLst xmlns:c16r2="http://schemas.microsoft.com/office/drawing/2015/06/chart">
            <c:ext xmlns:c16="http://schemas.microsoft.com/office/drawing/2014/chart" uri="{C3380CC4-5D6E-409C-BE32-E72D297353CC}">
              <c16:uniqueId val="{00000003-36EC-47D9-A94E-9C5B2E846CA8}"/>
            </c:ext>
          </c:extLst>
        </c:ser>
        <c:dLbls>
          <c:showLegendKey val="0"/>
          <c:showVal val="0"/>
          <c:showCatName val="0"/>
          <c:showSerName val="0"/>
          <c:showPercent val="0"/>
          <c:showBubbleSize val="0"/>
        </c:dLbls>
        <c:gapWidth val="100"/>
        <c:overlap val="100"/>
        <c:axId val="300249856"/>
        <c:axId val="300251392"/>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2"/>
            <c:bubble3D val="0"/>
            <c:extLst xmlns:c16r2="http://schemas.microsoft.com/office/drawing/2015/06/chart">
              <c:ext xmlns:c16="http://schemas.microsoft.com/office/drawing/2014/chart" uri="{C3380CC4-5D6E-409C-BE32-E72D297353CC}">
                <c16:uniqueId val="{00000005-36EC-47D9-A94E-9C5B2E846CA8}"/>
              </c:ext>
            </c:extLst>
          </c:dPt>
          <c:dPt>
            <c:idx val="3"/>
            <c:marker>
              <c:symbol val="square"/>
              <c:size val="6"/>
              <c:spPr>
                <a:solidFill>
                  <a:schemeClr val="accent1"/>
                </a:solidFill>
                <a:ln w="15875">
                  <a:solidFill>
                    <a:schemeClr val="accent1"/>
                  </a:solidFill>
                  <a:round/>
                </a:ln>
                <a:effectLst/>
              </c:spPr>
            </c:marker>
            <c:bubble3D val="0"/>
            <c:extLst xmlns:c16r2="http://schemas.microsoft.com/office/drawing/2015/06/chart">
              <c:ext xmlns:c16="http://schemas.microsoft.com/office/drawing/2014/chart" uri="{C3380CC4-5D6E-409C-BE32-E72D297353CC}">
                <c16:uniqueId val="{00000006-36EC-47D9-A94E-9C5B2E846CA8}"/>
              </c:ext>
            </c:extLst>
          </c:dPt>
          <c:dLbls>
            <c:dLbl>
              <c:idx val="4"/>
              <c:layout>
                <c:manualLayout>
                  <c:x val="-2.0769755475480819E-2"/>
                  <c:y val="-4.75980392156862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6EC-47D9-A94E-9C5B2E846CA8}"/>
                </c:ext>
              </c:extLst>
            </c:dLbl>
            <c:dLbl>
              <c:idx val="6"/>
              <c:layout>
                <c:manualLayout>
                  <c:x val="-2.9025239338555265E-2"/>
                  <c:y val="-3.78668171557562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6EC-47D9-A94E-9C5B2E846CA8}"/>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Sheet1!$A$2:$A$60</c:f>
              <c:strCache>
                <c:ptCount val="9"/>
                <c:pt idx="0">
                  <c:v>2020.3</c:v>
                </c:pt>
                <c:pt idx="1">
                  <c:v>2020.6</c:v>
                </c:pt>
                <c:pt idx="2">
                  <c:v>2020.9</c:v>
                </c:pt>
                <c:pt idx="3">
                  <c:v>2020.12</c:v>
                </c:pt>
                <c:pt idx="4">
                  <c:v>2021.3</c:v>
                </c:pt>
                <c:pt idx="5">
                  <c:v>2021.6</c:v>
                </c:pt>
                <c:pt idx="6">
                  <c:v>2021.9</c:v>
                </c:pt>
                <c:pt idx="7">
                  <c:v>2021.12</c:v>
                </c:pt>
                <c:pt idx="8">
                  <c:v>2022․3</c:v>
                </c:pt>
              </c:strCache>
            </c:strRef>
          </c:cat>
          <c:val>
            <c:numRef>
              <c:f>Sheet1!$B$2:$B$60</c:f>
              <c:numCache>
                <c:formatCode>0.0</c:formatCode>
                <c:ptCount val="9"/>
                <c:pt idx="0">
                  <c:v>-5.8054400000000055E-2</c:v>
                </c:pt>
                <c:pt idx="1">
                  <c:v>1.6578599999999999</c:v>
                </c:pt>
                <c:pt idx="2">
                  <c:v>1.3506399999999998</c:v>
                </c:pt>
                <c:pt idx="3">
                  <c:v>3.6551020000000003</c:v>
                </c:pt>
                <c:pt idx="4">
                  <c:v>5.8236124000000009</c:v>
                </c:pt>
                <c:pt idx="5">
                  <c:v>6.5348216000000008</c:v>
                </c:pt>
                <c:pt idx="6">
                  <c:v>8.9207590999999997</c:v>
                </c:pt>
                <c:pt idx="7">
                  <c:v>7.6726024000000006</c:v>
                </c:pt>
                <c:pt idx="8">
                  <c:v>7.4</c:v>
                </c:pt>
              </c:numCache>
            </c:numRef>
          </c:val>
          <c:smooth val="0"/>
          <c:extLst xmlns:c16r2="http://schemas.microsoft.com/office/drawing/2015/06/chart">
            <c:ext xmlns:c16="http://schemas.microsoft.com/office/drawing/2014/chart" uri="{C3380CC4-5D6E-409C-BE32-E72D297353CC}">
              <c16:uniqueId val="{00000009-36EC-47D9-A94E-9C5B2E846CA8}"/>
            </c:ext>
          </c:extLst>
        </c:ser>
        <c:dLbls>
          <c:showLegendKey val="0"/>
          <c:showVal val="0"/>
          <c:showCatName val="0"/>
          <c:showSerName val="0"/>
          <c:showPercent val="0"/>
          <c:showBubbleSize val="0"/>
        </c:dLbls>
        <c:marker val="1"/>
        <c:smooth val="0"/>
        <c:axId val="300249856"/>
        <c:axId val="300251392"/>
      </c:lineChart>
      <c:catAx>
        <c:axId val="3002498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300251392"/>
        <c:crosses val="autoZero"/>
        <c:auto val="1"/>
        <c:lblAlgn val="ctr"/>
        <c:lblOffset val="100"/>
        <c:noMultiLvlLbl val="0"/>
      </c:catAx>
      <c:valAx>
        <c:axId val="30025139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30024985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1100"/>
              <a:t>Մ</a:t>
            </a:r>
            <a:r>
              <a:rPr lang="hy-AM" sz="1100"/>
              <a:t>իջին գնաճը (կուտակային)</a:t>
            </a:r>
            <a:r>
              <a:rPr lang="en-US" sz="1100"/>
              <a:t>,</a:t>
            </a:r>
            <a:r>
              <a:rPr lang="en-US" sz="1100" baseline="0"/>
              <a:t> %</a:t>
            </a:r>
            <a:endParaRPr lang="en-US" sz="1100"/>
          </a:p>
        </c:rich>
      </c:tx>
      <c:layout>
        <c:manualLayout>
          <c:xMode val="edge"/>
          <c:yMode val="edge"/>
          <c:x val="0.18648773668304522"/>
          <c:y val="0"/>
        </c:manualLayout>
      </c:layout>
      <c:overlay val="0"/>
      <c:spPr>
        <a:noFill/>
        <a:ln>
          <a:noFill/>
        </a:ln>
        <a:effectLst/>
      </c:spPr>
    </c:title>
    <c:autoTitleDeleted val="0"/>
    <c:plotArea>
      <c:layout>
        <c:manualLayout>
          <c:layoutTarget val="inner"/>
          <c:xMode val="edge"/>
          <c:yMode val="edge"/>
          <c:x val="0.11270836908098351"/>
          <c:y val="0.10922886975576651"/>
          <c:w val="0.87317931679248439"/>
          <c:h val="0.68899722815021969"/>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strRef>
              <c:f>Sheet1!$A$2:$A$60</c:f>
              <c:strCache>
                <c:ptCount val="9"/>
                <c:pt idx="0">
                  <c:v>2020.3</c:v>
                </c:pt>
                <c:pt idx="1">
                  <c:v>2020.6</c:v>
                </c:pt>
                <c:pt idx="2">
                  <c:v>2020.9</c:v>
                </c:pt>
                <c:pt idx="3">
                  <c:v>2020.12</c:v>
                </c:pt>
                <c:pt idx="4">
                  <c:v>2021.3</c:v>
                </c:pt>
                <c:pt idx="5">
                  <c:v>2021.6</c:v>
                </c:pt>
                <c:pt idx="6">
                  <c:v>2021.9</c:v>
                </c:pt>
                <c:pt idx="7">
                  <c:v>2021.12</c:v>
                </c:pt>
                <c:pt idx="8">
                  <c:v>2022․3</c:v>
                </c:pt>
              </c:strCache>
            </c:strRef>
          </c:cat>
          <c:val>
            <c:numRef>
              <c:f>Sheet1!$C$2:$C$60</c:f>
              <c:numCache>
                <c:formatCode>0.0</c:formatCode>
                <c:ptCount val="9"/>
                <c:pt idx="0">
                  <c:v>-1.2156899999999999</c:v>
                </c:pt>
                <c:pt idx="1">
                  <c:v>-0.43004000000000003</c:v>
                </c:pt>
                <c:pt idx="2">
                  <c:v>-0.12404999999999999</c:v>
                </c:pt>
                <c:pt idx="3">
                  <c:v>0.11768999999999999</c:v>
                </c:pt>
                <c:pt idx="4">
                  <c:v>2.6414839999999997</c:v>
                </c:pt>
                <c:pt idx="5">
                  <c:v>2.8647079999999998</c:v>
                </c:pt>
                <c:pt idx="6">
                  <c:v>3.6831960000000006</c:v>
                </c:pt>
                <c:pt idx="7">
                  <c:v>4.1668479999999999</c:v>
                </c:pt>
                <c:pt idx="8">
                  <c:v>4.501684</c:v>
                </c:pt>
              </c:numCache>
            </c:numRef>
          </c:val>
          <c:extLst xmlns:c16r2="http://schemas.microsoft.com/office/drawing/2015/06/chart">
            <c:ext xmlns:c16="http://schemas.microsoft.com/office/drawing/2014/chart" uri="{C3380CC4-5D6E-409C-BE32-E72D297353CC}">
              <c16:uniqueId val="{00000000-6206-4537-845D-D14C7F0CC4B7}"/>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strRef>
              <c:f>Sheet1!$A$2:$A$60</c:f>
              <c:strCache>
                <c:ptCount val="9"/>
                <c:pt idx="0">
                  <c:v>2020.3</c:v>
                </c:pt>
                <c:pt idx="1">
                  <c:v>2020.6</c:v>
                </c:pt>
                <c:pt idx="2">
                  <c:v>2020.9</c:v>
                </c:pt>
                <c:pt idx="3">
                  <c:v>2020.12</c:v>
                </c:pt>
                <c:pt idx="4">
                  <c:v>2021.3</c:v>
                </c:pt>
                <c:pt idx="5">
                  <c:v>2021.6</c:v>
                </c:pt>
                <c:pt idx="6">
                  <c:v>2021.9</c:v>
                </c:pt>
                <c:pt idx="7">
                  <c:v>2021.12</c:v>
                </c:pt>
                <c:pt idx="8">
                  <c:v>2022․3</c:v>
                </c:pt>
              </c:strCache>
            </c:strRef>
          </c:cat>
          <c:val>
            <c:numRef>
              <c:f>Sheet1!$D$2:$D$60</c:f>
              <c:numCache>
                <c:formatCode>0.0</c:formatCode>
                <c:ptCount val="9"/>
                <c:pt idx="0">
                  <c:v>0.36093000000000003</c:v>
                </c:pt>
                <c:pt idx="1">
                  <c:v>0.40240499999999996</c:v>
                </c:pt>
                <c:pt idx="2">
                  <c:v>0.41283000000000003</c:v>
                </c:pt>
                <c:pt idx="3">
                  <c:v>0.41283000000000003</c:v>
                </c:pt>
                <c:pt idx="4">
                  <c:v>0.42338649999999994</c:v>
                </c:pt>
                <c:pt idx="5">
                  <c:v>0.40555969999999997</c:v>
                </c:pt>
                <c:pt idx="6">
                  <c:v>0.41001639999999995</c:v>
                </c:pt>
                <c:pt idx="7">
                  <c:v>0.41447310000000004</c:v>
                </c:pt>
                <c:pt idx="8">
                  <c:v>0.35207929999999998</c:v>
                </c:pt>
              </c:numCache>
            </c:numRef>
          </c:val>
          <c:extLst xmlns:c16r2="http://schemas.microsoft.com/office/drawing/2015/06/chart">
            <c:ext xmlns:c16="http://schemas.microsoft.com/office/drawing/2014/chart" uri="{C3380CC4-5D6E-409C-BE32-E72D297353CC}">
              <c16:uniqueId val="{00000001-6206-4537-845D-D14C7F0CC4B7}"/>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strRef>
              <c:f>Sheet1!$A$2:$A$60</c:f>
              <c:strCache>
                <c:ptCount val="9"/>
                <c:pt idx="0">
                  <c:v>2020.3</c:v>
                </c:pt>
                <c:pt idx="1">
                  <c:v>2020.6</c:v>
                </c:pt>
                <c:pt idx="2">
                  <c:v>2020.9</c:v>
                </c:pt>
                <c:pt idx="3">
                  <c:v>2020.12</c:v>
                </c:pt>
                <c:pt idx="4">
                  <c:v>2021.3</c:v>
                </c:pt>
                <c:pt idx="5">
                  <c:v>2021.6</c:v>
                </c:pt>
                <c:pt idx="6">
                  <c:v>2021.9</c:v>
                </c:pt>
                <c:pt idx="7">
                  <c:v>2021.12</c:v>
                </c:pt>
                <c:pt idx="8">
                  <c:v>2022․3</c:v>
                </c:pt>
              </c:strCache>
            </c:strRef>
          </c:cat>
          <c:val>
            <c:numRef>
              <c:f>Sheet1!$E$2:$E$60</c:f>
              <c:numCache>
                <c:formatCode>0.0</c:formatCode>
                <c:ptCount val="9"/>
                <c:pt idx="0">
                  <c:v>0.36695999999999995</c:v>
                </c:pt>
                <c:pt idx="1">
                  <c:v>0.19959500000000002</c:v>
                </c:pt>
                <c:pt idx="2">
                  <c:v>0.16808000000000003</c:v>
                </c:pt>
                <c:pt idx="3">
                  <c:v>0.21010000000000001</c:v>
                </c:pt>
                <c:pt idx="4">
                  <c:v>1.5324900000000001</c:v>
                </c:pt>
                <c:pt idx="5">
                  <c:v>1.7545900000000001</c:v>
                </c:pt>
                <c:pt idx="6">
                  <c:v>1.88785</c:v>
                </c:pt>
                <c:pt idx="7">
                  <c:v>1.9322699999999999</c:v>
                </c:pt>
                <c:pt idx="8">
                  <c:v>1.2215499999999999</c:v>
                </c:pt>
              </c:numCache>
            </c:numRef>
          </c:val>
          <c:extLst xmlns:c16r2="http://schemas.microsoft.com/office/drawing/2015/06/chart">
            <c:ext xmlns:c16="http://schemas.microsoft.com/office/drawing/2014/chart" uri="{C3380CC4-5D6E-409C-BE32-E72D297353CC}">
              <c16:uniqueId val="{00000002-6206-4537-845D-D14C7F0CC4B7}"/>
            </c:ext>
          </c:extLst>
        </c:ser>
        <c:ser>
          <c:idx val="4"/>
          <c:order val="4"/>
          <c:tx>
            <c:strRef>
              <c:f>Sheet1!$F$1</c:f>
              <c:strCache>
                <c:ptCount val="1"/>
                <c:pt idx="0">
                  <c:v>Ծառայություններ </c:v>
                </c:pt>
              </c:strCache>
            </c:strRef>
          </c:tx>
          <c:spPr>
            <a:solidFill>
              <a:schemeClr val="accent5"/>
            </a:solidFill>
            <a:ln>
              <a:noFill/>
            </a:ln>
            <a:effectLst/>
          </c:spPr>
          <c:invertIfNegative val="0"/>
          <c:cat>
            <c:strRef>
              <c:f>Sheet1!$A$2:$A$60</c:f>
              <c:strCache>
                <c:ptCount val="9"/>
                <c:pt idx="0">
                  <c:v>2020.3</c:v>
                </c:pt>
                <c:pt idx="1">
                  <c:v>2020.6</c:v>
                </c:pt>
                <c:pt idx="2">
                  <c:v>2020.9</c:v>
                </c:pt>
                <c:pt idx="3">
                  <c:v>2020.12</c:v>
                </c:pt>
                <c:pt idx="4">
                  <c:v>2021.3</c:v>
                </c:pt>
                <c:pt idx="5">
                  <c:v>2021.6</c:v>
                </c:pt>
                <c:pt idx="6">
                  <c:v>2021.9</c:v>
                </c:pt>
                <c:pt idx="7">
                  <c:v>2021.12</c:v>
                </c:pt>
                <c:pt idx="8">
                  <c:v>2022․3</c:v>
                </c:pt>
              </c:strCache>
            </c:strRef>
          </c:cat>
          <c:val>
            <c:numRef>
              <c:f>Sheet1!$F$2:$F$60</c:f>
              <c:numCache>
                <c:formatCode>0.0</c:formatCode>
                <c:ptCount val="9"/>
                <c:pt idx="0">
                  <c:v>0.43024500000000004</c:v>
                </c:pt>
                <c:pt idx="1">
                  <c:v>0.39837499999999998</c:v>
                </c:pt>
                <c:pt idx="2">
                  <c:v>0.41431000000000007</c:v>
                </c:pt>
                <c:pt idx="3">
                  <c:v>0.49797999999999992</c:v>
                </c:pt>
                <c:pt idx="4">
                  <c:v>0.61421000000000003</c:v>
                </c:pt>
                <c:pt idx="5">
                  <c:v>0.72260000000000002</c:v>
                </c:pt>
                <c:pt idx="6">
                  <c:v>0.68647000000000002</c:v>
                </c:pt>
                <c:pt idx="7">
                  <c:v>0.68647000000000002</c:v>
                </c:pt>
                <c:pt idx="8">
                  <c:v>0.90325</c:v>
                </c:pt>
              </c:numCache>
            </c:numRef>
          </c:val>
          <c:extLst xmlns:c16r2="http://schemas.microsoft.com/office/drawing/2015/06/chart">
            <c:ext xmlns:c16="http://schemas.microsoft.com/office/drawing/2014/chart" uri="{C3380CC4-5D6E-409C-BE32-E72D297353CC}">
              <c16:uniqueId val="{00000003-6206-4537-845D-D14C7F0CC4B7}"/>
            </c:ext>
          </c:extLst>
        </c:ser>
        <c:dLbls>
          <c:showLegendKey val="0"/>
          <c:showVal val="0"/>
          <c:showCatName val="0"/>
          <c:showSerName val="0"/>
          <c:showPercent val="0"/>
          <c:showBubbleSize val="0"/>
        </c:dLbls>
        <c:gapWidth val="100"/>
        <c:overlap val="100"/>
        <c:axId val="301835392"/>
        <c:axId val="301836928"/>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xmlns:c16r2="http://schemas.microsoft.com/office/drawing/2015/06/chart">
              <c:ext xmlns:c16="http://schemas.microsoft.com/office/drawing/2014/chart" uri="{C3380CC4-5D6E-409C-BE32-E72D297353CC}">
                <c16:uniqueId val="{00000004-6206-4537-845D-D14C7F0CC4B7}"/>
              </c:ext>
            </c:extLst>
          </c:dPt>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Sheet1!$A$2:$A$60</c:f>
              <c:strCache>
                <c:ptCount val="9"/>
                <c:pt idx="0">
                  <c:v>2020.3</c:v>
                </c:pt>
                <c:pt idx="1">
                  <c:v>2020.6</c:v>
                </c:pt>
                <c:pt idx="2">
                  <c:v>2020.9</c:v>
                </c:pt>
                <c:pt idx="3">
                  <c:v>2020.12</c:v>
                </c:pt>
                <c:pt idx="4">
                  <c:v>2021.3</c:v>
                </c:pt>
                <c:pt idx="5">
                  <c:v>2021.6</c:v>
                </c:pt>
                <c:pt idx="6">
                  <c:v>2021.9</c:v>
                </c:pt>
                <c:pt idx="7">
                  <c:v>2021.12</c:v>
                </c:pt>
                <c:pt idx="8">
                  <c:v>2022․3</c:v>
                </c:pt>
              </c:strCache>
            </c:strRef>
          </c:cat>
          <c:val>
            <c:numRef>
              <c:f>Sheet1!$B$2:$B$60</c:f>
              <c:numCache>
                <c:formatCode>0.0</c:formatCode>
                <c:ptCount val="9"/>
                <c:pt idx="0">
                  <c:v>-5.7554999999999967E-2</c:v>
                </c:pt>
                <c:pt idx="1">
                  <c:v>0.57033499999999993</c:v>
                </c:pt>
                <c:pt idx="2">
                  <c:v>0.87117000000000011</c:v>
                </c:pt>
                <c:pt idx="3">
                  <c:v>1.2385999999999999</c:v>
                </c:pt>
                <c:pt idx="4">
                  <c:v>5.2115704999999997</c:v>
                </c:pt>
                <c:pt idx="5">
                  <c:v>5.7474577</c:v>
                </c:pt>
                <c:pt idx="6">
                  <c:v>6.6675324000000007</c:v>
                </c:pt>
                <c:pt idx="7">
                  <c:v>7.2000611000000001</c:v>
                </c:pt>
                <c:pt idx="8">
                  <c:v>6.9785632999999994</c:v>
                </c:pt>
              </c:numCache>
            </c:numRef>
          </c:val>
          <c:smooth val="0"/>
          <c:extLst xmlns:c16r2="http://schemas.microsoft.com/office/drawing/2015/06/chart">
            <c:ext xmlns:c16="http://schemas.microsoft.com/office/drawing/2014/chart" uri="{C3380CC4-5D6E-409C-BE32-E72D297353CC}">
              <c16:uniqueId val="{00000006-6206-4537-845D-D14C7F0CC4B7}"/>
            </c:ext>
          </c:extLst>
        </c:ser>
        <c:dLbls>
          <c:showLegendKey val="0"/>
          <c:showVal val="0"/>
          <c:showCatName val="0"/>
          <c:showSerName val="0"/>
          <c:showPercent val="0"/>
          <c:showBubbleSize val="0"/>
        </c:dLbls>
        <c:marker val="1"/>
        <c:smooth val="0"/>
        <c:axId val="301835392"/>
        <c:axId val="301836928"/>
      </c:lineChart>
      <c:catAx>
        <c:axId val="3018353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301836928"/>
        <c:crosses val="autoZero"/>
        <c:auto val="1"/>
        <c:lblAlgn val="ctr"/>
        <c:lblOffset val="100"/>
        <c:noMultiLvlLbl val="0"/>
      </c:catAx>
      <c:valAx>
        <c:axId val="301836928"/>
        <c:scaling>
          <c:orientation val="minMax"/>
          <c:max val="1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30183539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15000"/>
          <a:lumOff val="85000"/>
        </a:schemeClr>
      </a:solidFill>
      <a:round/>
    </a:ln>
    <a:effectLst/>
  </c:spPr>
  <c:txPr>
    <a:bodyPr/>
    <a:lstStyle/>
    <a:p>
      <a:pPr algn="ct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9.4702319668604942E-2"/>
          <c:w val="0.84290099330803991"/>
          <c:h val="1.903084186548749E-2"/>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Sheet1!$C$2:$C$37</c:f>
              <c:numCache>
                <c:formatCode>General</c:formatCode>
                <c:ptCount val="12"/>
              </c:numCache>
            </c:numRef>
          </c:val>
          <c:extLst xmlns:c16r2="http://schemas.microsoft.com/office/drawing/2015/06/chart">
            <c:ext xmlns:c16="http://schemas.microsoft.com/office/drawing/2014/chart" uri="{C3380CC4-5D6E-409C-BE32-E72D297353CC}">
              <c16:uniqueId val="{00000000-6907-4BAA-AF8D-6FF6B51C77D3}"/>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Sheet1!$D$2:$D$37</c:f>
              <c:numCache>
                <c:formatCode>General</c:formatCode>
                <c:ptCount val="12"/>
              </c:numCache>
            </c:numRef>
          </c:val>
          <c:extLst xmlns:c16r2="http://schemas.microsoft.com/office/drawing/2015/06/chart">
            <c:ext xmlns:c16="http://schemas.microsoft.com/office/drawing/2014/chart" uri="{C3380CC4-5D6E-409C-BE32-E72D297353CC}">
              <c16:uniqueId val="{00000001-6907-4BAA-AF8D-6FF6B51C77D3}"/>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Sheet1!$E$2:$E$37</c:f>
              <c:numCache>
                <c:formatCode>General</c:formatCode>
                <c:ptCount val="12"/>
              </c:numCache>
            </c:numRef>
          </c:val>
          <c:extLst xmlns:c16r2="http://schemas.microsoft.com/office/drawing/2015/06/chart">
            <c:ext xmlns:c16="http://schemas.microsoft.com/office/drawing/2014/chart" uri="{C3380CC4-5D6E-409C-BE32-E72D297353CC}">
              <c16:uniqueId val="{00000002-6907-4BAA-AF8D-6FF6B51C77D3}"/>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Sheet1!$F$2:$F$37</c:f>
              <c:numCache>
                <c:formatCode>General</c:formatCode>
                <c:ptCount val="12"/>
              </c:numCache>
            </c:numRef>
          </c:val>
          <c:extLst xmlns:c16r2="http://schemas.microsoft.com/office/drawing/2015/06/chart">
            <c:ext xmlns:c16="http://schemas.microsoft.com/office/drawing/2014/chart" uri="{C3380CC4-5D6E-409C-BE32-E72D297353CC}">
              <c16:uniqueId val="{00000003-6907-4BAA-AF8D-6FF6B51C77D3}"/>
            </c:ext>
          </c:extLst>
        </c:ser>
        <c:dLbls>
          <c:showLegendKey val="0"/>
          <c:showVal val="0"/>
          <c:showCatName val="0"/>
          <c:showSerName val="0"/>
          <c:showPercent val="0"/>
          <c:showBubbleSize val="0"/>
        </c:dLbls>
        <c:gapWidth val="100"/>
        <c:overlap val="100"/>
        <c:axId val="302350720"/>
        <c:axId val="302352256"/>
      </c:barChart>
      <c:lineChart>
        <c:grouping val="standard"/>
        <c:varyColors val="0"/>
        <c:ser>
          <c:idx val="0"/>
          <c:order val="0"/>
          <c:tx>
            <c:strRef>
              <c:f>Sheet1!$B$1</c:f>
              <c:strCache>
                <c:ptCount val="1"/>
                <c:pt idx="0">
                  <c:v>Գնաճի տեմպ</c:v>
                </c:pt>
              </c:strCache>
            </c:strRef>
          </c:tx>
          <c:spPr>
            <a:ln w="34925" cap="rnd">
              <a:solidFill>
                <a:schemeClr val="accent1"/>
              </a:solidFill>
              <a:round/>
            </a:ln>
            <a:effectLst/>
          </c:spPr>
          <c:marker>
            <c:symbol val="none"/>
          </c:marker>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Sheet1!$B$2:$B$37</c:f>
              <c:numCache>
                <c:formatCode>General</c:formatCode>
                <c:ptCount val="12"/>
              </c:numCache>
            </c:numRef>
          </c:val>
          <c:smooth val="0"/>
          <c:extLst xmlns:c16r2="http://schemas.microsoft.com/office/drawing/2015/06/chart">
            <c:ext xmlns:c16="http://schemas.microsoft.com/office/drawing/2014/chart" uri="{C3380CC4-5D6E-409C-BE32-E72D297353CC}">
              <c16:uniqueId val="{00000004-6907-4BAA-AF8D-6FF6B51C77D3}"/>
            </c:ext>
          </c:extLst>
        </c:ser>
        <c:dLbls>
          <c:showLegendKey val="0"/>
          <c:showVal val="0"/>
          <c:showCatName val="0"/>
          <c:showSerName val="0"/>
          <c:showPercent val="0"/>
          <c:showBubbleSize val="0"/>
        </c:dLbls>
        <c:marker val="1"/>
        <c:smooth val="0"/>
        <c:axId val="302350720"/>
        <c:axId val="302352256"/>
      </c:lineChart>
      <c:catAx>
        <c:axId val="302350720"/>
        <c:scaling>
          <c:orientation val="minMax"/>
        </c:scaling>
        <c:delete val="1"/>
        <c:axPos val="b"/>
        <c:numFmt formatCode="General" sourceLinked="1"/>
        <c:majorTickMark val="out"/>
        <c:minorTickMark val="none"/>
        <c:tickLblPos val="nextTo"/>
        <c:crossAx val="302352256"/>
        <c:crosses val="autoZero"/>
        <c:auto val="1"/>
        <c:lblAlgn val="ctr"/>
        <c:lblOffset val="100"/>
        <c:noMultiLvlLbl val="0"/>
      </c:catAx>
      <c:valAx>
        <c:axId val="302352256"/>
        <c:scaling>
          <c:orientation val="minMax"/>
        </c:scaling>
        <c:delete val="1"/>
        <c:axPos val="l"/>
        <c:numFmt formatCode="General" sourceLinked="1"/>
        <c:majorTickMark val="none"/>
        <c:minorTickMark val="none"/>
        <c:tickLblPos val="nextTo"/>
        <c:crossAx val="302350720"/>
        <c:crosses val="autoZero"/>
        <c:crossBetween val="between"/>
      </c:valAx>
      <c:spPr>
        <a:noFill/>
        <a:ln>
          <a:noFill/>
        </a:ln>
        <a:effectLst/>
      </c:spPr>
    </c:plotArea>
    <c:legend>
      <c:legendPos val="b"/>
      <c:layout>
        <c:manualLayout>
          <c:xMode val="edge"/>
          <c:yMode val="edge"/>
          <c:x val="1.6240949953719556E-2"/>
          <c:y val="0.1099122375328084"/>
          <c:w val="0.95949541633382784"/>
          <c:h val="0.87692886045494312"/>
        </c:manualLayout>
      </c:layout>
      <c:overlay val="0"/>
      <c:spPr>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2700000" scaled="1"/>
          <a:tileRect/>
        </a:gra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27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312202527690862E-2"/>
          <c:y val="4.3491460242906135E-2"/>
          <c:w val="0.87180570086081921"/>
          <c:h val="0.84193475815523067"/>
        </c:manualLayout>
      </c:layout>
      <c:barChart>
        <c:barDir val="col"/>
        <c:grouping val="clustered"/>
        <c:varyColors val="0"/>
        <c:ser>
          <c:idx val="0"/>
          <c:order val="0"/>
          <c:tx>
            <c:strRef>
              <c:f>Sheet1!$A$2</c:f>
              <c:strCache>
                <c:ptCount val="1"/>
                <c:pt idx="0">
                  <c:v>Արտահանում</c:v>
                </c:pt>
              </c:strCache>
            </c:strRef>
          </c:tx>
          <c:invertIfNegative val="0"/>
          <c:cat>
            <c:strRef>
              <c:f>Sheet1!$B$1:$G$1</c:f>
              <c:strCache>
                <c:ptCount val="5"/>
                <c:pt idx="0">
                  <c:v>2018</c:v>
                </c:pt>
                <c:pt idx="1">
                  <c:v>2019</c:v>
                </c:pt>
                <c:pt idx="2">
                  <c:v>2020</c:v>
                </c:pt>
                <c:pt idx="3">
                  <c:v>2021</c:v>
                </c:pt>
                <c:pt idx="4">
                  <c:v>2022</c:v>
                </c:pt>
              </c:strCache>
            </c:strRef>
          </c:cat>
          <c:val>
            <c:numRef>
              <c:f>Sheet1!$B$2:$G$2</c:f>
              <c:numCache>
                <c:formatCode>0.0</c:formatCode>
                <c:ptCount val="5"/>
                <c:pt idx="0">
                  <c:v>594.14350000000002</c:v>
                </c:pt>
                <c:pt idx="1">
                  <c:v>543.97133162860041</c:v>
                </c:pt>
                <c:pt idx="2">
                  <c:v>555.97250000000008</c:v>
                </c:pt>
                <c:pt idx="3">
                  <c:v>576.5865</c:v>
                </c:pt>
                <c:pt idx="4">
                  <c:v>731.77359999999999</c:v>
                </c:pt>
              </c:numCache>
            </c:numRef>
          </c:val>
          <c:extLst xmlns:c16r2="http://schemas.microsoft.com/office/drawing/2015/06/chart">
            <c:ext xmlns:c16="http://schemas.microsoft.com/office/drawing/2014/chart" uri="{C3380CC4-5D6E-409C-BE32-E72D297353CC}">
              <c16:uniqueId val="{00000000-80B1-4351-9A8F-F87393C3BA3F}"/>
            </c:ext>
          </c:extLst>
        </c:ser>
        <c:ser>
          <c:idx val="1"/>
          <c:order val="1"/>
          <c:tx>
            <c:strRef>
              <c:f>Sheet1!$A$3</c:f>
              <c:strCache>
                <c:ptCount val="1"/>
                <c:pt idx="0">
                  <c:v>Ներմուծում (CIF)</c:v>
                </c:pt>
              </c:strCache>
            </c:strRef>
          </c:tx>
          <c:invertIfNegative val="0"/>
          <c:cat>
            <c:strRef>
              <c:f>Sheet1!$B$1:$G$1</c:f>
              <c:strCache>
                <c:ptCount val="5"/>
                <c:pt idx="0">
                  <c:v>2018</c:v>
                </c:pt>
                <c:pt idx="1">
                  <c:v>2019</c:v>
                </c:pt>
                <c:pt idx="2">
                  <c:v>2020</c:v>
                </c:pt>
                <c:pt idx="3">
                  <c:v>2021</c:v>
                </c:pt>
                <c:pt idx="4">
                  <c:v>2022</c:v>
                </c:pt>
              </c:strCache>
            </c:strRef>
          </c:cat>
          <c:val>
            <c:numRef>
              <c:f>Sheet1!$B$3:$G$3</c:f>
              <c:numCache>
                <c:formatCode>0.0</c:formatCode>
                <c:ptCount val="5"/>
                <c:pt idx="0">
                  <c:v>1120.8148463800001</c:v>
                </c:pt>
                <c:pt idx="1">
                  <c:v>1087.5995929099993</c:v>
                </c:pt>
                <c:pt idx="2">
                  <c:v>1025.2208019599998</c:v>
                </c:pt>
                <c:pt idx="3">
                  <c:v>938.06780000000003</c:v>
                </c:pt>
                <c:pt idx="4">
                  <c:v>1366.2376000000002</c:v>
                </c:pt>
              </c:numCache>
            </c:numRef>
          </c:val>
          <c:extLst xmlns:c16r2="http://schemas.microsoft.com/office/drawing/2015/06/chart">
            <c:ext xmlns:c16="http://schemas.microsoft.com/office/drawing/2014/chart" uri="{C3380CC4-5D6E-409C-BE32-E72D297353CC}">
              <c16:uniqueId val="{00000001-80B1-4351-9A8F-F87393C3BA3F}"/>
            </c:ext>
          </c:extLst>
        </c:ser>
        <c:ser>
          <c:idx val="2"/>
          <c:order val="2"/>
          <c:tx>
            <c:strRef>
              <c:f>Sheet1!$A$4</c:f>
              <c:strCache>
                <c:ptCount val="1"/>
                <c:pt idx="0">
                  <c:v>Առևտրային հաշվեկշիռ</c:v>
                </c:pt>
              </c:strCache>
            </c:strRef>
          </c:tx>
          <c:invertIfNegative val="0"/>
          <c:cat>
            <c:strRef>
              <c:f>Sheet1!$B$1:$G$1</c:f>
              <c:strCache>
                <c:ptCount val="5"/>
                <c:pt idx="0">
                  <c:v>2018</c:v>
                </c:pt>
                <c:pt idx="1">
                  <c:v>2019</c:v>
                </c:pt>
                <c:pt idx="2">
                  <c:v>2020</c:v>
                </c:pt>
                <c:pt idx="3">
                  <c:v>2021</c:v>
                </c:pt>
                <c:pt idx="4">
                  <c:v>2022</c:v>
                </c:pt>
              </c:strCache>
            </c:strRef>
          </c:cat>
          <c:val>
            <c:numRef>
              <c:f>Sheet1!$B$4:$G$4</c:f>
              <c:numCache>
                <c:formatCode>0.0</c:formatCode>
                <c:ptCount val="5"/>
                <c:pt idx="0">
                  <c:v>-526.67134638000005</c:v>
                </c:pt>
                <c:pt idx="1">
                  <c:v>-543.62826128139886</c:v>
                </c:pt>
                <c:pt idx="2">
                  <c:v>-469.24830195999971</c:v>
                </c:pt>
                <c:pt idx="3">
                  <c:v>-361.48130000000003</c:v>
                </c:pt>
                <c:pt idx="4">
                  <c:v>-634.46400000000017</c:v>
                </c:pt>
              </c:numCache>
            </c:numRef>
          </c:val>
          <c:extLst xmlns:c16r2="http://schemas.microsoft.com/office/drawing/2015/06/chart">
            <c:ext xmlns:c16="http://schemas.microsoft.com/office/drawing/2014/chart" uri="{C3380CC4-5D6E-409C-BE32-E72D297353CC}">
              <c16:uniqueId val="{00000002-80B1-4351-9A8F-F87393C3BA3F}"/>
            </c:ext>
          </c:extLst>
        </c:ser>
        <c:dLbls>
          <c:showLegendKey val="0"/>
          <c:showVal val="0"/>
          <c:showCatName val="0"/>
          <c:showSerName val="0"/>
          <c:showPercent val="0"/>
          <c:showBubbleSize val="0"/>
        </c:dLbls>
        <c:gapWidth val="150"/>
        <c:axId val="307732864"/>
        <c:axId val="307734400"/>
      </c:barChart>
      <c:catAx>
        <c:axId val="307732864"/>
        <c:scaling>
          <c:orientation val="minMax"/>
        </c:scaling>
        <c:delete val="0"/>
        <c:axPos val="b"/>
        <c:numFmt formatCode="General" sourceLinked="1"/>
        <c:majorTickMark val="out"/>
        <c:minorTickMark val="none"/>
        <c:tickLblPos val="nextTo"/>
        <c:crossAx val="307734400"/>
        <c:crosses val="autoZero"/>
        <c:auto val="1"/>
        <c:lblAlgn val="ctr"/>
        <c:lblOffset val="100"/>
        <c:noMultiLvlLbl val="0"/>
      </c:catAx>
      <c:valAx>
        <c:axId val="307734400"/>
        <c:scaling>
          <c:orientation val="minMax"/>
        </c:scaling>
        <c:delete val="0"/>
        <c:axPos val="l"/>
        <c:majorGridlines/>
        <c:numFmt formatCode="0.0" sourceLinked="1"/>
        <c:majorTickMark val="out"/>
        <c:minorTickMark val="none"/>
        <c:tickLblPos val="nextTo"/>
        <c:crossAx val="307732864"/>
        <c:crosses val="autoZero"/>
        <c:crossBetween val="between"/>
      </c:valAx>
    </c:plotArea>
    <c:legend>
      <c:legendPos val="r"/>
      <c:layout>
        <c:manualLayout>
          <c:xMode val="edge"/>
          <c:yMode val="edge"/>
          <c:x val="0.10071942446043168"/>
          <c:y val="0.907258064516129"/>
          <c:w val="0.85676304765582389"/>
          <c:h val="9.6774039608685275E-2"/>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0.35093</cdr:x>
      <cdr:y>0.0766</cdr:y>
    </cdr:from>
    <cdr:to>
      <cdr:x>0.73913</cdr:x>
      <cdr:y>0.1895</cdr:y>
    </cdr:to>
    <cdr:sp macro="" textlink="">
      <cdr:nvSpPr>
        <cdr:cNvPr id="2" name="Text Box 1"/>
        <cdr:cNvSpPr txBox="1"/>
      </cdr:nvSpPr>
      <cdr:spPr>
        <a:xfrm xmlns:a="http://schemas.openxmlformats.org/drawingml/2006/main">
          <a:off x="1076325" y="171450"/>
          <a:ext cx="1190625" cy="2527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GHEA Grapalat" panose="02000506050000020003" pitchFamily="50"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61D18-C3AF-4D09-B9CA-DBF0ACDDE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25286</TotalTime>
  <Pages>132</Pages>
  <Words>40715</Words>
  <Characters>232078</Characters>
  <Application>Microsoft Office Word</Application>
  <DocSecurity>0</DocSecurity>
  <Lines>1933</Lines>
  <Paragraphs>544</Paragraphs>
  <ScaleCrop>false</ScaleCrop>
  <HeadingPairs>
    <vt:vector size="2" baseType="variant">
      <vt:variant>
        <vt:lpstr>Title</vt:lpstr>
      </vt:variant>
      <vt:variant>
        <vt:i4>1</vt:i4>
      </vt:variant>
    </vt:vector>
  </HeadingPairs>
  <TitlesOfParts>
    <vt:vector size="1" baseType="lpstr">
      <vt:lpstr>î º Ô º Î ² î ì àô Â Ú àô Ü</vt:lpstr>
    </vt:vector>
  </TitlesOfParts>
  <Company>MoF</Company>
  <LinksUpToDate>false</LinksUpToDate>
  <CharactersWithSpaces>272249</CharactersWithSpaces>
  <SharedDoc>false</SharedDoc>
  <HLinks>
    <vt:vector size="60" baseType="variant">
      <vt:variant>
        <vt:i4>7733366</vt:i4>
      </vt:variant>
      <vt:variant>
        <vt:i4>39</vt:i4>
      </vt:variant>
      <vt:variant>
        <vt:i4>0</vt:i4>
      </vt:variant>
      <vt:variant>
        <vt:i4>5</vt:i4>
      </vt:variant>
      <vt:variant>
        <vt:lpwstr>https://www.arlis.am/DocumentView.aspx?docid=147219</vt:lpwstr>
      </vt:variant>
      <vt:variant>
        <vt:lpwstr/>
      </vt:variant>
      <vt:variant>
        <vt:i4>1572914</vt:i4>
      </vt:variant>
      <vt:variant>
        <vt:i4>20</vt:i4>
      </vt:variant>
      <vt:variant>
        <vt:i4>0</vt:i4>
      </vt:variant>
      <vt:variant>
        <vt:i4>5</vt:i4>
      </vt:variant>
      <vt:variant>
        <vt:lpwstr/>
      </vt:variant>
      <vt:variant>
        <vt:lpwstr>_Toc39073425</vt:lpwstr>
      </vt:variant>
      <vt:variant>
        <vt:i4>1966130</vt:i4>
      </vt:variant>
      <vt:variant>
        <vt:i4>14</vt:i4>
      </vt:variant>
      <vt:variant>
        <vt:i4>0</vt:i4>
      </vt:variant>
      <vt:variant>
        <vt:i4>5</vt:i4>
      </vt:variant>
      <vt:variant>
        <vt:lpwstr/>
      </vt:variant>
      <vt:variant>
        <vt:lpwstr>_Toc39073423</vt:lpwstr>
      </vt:variant>
      <vt:variant>
        <vt:i4>1310769</vt:i4>
      </vt:variant>
      <vt:variant>
        <vt:i4>8</vt:i4>
      </vt:variant>
      <vt:variant>
        <vt:i4>0</vt:i4>
      </vt:variant>
      <vt:variant>
        <vt:i4>5</vt:i4>
      </vt:variant>
      <vt:variant>
        <vt:lpwstr/>
      </vt:variant>
      <vt:variant>
        <vt:lpwstr>_Toc39073419</vt:lpwstr>
      </vt:variant>
      <vt:variant>
        <vt:i4>1376305</vt:i4>
      </vt:variant>
      <vt:variant>
        <vt:i4>2</vt:i4>
      </vt:variant>
      <vt:variant>
        <vt:i4>0</vt:i4>
      </vt:variant>
      <vt:variant>
        <vt:i4>5</vt:i4>
      </vt:variant>
      <vt:variant>
        <vt:lpwstr/>
      </vt:variant>
      <vt:variant>
        <vt:lpwstr>_Toc39073418</vt:lpwstr>
      </vt:variant>
      <vt:variant>
        <vt:i4>7995432</vt:i4>
      </vt:variant>
      <vt:variant>
        <vt:i4>12</vt:i4>
      </vt:variant>
      <vt:variant>
        <vt:i4>0</vt:i4>
      </vt:variant>
      <vt:variant>
        <vt:i4>5</vt:i4>
      </vt:variant>
      <vt:variant>
        <vt:lpwstr>https://www.cba.am/Storage/AM/downloads/stat_data_arm/6-loans by sectors.xls</vt:lpwstr>
      </vt:variant>
      <vt:variant>
        <vt:lpwstr/>
      </vt:variant>
      <vt:variant>
        <vt:i4>5636104</vt:i4>
      </vt:variant>
      <vt:variant>
        <vt:i4>9</vt:i4>
      </vt:variant>
      <vt:variant>
        <vt:i4>0</vt:i4>
      </vt:variant>
      <vt:variant>
        <vt:i4>5</vt:i4>
      </vt:variant>
      <vt:variant>
        <vt:lpwstr>https://www.cba.am/Storage/AM/downloads/stat_data_arm/5-Deposits by sectors.xls</vt:lpwstr>
      </vt:variant>
      <vt:variant>
        <vt:lpwstr/>
      </vt:variant>
      <vt:variant>
        <vt:i4>6160475</vt:i4>
      </vt:variant>
      <vt:variant>
        <vt:i4>6</vt:i4>
      </vt:variant>
      <vt:variant>
        <vt:i4>0</vt:i4>
      </vt:variant>
      <vt:variant>
        <vt:i4>5</vt:i4>
      </vt:variant>
      <vt:variant>
        <vt:lpwstr>https://www.cba.am/Storage/AM/downloads/stat_data_arm/3-Broad Money.xls</vt:lpwstr>
      </vt:variant>
      <vt:variant>
        <vt:lpwstr/>
      </vt:variant>
      <vt:variant>
        <vt:i4>24</vt:i4>
      </vt:variant>
      <vt:variant>
        <vt:i4>3</vt:i4>
      </vt:variant>
      <vt:variant>
        <vt:i4>0</vt:i4>
      </vt:variant>
      <vt:variant>
        <vt:i4>5</vt:i4>
      </vt:variant>
      <vt:variant>
        <vt:lpwstr>https://www.cba.am/Storage/AM/downloads/stat_data_arm/2-Money Base.xls</vt:lpwstr>
      </vt:variant>
      <vt:variant>
        <vt:lpwstr/>
      </vt:variant>
      <vt:variant>
        <vt:i4>5374032</vt:i4>
      </vt:variant>
      <vt:variant>
        <vt:i4>0</vt:i4>
      </vt:variant>
      <vt:variant>
        <vt:i4>0</vt:i4>
      </vt:variant>
      <vt:variant>
        <vt:i4>5</vt:i4>
      </vt:variant>
      <vt:variant>
        <vt:lpwstr>https://www.armstat.am/am/?nid=82&amp;id=2251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î º Ô º Î ² î ì àô Â Ú àô Ü</dc:title>
  <dc:creator>EMMA</dc:creator>
  <cp:lastModifiedBy>Emma Ghaytanjyan</cp:lastModifiedBy>
  <cp:revision>516</cp:revision>
  <cp:lastPrinted>2022-05-05T16:17:00Z</cp:lastPrinted>
  <dcterms:created xsi:type="dcterms:W3CDTF">2017-04-29T19:18:00Z</dcterms:created>
  <dcterms:modified xsi:type="dcterms:W3CDTF">2022-05-06T16:29:00Z</dcterms:modified>
</cp:coreProperties>
</file>